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63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534"/>
        <w:gridCol w:w="6096"/>
      </w:tblGrid>
      <w:tr w:rsidTr="004962C9" w:rsidR="004962C9" w:rsidRPr="00C61EDF">
        <w:trPr>
          <w:trHeight w:val="2231"/>
        </w:trPr>
        <w:tc>
          <w:tcPr>
            <w:tcW w:type="dxa" w:w="3534"/>
            <w:vAlign w:val="center"/>
          </w:tcPr>
          <w:p w:rsidRDefault="004962C9" w:rsidP="00A66C00" w:rsidR="004962C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962C9" w:rsidP="00A66C00" w:rsidR="004962C9" w:rsidRPr="00F24FD8">
            <w:pPr>
              <w:spacing w:before="100"/>
            </w:pPr>
            <w:r w:rsidRPr="00F24FD8">
              <w:t>REPUBLIKA HRVATSKA</w:t>
            </w:r>
          </w:p>
          <w:p w:rsidRDefault="004962C9" w:rsidP="00A66C00" w:rsidR="004962C9" w:rsidRPr="00F24FD8">
            <w:r w:rsidRPr="00F24FD8">
              <w:t>TRGOVAČKI SUD U SPLITU</w:t>
            </w:r>
          </w:p>
          <w:p w:rsidRDefault="004962C9" w:rsidP="00DA5B9D" w:rsidR="004962C9" w:rsidRPr="00C61EDF">
            <w:r w:rsidRPr="00F24FD8">
              <w:t>Split, Sukoišanska 6</w:t>
            </w:r>
          </w:p>
        </w:tc>
        <w:tc>
          <w:tcPr>
            <w:tcW w:type="dxa" w:w="6096"/>
          </w:tcPr>
          <w:p w:rsidRDefault="004962C9" w:rsidP="00DA5B9D" w:rsidR="004962C9">
            <w:pPr>
              <w:jc w:val="both"/>
            </w:pPr>
          </w:p>
          <w:p w:rsidRDefault="004962C9" w:rsidP="00DA5B9D" w:rsidR="004962C9">
            <w:pPr>
              <w:jc w:val="both"/>
            </w:pPr>
          </w:p>
          <w:p w:rsidRDefault="004962C9" w:rsidP="00DA5B9D" w:rsidR="004962C9">
            <w:pPr>
              <w:jc w:val="both"/>
            </w:pPr>
          </w:p>
          <w:p w:rsidRDefault="004962C9" w:rsidP="00DA5B9D" w:rsidR="004962C9">
            <w:pPr>
              <w:jc w:val="right"/>
            </w:pPr>
          </w:p>
          <w:p w:rsidRDefault="004962C9" w:rsidP="00DA5B9D" w:rsidR="004962C9">
            <w:pPr>
              <w:jc w:val="right"/>
            </w:pPr>
          </w:p>
          <w:p w:rsidRDefault="004962C9" w:rsidP="00DA5B9D" w:rsidR="004962C9">
            <w:pPr>
              <w:jc w:val="right"/>
              <w:rPr>
                <w:noProof/>
              </w:rPr>
            </w:pPr>
          </w:p>
          <w:p w:rsidRDefault="004962C9" w:rsidP="00DA5B9D" w:rsidR="004962C9">
            <w:pPr>
              <w:jc w:val="right"/>
              <w:rPr>
                <w:noProof/>
              </w:rPr>
            </w:pPr>
          </w:p>
          <w:p w:rsidRDefault="004962C9" w:rsidP="00DA5B9D" w:rsidR="004962C9">
            <w:pPr>
              <w:jc w:val="right"/>
              <w:rPr>
                <w:noProof/>
              </w:rPr>
            </w:pPr>
          </w:p>
          <w:p w:rsidRDefault="004962C9" w:rsidP="004962C9" w:rsidR="004962C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9/2015</w:t>
            </w:r>
          </w:p>
        </w:tc>
      </w:tr>
    </w:tbl>
    <w:p w14:textId="f64bddf" w14:paraId="f64bddf" w:rsidRDefault="00D12356" w:rsidP="00475170" w:rsidR="00BF2D28" w:rsidRPr="00C905FC">
      <w:pPr>
        <w:spacing w:after="240" w:before="240"/>
        <w:jc w:val="center"/>
        <w15:collapsed w:val="false"/>
        <w:rPr>
          <w:spacing w:val="60"/>
          <w:lang w:val="hr-HR"/>
        </w:rPr>
      </w:pPr>
      <w:r w:rsidRPr="00C905FC">
        <w:rPr>
          <w:spacing w:val="60"/>
          <w:lang w:val="hr-HR"/>
        </w:rPr>
        <w:t>REPUBLIKA HRVATSKA</w:t>
      </w:r>
    </w:p>
    <w:p w:rsidRDefault="00911ECA" w:rsidP="00475170" w:rsidR="00D12356" w:rsidRPr="00C905FC">
      <w:pPr>
        <w:spacing w:after="240" w:before="240"/>
        <w:jc w:val="center"/>
        <w:rPr>
          <w:spacing w:val="60"/>
          <w:lang w:val="hr-HR"/>
        </w:rPr>
      </w:pPr>
      <w:r w:rsidRPr="00C905FC">
        <w:rPr>
          <w:spacing w:val="60"/>
          <w:lang w:val="hr-HR"/>
        </w:rPr>
        <w:t>ZAKLJUČAK</w:t>
      </w:r>
    </w:p>
    <w:p w:rsidRDefault="00E91BA8" w:rsidP="00E91BA8" w:rsidR="00BF2D28" w:rsidRPr="00C905FC">
      <w:pPr>
        <w:spacing w:before="220"/>
        <w:ind w:firstLine="709"/>
        <w:jc w:val="both"/>
        <w:rPr>
          <w:lang w:val="hr-HR"/>
        </w:rPr>
      </w:pPr>
      <w:r w:rsidRPr="00C905FC">
        <w:rPr>
          <w:rFonts w:eastAsiaTheme="minorHAnsi"/>
          <w:lang w:val="hr-HR"/>
        </w:rPr>
        <w:t xml:space="preserve">Trgovački sud u Splitu, po sutkinji Ani Golub Gruić, </w:t>
      </w:r>
      <w:r w:rsidRPr="00C905FC">
        <w:rPr>
          <w:lang w:val="hr-HR"/>
        </w:rPr>
        <w:t xml:space="preserve">u stečajnom postupku nad dužnikom </w:t>
      </w:r>
      <w:r w:rsidR="00644E4D" w:rsidRPr="00994171">
        <w:t xml:space="preserve">HELIOS FAROS d.d. </w:t>
      </w:r>
      <w:r w:rsidR="00644E4D">
        <w:t xml:space="preserve">u stečaju </w:t>
      </w:r>
      <w:r w:rsidR="00644E4D" w:rsidRPr="00994171">
        <w:t>Stari Grad, Priko b.b., OIB: 48594515409</w:t>
      </w:r>
      <w:r w:rsidRPr="00C905FC">
        <w:rPr>
          <w:lang w:val="hr-HR"/>
        </w:rPr>
        <w:t xml:space="preserve">, </w:t>
      </w:r>
      <w:r w:rsidR="000F1251">
        <w:rPr>
          <w:lang w:val="hr-HR"/>
        </w:rPr>
        <w:t>24. rujna 2018.</w:t>
      </w:r>
    </w:p>
    <w:p w:rsidRDefault="004E661E" w:rsidP="00964A7F" w:rsidR="004E661E" w:rsidRPr="00C905FC">
      <w:pPr>
        <w:rPr>
          <w:lang w:val="hr-HR"/>
        </w:rPr>
      </w:pPr>
    </w:p>
    <w:p w:rsidRDefault="00911ECA" w:rsidP="001B6872" w:rsidR="001B6872" w:rsidRPr="00C905FC">
      <w:pPr>
        <w:jc w:val="center"/>
        <w:rPr>
          <w:lang w:val="hr-HR"/>
        </w:rPr>
      </w:pPr>
      <w:r w:rsidRPr="00C905FC">
        <w:rPr>
          <w:lang w:val="hr-HR"/>
        </w:rPr>
        <w:t>z a k l j u č</w:t>
      </w:r>
      <w:r w:rsidR="00FE4F81" w:rsidRPr="00C905FC">
        <w:rPr>
          <w:lang w:val="hr-HR"/>
        </w:rPr>
        <w:t xml:space="preserve"> i o    </w:t>
      </w:r>
      <w:r w:rsidR="003F13DF" w:rsidRPr="00C905FC">
        <w:rPr>
          <w:lang w:val="hr-HR"/>
        </w:rPr>
        <w:t xml:space="preserve">j e </w:t>
      </w:r>
    </w:p>
    <w:p w:rsidRDefault="001B6872" w:rsidP="001B6872" w:rsidR="001B6872" w:rsidRPr="00C905FC">
      <w:pPr>
        <w:jc w:val="center"/>
        <w:rPr>
          <w:lang w:val="hr-HR"/>
        </w:rPr>
      </w:pPr>
    </w:p>
    <w:p w:rsidRDefault="001B6872" w:rsidP="001B6872" w:rsidR="001B6872" w:rsidRPr="000F1251">
      <w:pPr>
        <w:jc w:val="both"/>
        <w:rPr>
          <w:lang w:val="hr-HR"/>
        </w:rPr>
      </w:pPr>
      <w:r w:rsidRPr="000F1251">
        <w:rPr>
          <w:lang w:val="hr-HR"/>
        </w:rPr>
        <w:tab/>
        <w:t xml:space="preserve">I. </w:t>
      </w:r>
      <w:r w:rsidR="000F1251" w:rsidRPr="000F1251">
        <w:rPr>
          <w:lang w:val="hr-HR"/>
        </w:rPr>
        <w:t xml:space="preserve">Nalaže se stečajnoj upraviteljici u roku od 15 dana dopuniti stečajni plan zaprimljen kod ovoga suda 23. srpnja 2018. na način da dostavi izjave o suglasnosti svakoga od vjerovnika za kojeg je predmetnim stečajnim planom </w:t>
      </w:r>
      <w:r w:rsidR="000F1251">
        <w:rPr>
          <w:lang w:val="hr-HR"/>
        </w:rPr>
        <w:t>p</w:t>
      </w:r>
      <w:r w:rsidR="000F1251" w:rsidRPr="000F1251">
        <w:rPr>
          <w:lang w:val="hr-HR"/>
        </w:rPr>
        <w:t>redviđeno na</w:t>
      </w:r>
      <w:r w:rsidR="000F1251">
        <w:rPr>
          <w:lang w:val="hr-HR"/>
        </w:rPr>
        <w:t>m</w:t>
      </w:r>
      <w:r w:rsidR="000F1251" w:rsidRPr="000F1251">
        <w:rPr>
          <w:lang w:val="hr-HR"/>
        </w:rPr>
        <w:t>irenje kroz dobivanje udjela u dužniku pravnoj osobi.</w:t>
      </w:r>
    </w:p>
    <w:p w:rsidRDefault="000F1251" w:rsidP="004962C9" w:rsidR="000F1251" w:rsidRPr="000F1251">
      <w:pPr>
        <w:spacing w:before="160"/>
        <w:ind w:firstLine="720"/>
        <w:jc w:val="both"/>
        <w:rPr>
          <w:lang w:val="hr-HR"/>
        </w:rPr>
      </w:pPr>
      <w:r w:rsidRPr="000F1251">
        <w:rPr>
          <w:lang w:val="hr-HR"/>
        </w:rPr>
        <w:t>II. Ukoliko stečajna upraviteljica ne postupi po nalogu iz točke I. ovog rješenja u ostavljenom roku, sud će odbaciti dostavljeni stečajni plan.</w:t>
      </w:r>
    </w:p>
    <w:p w:rsidRDefault="00247D9D" w:rsidP="00C905FC" w:rsidR="00247D9D" w:rsidRPr="00C905FC">
      <w:pPr>
        <w:spacing w:after="160" w:before="240"/>
        <w:jc w:val="center"/>
        <w:rPr>
          <w:lang w:val="hr-HR"/>
        </w:rPr>
      </w:pPr>
      <w:r w:rsidRPr="00C905FC">
        <w:rPr>
          <w:lang w:val="hr-HR"/>
        </w:rPr>
        <w:t>Obrazloženje</w:t>
      </w:r>
    </w:p>
    <w:p w:rsidRDefault="007F26EE" w:rsidP="004962C9" w:rsidR="001E28A1" w:rsidRPr="00C905FC">
      <w:pPr>
        <w:spacing w:before="200"/>
        <w:jc w:val="both"/>
        <w:rPr>
          <w:lang w:val="hr-HR"/>
        </w:rPr>
      </w:pPr>
      <w:r w:rsidRPr="00C905FC">
        <w:rPr>
          <w:lang w:val="hr-HR"/>
        </w:rPr>
        <w:tab/>
      </w:r>
      <w:r w:rsidR="00C949FA" w:rsidRPr="00C905FC">
        <w:rPr>
          <w:lang w:val="hr-HR"/>
        </w:rPr>
        <w:t>Rješe</w:t>
      </w:r>
      <w:r w:rsidR="00197851" w:rsidRPr="00C905FC">
        <w:rPr>
          <w:lang w:val="hr-HR"/>
        </w:rPr>
        <w:t>njem ovoga suda poslovni broj 11</w:t>
      </w:r>
      <w:r w:rsidR="00782549">
        <w:rPr>
          <w:lang w:val="hr-HR"/>
        </w:rPr>
        <w:t>.</w:t>
      </w:r>
      <w:r w:rsidR="00482AB7">
        <w:rPr>
          <w:lang w:val="hr-HR"/>
        </w:rPr>
        <w:t>St-9/2015</w:t>
      </w:r>
      <w:r w:rsidR="00482AB7" w:rsidRPr="00482AB7">
        <w:rPr>
          <w:lang w:val="hr-HR"/>
        </w:rPr>
        <w:t xml:space="preserve"> od 11. veljače 2016. godine                </w:t>
      </w:r>
      <w:r w:rsidR="00C949FA" w:rsidRPr="00C905FC">
        <w:rPr>
          <w:lang w:val="hr-HR"/>
        </w:rPr>
        <w:t xml:space="preserve">otvoren je stečajni postupak nad dužnikom </w:t>
      </w:r>
      <w:r w:rsidR="00482AB7" w:rsidRPr="00482AB7">
        <w:rPr>
          <w:lang w:val="hr-HR"/>
        </w:rPr>
        <w:t>HELIOS FAROS d.d. u stečaju Stari Grad, Priko b.b., OIB: 48594515409</w:t>
      </w:r>
      <w:r w:rsidR="001E28A1" w:rsidRPr="00C905FC">
        <w:rPr>
          <w:lang w:val="hr-HR"/>
        </w:rPr>
        <w:t>, a za stečajnu upraviteljicu imenovana je Mira H</w:t>
      </w:r>
      <w:r w:rsidR="00862BF6" w:rsidRPr="00C905FC">
        <w:rPr>
          <w:lang w:val="hr-HR"/>
        </w:rPr>
        <w:t>ajdić iz Splita, Smiljanićeva 2.</w:t>
      </w:r>
    </w:p>
    <w:p w:rsidRDefault="000F1251" w:rsidP="004962C9" w:rsidR="009B0FBE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U skladu sa odlukom skupštine vjerovnika, stečajna upraviteljica je </w:t>
      </w:r>
      <w:r w:rsidRPr="000F1251">
        <w:rPr>
          <w:lang w:val="hr-HR"/>
        </w:rPr>
        <w:t>23. srpnja 2018.</w:t>
      </w:r>
      <w:r>
        <w:rPr>
          <w:lang w:val="hr-HR"/>
        </w:rPr>
        <w:t xml:space="preserve"> dostavila stečajni plan (list 3329-3682 spisa). </w:t>
      </w:r>
    </w:p>
    <w:p w:rsidRDefault="000F1251" w:rsidP="004962C9" w:rsidR="00263A45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Pregledom priloženog stečajnog plana, utvrđeno je da je </w:t>
      </w:r>
      <w:r w:rsidR="0061680C">
        <w:rPr>
          <w:lang w:val="hr-HR"/>
        </w:rPr>
        <w:t xml:space="preserve">za dio vjerovnika </w:t>
      </w:r>
      <w:r w:rsidR="00263A45">
        <w:rPr>
          <w:lang w:val="hr-HR"/>
        </w:rPr>
        <w:t>predviđeno nenovčano namirenje pretvaranjem prava – tražbina u temeljni kapital, no</w:t>
      </w:r>
      <w:r w:rsidR="004962C9">
        <w:rPr>
          <w:lang w:val="hr-HR"/>
        </w:rPr>
        <w:t>,</w:t>
      </w:r>
      <w:r w:rsidR="00263A45">
        <w:rPr>
          <w:lang w:val="hr-HR"/>
        </w:rPr>
        <w:t xml:space="preserve"> uz dostavljeni plan nisu dostavljene sve potrebne izjave o suglasnosti tih vjerovnika u smislu odredbe čl. 316. st. 2. </w:t>
      </w:r>
      <w:r w:rsidR="00263A45" w:rsidRPr="00263A45">
        <w:rPr>
          <w:lang w:val="hr-HR"/>
        </w:rPr>
        <w:t>Stečajnog zakona („Narodne novine“ broj 71/15 i 104/2017; dalje SZ)</w:t>
      </w:r>
      <w:r w:rsidR="00263A45">
        <w:rPr>
          <w:lang w:val="hr-HR"/>
        </w:rPr>
        <w:t>.</w:t>
      </w:r>
    </w:p>
    <w:p w:rsidRDefault="00263A45" w:rsidP="004962C9" w:rsidR="000F1251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navedenog, a temeljem odredbi </w:t>
      </w:r>
      <w:r w:rsidRPr="00263A45">
        <w:rPr>
          <w:lang w:val="hr-HR"/>
        </w:rPr>
        <w:t>čl. 316. st. 2.</w:t>
      </w:r>
      <w:r>
        <w:rPr>
          <w:lang w:val="hr-HR"/>
        </w:rPr>
        <w:t xml:space="preserve">, </w:t>
      </w:r>
      <w:r w:rsidR="0047516E">
        <w:rPr>
          <w:lang w:val="hr-HR"/>
        </w:rPr>
        <w:t xml:space="preserve"> 305. i 317. SZ-a odlučeno je kao u izreci ovog zaključka.</w:t>
      </w:r>
    </w:p>
    <w:p w:rsidRDefault="003F13DF" w:rsidP="004962C9" w:rsidR="00D12356" w:rsidRPr="00C905FC">
      <w:pPr>
        <w:spacing w:before="200"/>
        <w:jc w:val="center"/>
        <w:rPr>
          <w:lang w:val="hr-HR"/>
        </w:rPr>
      </w:pPr>
      <w:r w:rsidRPr="00C905FC">
        <w:rPr>
          <w:lang w:val="hr-HR"/>
        </w:rPr>
        <w:t>U Splitu</w:t>
      </w:r>
      <w:r w:rsidR="000F1251">
        <w:rPr>
          <w:lang w:val="hr-HR"/>
        </w:rPr>
        <w:t xml:space="preserve"> 24. rujna 2018.</w:t>
      </w:r>
      <w:r w:rsidR="00BF2D28" w:rsidRPr="00C905FC">
        <w:rPr>
          <w:lang w:val="hr-HR"/>
        </w:rPr>
        <w:t xml:space="preserve"> </w:t>
      </w:r>
    </w:p>
    <w:p w:rsidRDefault="000F1251" w:rsidP="004962C9" w:rsidR="0094373F" w:rsidRPr="00C905FC">
      <w:pPr>
        <w:spacing w:before="200"/>
        <w:ind w:left="7088"/>
        <w:jc w:val="center"/>
        <w:rPr>
          <w:lang w:val="hr-HR"/>
        </w:rPr>
      </w:pPr>
      <w:r w:rsidRPr="00C905FC">
        <w:rPr>
          <w:lang w:val="hr-HR"/>
        </w:rPr>
        <w:t>Sutkinja</w:t>
      </w:r>
    </w:p>
    <w:p w:rsidRDefault="000F1251" w:rsidP="0047516E" w:rsidR="00A9290A" w:rsidRPr="00C905FC">
      <w:pPr>
        <w:ind w:left="7088"/>
        <w:jc w:val="center"/>
        <w:rPr>
          <w:lang w:val="hr-HR"/>
        </w:rPr>
      </w:pPr>
      <w:r w:rsidRPr="00C905FC">
        <w:rPr>
          <w:lang w:val="hr-HR"/>
        </w:rPr>
        <w:t>Ana Golub Gruić</w:t>
      </w:r>
    </w:p>
    <w:p w:rsidRDefault="00D9457A" w:rsidP="0094373F" w:rsidR="00D9457A" w:rsidRPr="00C905FC">
      <w:pPr>
        <w:jc w:val="both"/>
        <w:rPr>
          <w:b/>
          <w:lang w:val="hr-HR"/>
        </w:rPr>
      </w:pPr>
    </w:p>
    <w:p w:rsidRDefault="004962C9" w:rsidP="0094373F" w:rsidR="0094373F" w:rsidRPr="00C905FC">
      <w:pPr>
        <w:jc w:val="both"/>
        <w:rPr>
          <w:lang w:val="hr-HR"/>
        </w:rPr>
      </w:pPr>
      <w:r>
        <w:rPr>
          <w:lang w:val="hr-HR"/>
        </w:rPr>
        <w:t>Uputa o pravnom lijeku</w:t>
      </w:r>
      <w:r w:rsidR="0094373F" w:rsidRPr="00C905FC">
        <w:rPr>
          <w:lang w:val="hr-HR"/>
        </w:rPr>
        <w:t>:</w:t>
      </w:r>
      <w:r>
        <w:rPr>
          <w:lang w:val="hr-HR"/>
        </w:rPr>
        <w:t xml:space="preserve"> </w:t>
      </w:r>
      <w:r w:rsidR="0094373F" w:rsidRPr="00C905FC">
        <w:rPr>
          <w:lang w:val="hr-HR"/>
        </w:rPr>
        <w:t>Protiv ovog</w:t>
      </w:r>
      <w:r w:rsidR="009B0A92">
        <w:rPr>
          <w:lang w:val="hr-HR"/>
        </w:rPr>
        <w:t xml:space="preserve"> </w:t>
      </w:r>
      <w:r w:rsidR="00911ECA" w:rsidRPr="00C905FC">
        <w:rPr>
          <w:lang w:val="hr-HR"/>
        </w:rPr>
        <w:t>zaključka</w:t>
      </w:r>
      <w:r w:rsidR="009B0A92">
        <w:rPr>
          <w:lang w:val="hr-HR"/>
        </w:rPr>
        <w:t xml:space="preserve"> </w:t>
      </w:r>
      <w:r w:rsidR="00D95019" w:rsidRPr="00C905FC">
        <w:rPr>
          <w:lang w:val="hr-HR"/>
        </w:rPr>
        <w:t xml:space="preserve">nije </w:t>
      </w:r>
      <w:r w:rsidR="007657A3" w:rsidRPr="00C905FC">
        <w:rPr>
          <w:lang w:val="hr-HR"/>
        </w:rPr>
        <w:t xml:space="preserve">dopuštena </w:t>
      </w:r>
      <w:r w:rsidR="00D95019" w:rsidRPr="00C905FC">
        <w:rPr>
          <w:lang w:val="hr-HR"/>
        </w:rPr>
        <w:t>žalba.</w:t>
      </w:r>
    </w:p>
    <w:p w:rsidRDefault="0094373F" w:rsidP="0094373F" w:rsidR="0094373F" w:rsidRPr="00C905FC">
      <w:pPr>
        <w:jc w:val="both"/>
        <w:rPr>
          <w:b/>
          <w:lang w:val="hr-HR"/>
        </w:rPr>
      </w:pPr>
    </w:p>
    <w:p w:rsidRDefault="004962C9" w:rsidP="00805EB1" w:rsidR="007657A3" w:rsidRPr="00C905FC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805EB1" w:rsidP="007657A3" w:rsidR="00CD5119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>stečajno</w:t>
      </w:r>
      <w:r w:rsidR="009B0FBE" w:rsidRPr="00C905FC">
        <w:rPr>
          <w:lang w:val="hr-HR"/>
        </w:rPr>
        <w:t>j upraviteljici</w:t>
      </w:r>
    </w:p>
    <w:p w:rsidRDefault="00862BF6" w:rsidP="007657A3" w:rsidR="00805EB1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 xml:space="preserve">mrežna stranica e-Oglasna ploča sudova </w:t>
      </w:r>
    </w:p>
    <w:p w:rsidRDefault="0094373F" w:rsidP="0094373F" w:rsidR="00247D9D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>u spis</w:t>
      </w:r>
    </w:p>
    <w:sectPr w:rsidSect="00D12356" w:rsidR="00247D9D" w:rsidRPr="00C905FC">
      <w:headerReference w:type="default" r:id="rId11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FB4" w:rsidP="003A6DA9" w:rsidR="00021FB4">
      <w:r>
        <w:separator/>
      </w:r>
    </w:p>
  </w:endnote>
  <w:endnote w:id="0" w:type="continuationSeparator">
    <w:p w:rsidRDefault="00021FB4" w:rsidP="003A6DA9" w:rsidR="00021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FB4" w:rsidP="003A6DA9" w:rsidR="00021FB4">
      <w:r>
        <w:separator/>
      </w:r>
    </w:p>
  </w:footnote>
  <w:footnote w:id="0" w:type="continuationSeparator">
    <w:p w:rsidRDefault="00021FB4" w:rsidP="003A6DA9" w:rsidR="00021F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4962C9">
    <w:pPr>
      <w:pStyle w:val="Zaglavlje"/>
      <w:jc w:val="right"/>
      <w:rPr>
        <w:lang w:val="hr-HR"/>
      </w:rPr>
    </w:pPr>
    <w:r>
      <w:tab/>
    </w:r>
    <w:r w:rsidR="009F5E31">
      <w:fldChar w:fldCharType="begin"/>
    </w:r>
    <w:r>
      <w:instrText>PAGE   \* MERGEFORMAT</w:instrText>
    </w:r>
    <w:r w:rsidR="009F5E31">
      <w:fldChar w:fldCharType="separate"/>
    </w:r>
    <w:r w:rsidR="00A536F1" w:rsidRPr="00A536F1">
      <w:rPr>
        <w:noProof/>
        <w:lang w:val="hr-HR"/>
      </w:rPr>
      <w:t>2</w:t>
    </w:r>
    <w:r w:rsidR="009F5E31">
      <w:fldChar w:fldCharType="end"/>
    </w:r>
    <w:r>
      <w:tab/>
    </w:r>
    <w:r w:rsidR="004962C9" w:rsidRPr="004962C9">
      <w:rPr>
        <w:lang w:val="hr-HR"/>
      </w:rPr>
      <w:t xml:space="preserve">Poslovni broj: </w:t>
    </w:r>
    <w:r w:rsidR="00C905FC" w:rsidRPr="004962C9">
      <w:rPr>
        <w:lang w:val="hr-HR"/>
      </w:rPr>
      <w:t>11.St-</w:t>
    </w:r>
    <w:r w:rsidR="00644E4D" w:rsidRPr="004962C9">
      <w:rPr>
        <w:lang w:val="hr-HR"/>
      </w:rPr>
      <w:t>9/2015</w:t>
    </w:r>
  </w:p>
  <w:p w:rsidRDefault="005E4169" w:rsidR="005E4169" w:rsidRPr="004962C9">
    <w:pPr>
      <w:pStyle w:val="Zaglavlje"/>
      <w:jc w:val="center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50AE"/>
    <w:rsid w:val="00021FB4"/>
    <w:rsid w:val="000262F0"/>
    <w:rsid w:val="00037DAA"/>
    <w:rsid w:val="00044E41"/>
    <w:rsid w:val="0004782B"/>
    <w:rsid w:val="00052876"/>
    <w:rsid w:val="00053D26"/>
    <w:rsid w:val="0006625F"/>
    <w:rsid w:val="00066E35"/>
    <w:rsid w:val="00072A78"/>
    <w:rsid w:val="0007420F"/>
    <w:rsid w:val="00077117"/>
    <w:rsid w:val="000843D7"/>
    <w:rsid w:val="00095710"/>
    <w:rsid w:val="000A0D85"/>
    <w:rsid w:val="000A40B0"/>
    <w:rsid w:val="000B0BFB"/>
    <w:rsid w:val="000C2350"/>
    <w:rsid w:val="000F1251"/>
    <w:rsid w:val="00103E11"/>
    <w:rsid w:val="00116E67"/>
    <w:rsid w:val="001472E9"/>
    <w:rsid w:val="0015249D"/>
    <w:rsid w:val="00152FD7"/>
    <w:rsid w:val="00160CA6"/>
    <w:rsid w:val="00161A95"/>
    <w:rsid w:val="00163930"/>
    <w:rsid w:val="00181E16"/>
    <w:rsid w:val="00197851"/>
    <w:rsid w:val="001A7172"/>
    <w:rsid w:val="001B6872"/>
    <w:rsid w:val="001D3A50"/>
    <w:rsid w:val="001E28A1"/>
    <w:rsid w:val="001F21D4"/>
    <w:rsid w:val="0020468F"/>
    <w:rsid w:val="002067E4"/>
    <w:rsid w:val="002162CC"/>
    <w:rsid w:val="00220C54"/>
    <w:rsid w:val="00222C48"/>
    <w:rsid w:val="00243C65"/>
    <w:rsid w:val="00247D9D"/>
    <w:rsid w:val="002575D0"/>
    <w:rsid w:val="002612F2"/>
    <w:rsid w:val="00263A45"/>
    <w:rsid w:val="00280334"/>
    <w:rsid w:val="002813EE"/>
    <w:rsid w:val="002817A1"/>
    <w:rsid w:val="002820A8"/>
    <w:rsid w:val="002857E8"/>
    <w:rsid w:val="00287744"/>
    <w:rsid w:val="002A092A"/>
    <w:rsid w:val="002B32D0"/>
    <w:rsid w:val="002E00D3"/>
    <w:rsid w:val="002E04F5"/>
    <w:rsid w:val="002E70E8"/>
    <w:rsid w:val="002F4660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74F05"/>
    <w:rsid w:val="00393E7E"/>
    <w:rsid w:val="003A6DA9"/>
    <w:rsid w:val="003B622D"/>
    <w:rsid w:val="003C7897"/>
    <w:rsid w:val="003E6A1E"/>
    <w:rsid w:val="003E7FAE"/>
    <w:rsid w:val="003F13DF"/>
    <w:rsid w:val="00405B05"/>
    <w:rsid w:val="00407472"/>
    <w:rsid w:val="00407C61"/>
    <w:rsid w:val="004106FB"/>
    <w:rsid w:val="004145AC"/>
    <w:rsid w:val="00423F3D"/>
    <w:rsid w:val="00424E14"/>
    <w:rsid w:val="00442FF0"/>
    <w:rsid w:val="00461897"/>
    <w:rsid w:val="00461B6D"/>
    <w:rsid w:val="0047098F"/>
    <w:rsid w:val="0047516E"/>
    <w:rsid w:val="00475170"/>
    <w:rsid w:val="00481A51"/>
    <w:rsid w:val="00482AB7"/>
    <w:rsid w:val="00492F65"/>
    <w:rsid w:val="0049617F"/>
    <w:rsid w:val="004962C9"/>
    <w:rsid w:val="004A02C7"/>
    <w:rsid w:val="004A2409"/>
    <w:rsid w:val="004A37A2"/>
    <w:rsid w:val="004E661E"/>
    <w:rsid w:val="004F563E"/>
    <w:rsid w:val="005156C2"/>
    <w:rsid w:val="00536182"/>
    <w:rsid w:val="00560FDA"/>
    <w:rsid w:val="00565F49"/>
    <w:rsid w:val="00572744"/>
    <w:rsid w:val="00582383"/>
    <w:rsid w:val="005864F2"/>
    <w:rsid w:val="0059707E"/>
    <w:rsid w:val="005D7DE4"/>
    <w:rsid w:val="005E4169"/>
    <w:rsid w:val="005E573D"/>
    <w:rsid w:val="0061680C"/>
    <w:rsid w:val="006300A7"/>
    <w:rsid w:val="00634CD8"/>
    <w:rsid w:val="00636234"/>
    <w:rsid w:val="00636970"/>
    <w:rsid w:val="00644E4D"/>
    <w:rsid w:val="00650AEE"/>
    <w:rsid w:val="00656DEE"/>
    <w:rsid w:val="00665CE0"/>
    <w:rsid w:val="006713BE"/>
    <w:rsid w:val="00691741"/>
    <w:rsid w:val="006A5D0E"/>
    <w:rsid w:val="006D5F0A"/>
    <w:rsid w:val="006E2E8E"/>
    <w:rsid w:val="00724A63"/>
    <w:rsid w:val="007301D9"/>
    <w:rsid w:val="00741EFD"/>
    <w:rsid w:val="00744AA6"/>
    <w:rsid w:val="00753564"/>
    <w:rsid w:val="0075417E"/>
    <w:rsid w:val="00755850"/>
    <w:rsid w:val="007624B5"/>
    <w:rsid w:val="007657A3"/>
    <w:rsid w:val="007777A1"/>
    <w:rsid w:val="00782549"/>
    <w:rsid w:val="00782CE6"/>
    <w:rsid w:val="007841BB"/>
    <w:rsid w:val="007B68C5"/>
    <w:rsid w:val="007D334B"/>
    <w:rsid w:val="007D4F11"/>
    <w:rsid w:val="007F26EE"/>
    <w:rsid w:val="007F27DF"/>
    <w:rsid w:val="007F4B82"/>
    <w:rsid w:val="007F5FE2"/>
    <w:rsid w:val="007F73CA"/>
    <w:rsid w:val="00801AF4"/>
    <w:rsid w:val="00805EB1"/>
    <w:rsid w:val="00821B89"/>
    <w:rsid w:val="008504C6"/>
    <w:rsid w:val="00862BF6"/>
    <w:rsid w:val="008A6DB8"/>
    <w:rsid w:val="008B08C9"/>
    <w:rsid w:val="008B4783"/>
    <w:rsid w:val="008C41C3"/>
    <w:rsid w:val="008D5CFA"/>
    <w:rsid w:val="008D7DE5"/>
    <w:rsid w:val="008E5346"/>
    <w:rsid w:val="008F5F42"/>
    <w:rsid w:val="00911ECA"/>
    <w:rsid w:val="00913E4E"/>
    <w:rsid w:val="0091491C"/>
    <w:rsid w:val="00917820"/>
    <w:rsid w:val="00931330"/>
    <w:rsid w:val="0094373F"/>
    <w:rsid w:val="00944B42"/>
    <w:rsid w:val="009450E0"/>
    <w:rsid w:val="00955058"/>
    <w:rsid w:val="00964A7F"/>
    <w:rsid w:val="00966EDF"/>
    <w:rsid w:val="00970248"/>
    <w:rsid w:val="00974190"/>
    <w:rsid w:val="009768A3"/>
    <w:rsid w:val="00983571"/>
    <w:rsid w:val="00993327"/>
    <w:rsid w:val="009B0A92"/>
    <w:rsid w:val="009B0FBE"/>
    <w:rsid w:val="009C5D94"/>
    <w:rsid w:val="009D1F7B"/>
    <w:rsid w:val="009D59A9"/>
    <w:rsid w:val="009E4287"/>
    <w:rsid w:val="009F5E31"/>
    <w:rsid w:val="00A04368"/>
    <w:rsid w:val="00A17C90"/>
    <w:rsid w:val="00A47CC1"/>
    <w:rsid w:val="00A50D9D"/>
    <w:rsid w:val="00A536F1"/>
    <w:rsid w:val="00A6343F"/>
    <w:rsid w:val="00A63AE2"/>
    <w:rsid w:val="00A70AB1"/>
    <w:rsid w:val="00A76440"/>
    <w:rsid w:val="00A82F7B"/>
    <w:rsid w:val="00A83B92"/>
    <w:rsid w:val="00A9290A"/>
    <w:rsid w:val="00A93CC7"/>
    <w:rsid w:val="00AE304B"/>
    <w:rsid w:val="00AE783D"/>
    <w:rsid w:val="00AF48CD"/>
    <w:rsid w:val="00B225EB"/>
    <w:rsid w:val="00B25EA7"/>
    <w:rsid w:val="00B33109"/>
    <w:rsid w:val="00B41B2D"/>
    <w:rsid w:val="00B44914"/>
    <w:rsid w:val="00B62E08"/>
    <w:rsid w:val="00B65BD1"/>
    <w:rsid w:val="00B66F81"/>
    <w:rsid w:val="00BA7F27"/>
    <w:rsid w:val="00BB4A85"/>
    <w:rsid w:val="00BC0E85"/>
    <w:rsid w:val="00BD6AB2"/>
    <w:rsid w:val="00BE4C93"/>
    <w:rsid w:val="00BF0BEA"/>
    <w:rsid w:val="00BF2D28"/>
    <w:rsid w:val="00BF3636"/>
    <w:rsid w:val="00C00BC5"/>
    <w:rsid w:val="00C01CFA"/>
    <w:rsid w:val="00C03569"/>
    <w:rsid w:val="00C07389"/>
    <w:rsid w:val="00C11134"/>
    <w:rsid w:val="00C460A8"/>
    <w:rsid w:val="00C6412A"/>
    <w:rsid w:val="00C7079F"/>
    <w:rsid w:val="00C7154D"/>
    <w:rsid w:val="00C905FC"/>
    <w:rsid w:val="00C949FA"/>
    <w:rsid w:val="00CA2900"/>
    <w:rsid w:val="00CA4E54"/>
    <w:rsid w:val="00CB57CE"/>
    <w:rsid w:val="00CC3B1A"/>
    <w:rsid w:val="00CD204B"/>
    <w:rsid w:val="00CD4524"/>
    <w:rsid w:val="00CD5119"/>
    <w:rsid w:val="00CE0630"/>
    <w:rsid w:val="00CE5EE5"/>
    <w:rsid w:val="00D075A6"/>
    <w:rsid w:val="00D10042"/>
    <w:rsid w:val="00D12356"/>
    <w:rsid w:val="00D25F27"/>
    <w:rsid w:val="00D268E7"/>
    <w:rsid w:val="00D35403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B4A12"/>
    <w:rsid w:val="00DF2B98"/>
    <w:rsid w:val="00E059E1"/>
    <w:rsid w:val="00E17A90"/>
    <w:rsid w:val="00E25A2D"/>
    <w:rsid w:val="00E3179A"/>
    <w:rsid w:val="00E35B71"/>
    <w:rsid w:val="00E77705"/>
    <w:rsid w:val="00E866A5"/>
    <w:rsid w:val="00E91BA8"/>
    <w:rsid w:val="00E93573"/>
    <w:rsid w:val="00ED73F6"/>
    <w:rsid w:val="00EF37A9"/>
    <w:rsid w:val="00F0037C"/>
    <w:rsid w:val="00F043B2"/>
    <w:rsid w:val="00F373A1"/>
    <w:rsid w:val="00F41799"/>
    <w:rsid w:val="00F41A3E"/>
    <w:rsid w:val="00F437BA"/>
    <w:rsid w:val="00F44A39"/>
    <w:rsid w:val="00F450E2"/>
    <w:rsid w:val="00F4713D"/>
    <w:rsid w:val="00F56A92"/>
    <w:rsid w:val="00F77480"/>
    <w:rsid w:val="00F833D5"/>
    <w:rsid w:val="00F908E0"/>
    <w:rsid w:val="00F9173B"/>
    <w:rsid w:val="00F96690"/>
    <w:rsid w:val="00FA77FF"/>
    <w:rsid w:val="00FD0056"/>
    <w:rsid w:val="00FD6033"/>
    <w:rsid w:val="00FD6624"/>
    <w:rsid w:val="00FE1D22"/>
    <w:rsid w:val="00FE4F81"/>
    <w:rsid w:val="00FE663C"/>
    <w:rsid w:val="00FF58C4"/>
    <w:rsid w:val="00FF5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3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6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3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6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6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6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6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Priko/bb, 21460 Stari Grad</izvorni_sadrzaj>
    <derivirana_varijabla naziv="DomainObject.Predmet.ProtustrankaFormatedWithAdress_1"> HELIOS FAROS, dioničko društvo za ugostiteljstvo u stečaju, Priko/bb, 21460 Stari Grad</derivirana_varijabla>
  </DomainObject.Predmet.ProtustrankaFormatedWithAdress>
  <DomainObject.Predmet.ProtustrankaFormatedWithAdressOIB>
    <izvorni_sadrzaj> HELIOS FAROS, dioničko društvo za ugostiteljstvo u stečaju, OIB 48594515409, Priko/bb, 21460 Stari Grad</izvorni_sadrzaj>
    <derivirana_varijabla naziv="DomainObject.Predmet.ProtustrankaFormatedWithAdressOIB_1"> HELIOS FAROS, dioničko društvo za ugostiteljstvo u stečaju, OIB 48594515409, Priko/bb, 21460 Stari Grad</derivirana_varijabla>
  </DomainObject.Predmet.ProtustrankaFormatedWithAdressOIB>
  <DomainObject.Predmet.ProtustrankaWithAdress>
    <izvorni_sadrzaj>HELIOS FAROS, dioničko društvo za ugostiteljstvo u stečaju Priko/bb, 21460 Stari Grad</izvorni_sadrzaj>
    <derivirana_varijabla naziv="DomainObject.Predmet.ProtustrankaWithAdress_1">HELIOS FAROS, dioničko društvo za ugostiteljstvo u stečaju Priko/bb, 21460 Stari Grad</derivirana_varijabla>
  </DomainObject.Predmet.ProtustrankaWithAdress>
  <DomainObject.Predmet.ProtustrankaWithAdressOIB>
    <izvorni_sadrzaj>HELIOS FAROS, dioničko društvo za ugostiteljstvo u stečaju, OIB 48594515409, Priko/bb, 21460 Stari Grad</izvorni_sadrzaj>
    <derivirana_varijabla naziv="DomainObject.Predmet.ProtustrankaWithAdressOIB_1">HELIOS FAROS, dioničko društvo za ugostiteljstvo u stečaju, OIB 48594515409, Priko/bb,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Priko/bb, 21460 Stari Grad</item>
    </izvorni_sadrzaj>
    <derivirana_varijabla naziv="DomainObject.Predmet.ProtuStrankaListFormatedWithAdress_1">
      <item>HELIOS FAROS, dioničko društvo za ugostiteljstvo u stečaju, Priko/bb,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Priko/bb, 21460 Stari Grad</item>
    </izvorni_sadrzaj>
    <derivirana_varijabla naziv="DomainObject.Predmet.ProtuStrankaListFormatedWithAdressOIB_1">
      <item>HELIOS FAROS, dioničko društvo za ugostiteljstvo u stečaju,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Priko/bb, 21460 Stari Grad</izvorni_sadrzaj>
    <derivirana_varijabla naziv="DomainObject.Predmet.ProtustrankaIDrugiAdressOIB_1">HELIOS FAROS, dioničko društvo za ugostiteljstvo u stečaju,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0E76A-314D-4D90-BEF8-4CB9DC99B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1543</properties:Characters>
  <properties:Lines>49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2018-09-24T08:26:00Z</dcterms:created>
  <dc:creator>pbacic</dc:creator>
  <cp:lastModifiedBy>Ana Golub Gruić</cp:lastModifiedBy>
  <cp:lastPrinted>2018-09-24T08:28:00Z</cp:lastPrinted>
  <dcterms:modified xmlns:xsi="http://www.w3.org/2001/XMLSchema-instance" xsi:type="dcterms:W3CDTF">2018-09-24T09:52:00Z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(St-9-2015 poziv na dopunu stečajnog plana - dostava izjava za dokapitalizaciju.docx)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