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d9345" w14:paraId="35d9345"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303C21" w:rsidP="00303C21" w:rsidR="00303C21">
      <w:pPr>
        <w:spacing w:after="0"/>
        <w:jc w:val="both"/>
      </w:pPr>
    </w:p>
    <w:p w:rsidRDefault="00303C21" w:rsidP="00303C21" w:rsidR="00303C21">
      <w:pPr>
        <w:spacing w:after="0"/>
        <w:jc w:val="both"/>
      </w:pPr>
    </w:p>
    <w:p w:rsidRDefault="00303C21" w:rsidP="00303C21" w:rsidR="00303C21">
      <w:pPr>
        <w:spacing w:after="0"/>
        <w:jc w:val="both"/>
      </w:pPr>
    </w:p>
    <w:p w:rsidRDefault="00303C21" w:rsidP="00303C21" w:rsidR="00303C21">
      <w:pPr>
        <w:spacing w:after="0"/>
        <w:jc w:val="both"/>
      </w:pPr>
    </w:p>
    <w:p w:rsidRDefault="00303C21" w:rsidP="00303C21" w:rsidR="00303C21">
      <w:pPr>
        <w:spacing w:after="0"/>
        <w:jc w:val="both"/>
      </w:pPr>
    </w:p>
    <w:p w:rsidRDefault="00303C21" w:rsidP="00303C21" w:rsidR="00303C21">
      <w:pPr>
        <w:spacing w:after="0"/>
        <w:jc w:val="center"/>
        <w:rPr>
          <w:b/>
        </w:rPr>
      </w:pPr>
    </w:p>
    <w:p w:rsidRDefault="00303C21" w:rsidP="00303C21" w:rsidR="00303C21">
      <w:pPr>
        <w:spacing w:after="0"/>
        <w:jc w:val="center"/>
        <w:rPr>
          <w:b/>
        </w:rPr>
      </w:pPr>
      <w:r>
        <w:rPr>
          <w:b/>
        </w:rPr>
        <w:t>R E P U B L I K A   H R V A T S K A</w:t>
      </w:r>
    </w:p>
    <w:p w:rsidRDefault="00303C21" w:rsidP="00303C21" w:rsidR="00303C21">
      <w:pPr>
        <w:spacing w:after="0"/>
        <w:jc w:val="center"/>
        <w:rPr>
          <w:b/>
        </w:rPr>
      </w:pPr>
    </w:p>
    <w:p w:rsidRDefault="00303C21" w:rsidP="00303C21" w:rsidR="00303C21">
      <w:pPr>
        <w:spacing w:after="0"/>
        <w:jc w:val="center"/>
        <w:rPr>
          <w:b/>
        </w:rPr>
      </w:pPr>
      <w:r>
        <w:rPr>
          <w:b/>
        </w:rPr>
        <w:t>R J E Š E NJ E</w:t>
      </w:r>
    </w:p>
    <w:p w:rsidRDefault="00303C21" w:rsidP="00303C21" w:rsidR="00303C21">
      <w:pPr>
        <w:spacing w:after="0"/>
        <w:jc w:val="both"/>
      </w:pPr>
    </w:p>
    <w:p w:rsidRDefault="00303C21" w:rsidP="00303C21" w:rsidR="00303C21">
      <w:pPr>
        <w:spacing w:after="0"/>
        <w:jc w:val="both"/>
      </w:pPr>
    </w:p>
    <w:p w:rsidRDefault="00303C21" w:rsidP="00303C21" w:rsidR="00303C21">
      <w:pPr>
        <w:spacing w:after="0"/>
        <w:jc w:val="both"/>
      </w:pPr>
      <w:r>
        <w:t>Visoki trgovački sud Republike Hrvatske, u vijeću sastavljenom od sudaca Raoula Dubravca, predsjednika vijeća, Josipa Turkalja, suca izvjestitelja i Draženke Deladio, članice vijeća, u predstečajnom postupku nad dužnikom VOĆNJAK društvo s ograničenom odgovornošću za proizvodnju i usluge, OIB 52871551229, MBS 030104368, Bjelovar, Matice Hrvatske 4/1, kojeg zastupa punomoćnik Ivan Župan, odvjetnik u Zajedničkom odvjetničkom uredu Ivan Župan i Melita Babić, Zagreb, Teslina 10, odlučujući o žalbi dužnika protiv rješenja Trgovačkog suda u Bjelovaru poslovni broj St-295/2017-7 od 31. kolovoza 2017., u sjednici vijeća održanoj 3. listopada 2017.</w:t>
      </w:r>
    </w:p>
    <w:p w:rsidRDefault="00303C21" w:rsidP="00303C21" w:rsidR="00303C21">
      <w:pPr>
        <w:spacing w:after="0"/>
        <w:jc w:val="both"/>
      </w:pPr>
    </w:p>
    <w:p w:rsidRDefault="00303C21" w:rsidP="00303C21" w:rsidR="00303C21">
      <w:pPr>
        <w:spacing w:after="0"/>
        <w:jc w:val="both"/>
      </w:pPr>
    </w:p>
    <w:p w:rsidRDefault="00303C21" w:rsidP="00303C21" w:rsidR="00303C21">
      <w:pPr>
        <w:spacing w:after="0"/>
        <w:jc w:val="center"/>
      </w:pPr>
      <w:r>
        <w:t>r i j e š i o   j e</w:t>
      </w:r>
    </w:p>
    <w:p w:rsidRDefault="00303C21" w:rsidP="00303C21" w:rsidR="00303C21">
      <w:pPr>
        <w:spacing w:after="0"/>
        <w:jc w:val="both"/>
      </w:pPr>
    </w:p>
    <w:p w:rsidRDefault="00303C21" w:rsidP="00303C21" w:rsidR="00303C21">
      <w:pPr>
        <w:spacing w:after="0"/>
        <w:jc w:val="both"/>
      </w:pPr>
    </w:p>
    <w:p w:rsidRDefault="00303C21" w:rsidP="00303C21" w:rsidR="00303C21">
      <w:pPr>
        <w:spacing w:after="0"/>
        <w:jc w:val="both"/>
      </w:pPr>
      <w:r>
        <w:tab/>
        <w:t xml:space="preserve">Odbija se žalba dužnika Voćnjak d.o.o., Bjelovar, kao neosnovana i potvrđuje rješenje Trgovačkog suda u Bjelovaru poslovni broj St-295/2017-7 od 31. kolovoza 2017. </w:t>
      </w:r>
    </w:p>
    <w:p w:rsidRDefault="00303C21" w:rsidP="00303C21" w:rsidR="00303C21">
      <w:pPr>
        <w:spacing w:after="0"/>
        <w:jc w:val="both"/>
      </w:pPr>
    </w:p>
    <w:p w:rsidRDefault="00303C21" w:rsidP="00303C21" w:rsidR="00303C21">
      <w:pPr>
        <w:spacing w:after="0"/>
        <w:jc w:val="both"/>
      </w:pPr>
    </w:p>
    <w:p w:rsidRDefault="00303C21" w:rsidP="00303C21" w:rsidR="00303C21">
      <w:pPr>
        <w:spacing w:after="0"/>
        <w:jc w:val="center"/>
      </w:pPr>
      <w:r>
        <w:t>Obrazloženje</w:t>
      </w:r>
    </w:p>
    <w:p w:rsidRDefault="00303C21" w:rsidP="00303C21" w:rsidR="00303C21">
      <w:pPr>
        <w:spacing w:after="0"/>
        <w:jc w:val="both"/>
      </w:pPr>
    </w:p>
    <w:p w:rsidRDefault="00303C21" w:rsidP="00303C21" w:rsidR="00303C21">
      <w:pPr>
        <w:spacing w:after="0"/>
        <w:jc w:val="both"/>
      </w:pPr>
    </w:p>
    <w:p w:rsidRDefault="00303C21" w:rsidP="00303C21" w:rsidR="00303C21">
      <w:pPr>
        <w:spacing w:after="0"/>
        <w:jc w:val="both"/>
      </w:pPr>
      <w:r>
        <w:tab/>
        <w:t>Rješenjem suda prvog stupnja odbijen je zahtjev dužnika za prekidom postupka predstečajne nagodbe do pravomoćnog okončanja postupka predstečajne nagodbe nad dužnikom Vrt d.o.o., Bjelovar.</w:t>
      </w:r>
    </w:p>
    <w:p w:rsidRDefault="00303C21" w:rsidP="00303C21" w:rsidR="00303C21">
      <w:pPr>
        <w:spacing w:after="0"/>
        <w:jc w:val="both"/>
      </w:pPr>
    </w:p>
    <w:p w:rsidRDefault="00303C21" w:rsidP="00303C21" w:rsidR="00303C21">
      <w:pPr>
        <w:spacing w:after="0"/>
        <w:jc w:val="both"/>
      </w:pPr>
      <w:r>
        <w:tab/>
        <w:t>Protiv ovog rješenja žali se dužnik zbog svih žalbenih razloga iz čl. 353. st. 1. Zakona o parničnom postupku („Narodne novine“ 148/11-pročišćeni tekst 25/13 i 89/14; dalje: ZPP), te predlaže pobijano rješenje preinačiti podredno ukinuti.</w:t>
      </w:r>
    </w:p>
    <w:p w:rsidRDefault="00303C21" w:rsidP="00303C21" w:rsidR="00303C21">
      <w:pPr>
        <w:spacing w:after="0"/>
        <w:jc w:val="both"/>
      </w:pPr>
    </w:p>
    <w:p w:rsidRDefault="00303C21" w:rsidP="00303C21" w:rsidR="00303C21">
      <w:pPr>
        <w:spacing w:after="0"/>
        <w:jc w:val="both"/>
      </w:pPr>
      <w:r>
        <w:tab/>
        <w:t>Žalba nije osnovana.</w:t>
      </w:r>
    </w:p>
    <w:p w:rsidRDefault="00303C21" w:rsidP="00303C21" w:rsidR="00303C21">
      <w:pPr>
        <w:spacing w:after="0"/>
        <w:jc w:val="both"/>
      </w:pPr>
    </w:p>
    <w:p w:rsidRDefault="00303C21" w:rsidP="00303C21" w:rsidR="00303C21">
      <w:pPr>
        <w:spacing w:after="0"/>
        <w:jc w:val="both"/>
      </w:pPr>
      <w:r>
        <w:tab/>
        <w:t xml:space="preserve">Suprotno navodima žalbe sud prvog stupnja daje razloge o svim odlučnim činjenicama koje su jasne i neproturječne, te ne postoji proturječnost između onoga što se u razlozima pobijanog rješenja navodi o sadržaju ispravljena zapisnika o iskazima u daljnjem postupku i samih tih ispravljenih zapisnika, te je stoga pobijano rješenje moguće ispitati, a zbog čega nije </w:t>
      </w:r>
      <w:r>
        <w:lastRenderedPageBreak/>
        <w:t>počinjena bitna povreda odredaba parničnog postupka propisana odredbom čl. 354. st. 2. t. 11. ZPP-a.</w:t>
      </w:r>
    </w:p>
    <w:p w:rsidRDefault="00303C21" w:rsidP="00303C21" w:rsidR="00303C21">
      <w:pPr>
        <w:spacing w:after="0"/>
        <w:jc w:val="both"/>
      </w:pPr>
    </w:p>
    <w:p w:rsidRDefault="00303C21" w:rsidP="00303C21" w:rsidR="00303C21">
      <w:pPr>
        <w:spacing w:after="0"/>
        <w:jc w:val="both"/>
      </w:pPr>
      <w:r>
        <w:tab/>
        <w:t>Naime, sud prvog stupnja jasno je naveo da činjenica što je vjerovnik Erste &amp; Steiermarkische bank d.d. vjerovnik u ovom postupku predstečajne nagodbe i u postupku predstečajne nagodbe nad dužnikom Vrt d.o.o. Bjelovar na temelju istog ugovora o dugoročnom kreditu broj 5112180243, nije razlog za prekid postupka, jer je tražbina ovog vjerovnika djelomično priznata a djelomično osporena (priznata je tražbina u iznosu od 10.841.527,48 kn, a osporena u iznosu od 4.205.451,04 kn budući da je vjerovnik u prijavi naveo da se ne odriče prava na odvojeno namirenje s osnove utvrđenog razlučnog prava).</w:t>
      </w:r>
    </w:p>
    <w:p w:rsidRDefault="00303C21" w:rsidP="00303C21" w:rsidR="00303C21">
      <w:pPr>
        <w:spacing w:after="0"/>
        <w:jc w:val="both"/>
      </w:pPr>
    </w:p>
    <w:p w:rsidRDefault="00303C21" w:rsidP="00303C21" w:rsidR="00303C21">
      <w:pPr>
        <w:spacing w:after="0"/>
        <w:jc w:val="both"/>
      </w:pPr>
      <w:r>
        <w:tab/>
        <w:t>U postupku predstečajne nagodbe može se sklopiti nagodba samo u odnosu na priznatu tražbinu, pa je stoga pravno neodlučno vodi li se neki drugi postupak predstečajne nagodbe nad nekim drugim dužnikom povodom iste tražbine. Nakon što prijavljenu tražbinu nije osporio dužnik, povjerenik (ako je imenovan), a niti vjerovnik, prijavljena tražbina smatra se utvrđenom (čl. 47. Stečajnog zakona „Narodne novine“ broj 71/15-dalje: SZ). Rješenje o utvrđenim i osporenim tražbinama Trgovačkog suda u Bjelovaru poslovni broj St-1339/16-20 od 10. studenog 2016. (list 170.-174. spisa) postalo je pravomoćno 8. prosinca 2016. nakon što je odbijena žalba dužnika rješenjem Visokog trgovačkog suda RH poslovni broj</w:t>
      </w:r>
      <w:r>
        <w:br/>
        <w:t xml:space="preserve"> Pž-8048/16-2 od 8. prosinca 2016. (list 208. i 209. spisa).</w:t>
      </w:r>
    </w:p>
    <w:p w:rsidRDefault="00303C21" w:rsidP="00303C21" w:rsidR="00303C21">
      <w:pPr>
        <w:spacing w:after="0"/>
        <w:jc w:val="both"/>
      </w:pPr>
    </w:p>
    <w:p w:rsidRDefault="00303C21" w:rsidP="00303C21" w:rsidR="00303C21">
      <w:pPr>
        <w:spacing w:after="0"/>
        <w:jc w:val="both"/>
      </w:pPr>
      <w:r>
        <w:tab/>
        <w:t>Dakle, predstečajni postupak nad drugim dužnikom u odnosu na priznate tražbine ne može biti prethodno pitanje u ovom predstečajnom postupku.</w:t>
      </w:r>
    </w:p>
    <w:p w:rsidRDefault="00303C21" w:rsidP="00303C21" w:rsidR="00303C21">
      <w:pPr>
        <w:spacing w:after="0"/>
        <w:jc w:val="both"/>
      </w:pPr>
    </w:p>
    <w:p w:rsidRDefault="00303C21" w:rsidP="00303C21" w:rsidR="00303C21">
      <w:pPr>
        <w:spacing w:after="0"/>
        <w:jc w:val="both"/>
      </w:pPr>
      <w:r>
        <w:tab/>
        <w:t>Osim toga stečajni i predstečajni postupci ne mogu biti prekinuti, jer je to u suprotnosti sa samom prirodom ovih postupaka, a zbog čega se odredbe ZPP-a o prekidu postupka ne primjenjuju u stečajnom i predstečajnom postupku. Naime, odredbe ZPP-a o prekidu postupka se ne mogu na odgovarajući način primijeniti na stečajni i predstečajni postupak (čl. 10. SZ-a).</w:t>
      </w:r>
    </w:p>
    <w:p w:rsidRDefault="00303C21" w:rsidP="00303C21" w:rsidR="00303C21">
      <w:pPr>
        <w:spacing w:after="0"/>
        <w:jc w:val="both"/>
      </w:pPr>
    </w:p>
    <w:p w:rsidRDefault="00303C21" w:rsidP="00303C21" w:rsidR="00303C21">
      <w:pPr>
        <w:spacing w:after="0"/>
        <w:jc w:val="both"/>
      </w:pPr>
      <w:r>
        <w:tab/>
        <w:t>O osporenim tražbinama se u predstečajnom postupku ne raspravlja, već se u parnicu upućuju dužnik ili vjerovnik na temelju odredbe čl. 48. SZ-a.</w:t>
      </w:r>
    </w:p>
    <w:p w:rsidRDefault="00303C21" w:rsidP="00303C21" w:rsidR="00303C21">
      <w:pPr>
        <w:spacing w:after="0"/>
        <w:jc w:val="both"/>
      </w:pPr>
    </w:p>
    <w:p w:rsidRDefault="00303C21" w:rsidP="00303C21" w:rsidR="00303C21">
      <w:pPr>
        <w:spacing w:after="0"/>
        <w:jc w:val="both"/>
      </w:pPr>
      <w:r>
        <w:tab/>
        <w:t>Sud prvog stupnja nije počinio niti bitnu povredu odredaba parničnog postupka propisanu odredbom čl. 338. st. 4. u svezi s odredbom čl. 354. st. 1. ZPP-a.</w:t>
      </w:r>
    </w:p>
    <w:p w:rsidRDefault="00303C21" w:rsidP="00303C21" w:rsidR="00303C21">
      <w:pPr>
        <w:spacing w:after="0"/>
        <w:jc w:val="both"/>
      </w:pPr>
    </w:p>
    <w:p w:rsidRDefault="00303C21" w:rsidP="00303C21" w:rsidR="00303C21">
      <w:pPr>
        <w:spacing w:after="0"/>
        <w:jc w:val="both"/>
      </w:pPr>
      <w:r>
        <w:tab/>
        <w:t>Jer obrazloženje pobijanog rješenja sadrži bitne razloge, a činjenica što se sud prvog stupnja nije osvrnuo na irelevantne pravne opservacije iz dužnikovog prijedloga za prekidom postupka nije utjecalo niti je moglo utjecati na pravilnost i zakonitost pobijanog rješenja.</w:t>
      </w:r>
    </w:p>
    <w:p w:rsidRDefault="00303C21" w:rsidP="00303C21" w:rsidR="00303C21">
      <w:pPr>
        <w:spacing w:after="0"/>
        <w:jc w:val="both"/>
      </w:pPr>
    </w:p>
    <w:p w:rsidRDefault="00303C21" w:rsidP="00303C21" w:rsidR="00303C21">
      <w:pPr>
        <w:spacing w:after="0"/>
        <w:jc w:val="both"/>
      </w:pPr>
      <w:r>
        <w:tab/>
        <w:t>Slijedom navedenog valjalo je na temelju odredbe čl. 380. t. 2. ZPP-a u svezi s odredbom čl. 10. SZ-a, odlučiti kao u izreci ovog drugostupanjskog rješenja.</w:t>
      </w:r>
    </w:p>
    <w:p w:rsidRDefault="00303C21" w:rsidP="00303C21" w:rsidR="00303C21">
      <w:pPr>
        <w:spacing w:after="0"/>
        <w:jc w:val="both"/>
      </w:pPr>
    </w:p>
    <w:p w:rsidRDefault="00303C21" w:rsidP="00303C21" w:rsidR="00303C21">
      <w:pPr>
        <w:spacing w:after="0"/>
        <w:jc w:val="center"/>
      </w:pPr>
      <w:r>
        <w:t>U Zagrebu 3. listopada 2017.</w:t>
      </w:r>
    </w:p>
    <w:p w:rsidRDefault="00303C21" w:rsidP="00303C21" w:rsidR="00303C21">
      <w:pPr>
        <w:spacing w:after="0"/>
        <w:jc w:val="both"/>
      </w:pPr>
    </w:p>
    <w:p w:rsidRDefault="00303C21" w:rsidP="00303C21" w:rsidR="00303C21">
      <w:pPr>
        <w:spacing w:after="0"/>
        <w:jc w:val="both"/>
      </w:pPr>
      <w:r>
        <w:t>Za točnost otpravka</w:t>
      </w:r>
      <w:r>
        <w:tab/>
      </w:r>
      <w:r>
        <w:tab/>
      </w:r>
      <w:r>
        <w:tab/>
      </w:r>
      <w:r>
        <w:tab/>
      </w:r>
      <w:r>
        <w:tab/>
      </w:r>
      <w:r>
        <w:tab/>
        <w:t>PREDSJEDNIK VIJEĆA</w:t>
      </w:r>
    </w:p>
    <w:p w:rsidRDefault="00303C21" w:rsidP="00303C21" w:rsidR="00303C21">
      <w:pPr>
        <w:spacing w:after="0"/>
        <w:jc w:val="both"/>
      </w:pPr>
      <w:r>
        <w:t>ovlašteni službenik</w:t>
      </w:r>
      <w:r>
        <w:tab/>
      </w:r>
      <w:r>
        <w:tab/>
      </w:r>
      <w:r>
        <w:tab/>
      </w:r>
      <w:r>
        <w:tab/>
      </w:r>
      <w:r>
        <w:tab/>
      </w:r>
      <w:r>
        <w:tab/>
        <w:t>RAOUL DUBRAVEC, v.r.</w:t>
      </w:r>
    </w:p>
    <w:p w:rsidRDefault="00303C21" w:rsidP="00303C21" w:rsidR="00303C21">
      <w:pPr>
        <w:spacing w:after="0"/>
        <w:jc w:val="both"/>
      </w:pPr>
    </w:p>
    <w:p w:rsidRDefault="00303C21" w:rsidP="00303C21" w:rsidR="00303C21">
      <w:pPr>
        <w:spacing w:after="0"/>
        <w:jc w:val="both"/>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2ABC" w:rsidP="00BD5A69" w:rsidR="006B2ABC">
      <w:pPr>
        <w:spacing w:after="0"/>
      </w:pPr>
      <w:r>
        <w:separator/>
      </w:r>
    </w:p>
  </w:endnote>
  <w:endnote w:id="0" w:type="continuationSeparator">
    <w:p w:rsidRDefault="006B2ABC" w:rsidP="00BD5A69" w:rsidR="006B2AB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253F29">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2ABC" w:rsidP="00BD5A69" w:rsidR="006B2ABC">
      <w:pPr>
        <w:spacing w:after="0"/>
      </w:pPr>
      <w:r>
        <w:separator/>
      </w:r>
    </w:p>
  </w:footnote>
  <w:footnote w:id="0" w:type="continuationSeparator">
    <w:p w:rsidRDefault="006B2ABC" w:rsidP="00BD5A69" w:rsidR="006B2AB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Ref. </w:t>
    </w:r>
    <w:r w:rsidR="00303C21">
      <w:t>89 Pž-5861/2017-2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53F29"/>
    <w:rsid w:val="002E6EBB"/>
    <w:rsid w:val="00303C21"/>
    <w:rsid w:val="003D0BF9"/>
    <w:rsid w:val="004E49A1"/>
    <w:rsid w:val="005474F3"/>
    <w:rsid w:val="006B2ABC"/>
    <w:rsid w:val="006D7A34"/>
    <w:rsid w:val="00896057"/>
    <w:rsid w:val="009538B5"/>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253F29"/>
    <w:rPr>
      <w:color w:val="808080"/>
      <w:bdr w:space="0" w:sz="0" w:color="auto" w:val="none"/>
      <w:shd w:fill="auto" w:color="auto" w:val="clear"/>
    </w:rPr>
  </w:style>
  <w:style w:customStyle="true" w:styleId="eSPISCCParagraphDefaultFont" w:type="character">
    <w:name w:val="eSPIS_CC_Paragraph Default Font"/>
    <w:basedOn w:val="Zadanifontodlomka"/>
    <w:rsid w:val="00253F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3F29"/>
    <w:rPr>
      <w:bdr w:space="0" w:sz="0" w:color="auto" w:val="none"/>
      <w:shd w:fill="FFFFCC" w:color="auto" w:val="clear"/>
      <w:lang w:val="hr-HR"/>
    </w:rPr>
  </w:style>
  <w:style w:customStyle="true" w:styleId="PozadinaSvijetloCrvena" w:type="character">
    <w:name w:val="Pozadina_SvijetloCrvena"/>
    <w:basedOn w:val="eSPISCCParagraphDefaultFont"/>
    <w:rsid w:val="00253F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3F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253F29"/>
    <w:rPr>
      <w:color w:val="808080"/>
      <w:bdr w:color="auto" w:space="0" w:sz="0" w:val="none"/>
      <w:shd w:color="auto" w:fill="auto" w:val="clear"/>
    </w:rPr>
  </w:style>
  <w:style w:customStyle="1" w:styleId="eSPISCCParagraphDefaultFont" w:type="character">
    <w:name w:val="eSPIS_CC_Paragraph Default Font"/>
    <w:basedOn w:val="Zadanifontodlomka"/>
    <w:rsid w:val="00253F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3F29"/>
    <w:rPr>
      <w:bdr w:color="auto" w:space="0" w:sz="0" w:val="none"/>
      <w:shd w:color="auto" w:fill="FFFFCC" w:val="clear"/>
      <w:lang w:val="hr-HR"/>
    </w:rPr>
  </w:style>
  <w:style w:customStyle="1" w:styleId="PozadinaSvijetloCrvena" w:type="character">
    <w:name w:val="Pozadina_SvijetloCrvena"/>
    <w:basedOn w:val="eSPISCCParagraphDefaultFont"/>
    <w:rsid w:val="00253F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3F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828361">
      <w:bodyDiv w:val="true"/>
      <w:marLeft w:val="0"/>
      <w:marRight w:val="0"/>
      <w:marTop w:val="0"/>
      <w:marBottom w:val="0"/>
      <w:divBdr>
        <w:top w:space="0" w:sz="0" w:color="auto" w:val="none"/>
        <w:left w:space="0" w:sz="0" w:color="auto" w:val="none"/>
        <w:bottom w:space="0" w:sz="0" w:color="auto" w:val="none"/>
        <w:right w:space="0" w:sz="0" w:color="auto" w:val="none"/>
      </w:divBdr>
    </w:div>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Odvjetničko društvo Gugić &amp; Kovačić</item>
      <item>ZOU IVAN ŽUPAN I MELITA BABIĆ</item>
    </izvorni_sadrzaj>
    <derivirana_varijabla naziv="DomainObject.Predmet.OstaliListFormated_1">
      <item>Perica Medaković</item>
      <item>Odvjetnik Hrvoje Kuprešak</item>
      <item>Odvjetničko društvo Gugić &amp; Kovačić</item>
      <item>ZOU IVAN ŽUPAN I MELITA BABIĆ</item>
    </derivirana_varijabla>
  </DomainObject.Predmet.OstaliListFormated>
  <DomainObject.Predmet.OstaliListFormatedOIB>
    <izvorni_sadrzaj>
      <item>Perica Medaković, OIB 37577204378</item>
      <item>Odvjetnik Hrvoje Kuprešak</item>
      <item>Odvjetničko društvo Gugić &amp; Kovačić</item>
      <item>ZOU IVAN ŽUPAN I MELITA BABIĆ, OIB 96506192882</item>
    </izvorni_sadrzaj>
    <derivirana_varijabla naziv="DomainObject.Predmet.OstaliListFormatedOIB_1">
      <item>Perica Medaković, OIB 37577204378</item>
      <item>Odvjetnik Hrvoje Kuprešak</item>
      <item>Odvjetničko društvo Gugić &amp; Kovačić</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Odvjetničko društvo Gugić &amp; Kovačić, Radnička cesta 52/VII, Green Gold - R2,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Odvjetničko društvo Gugić &amp; Kovačić, Radnička cesta 52/VII, Green Gold - R2,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Meštrovićev trg 2, 10000 Zagreb</item>
      <item>Odvjetničko društvo Gugić &amp; Kovačić, Radnička cesta 52/VII, Green Gold - R2,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Meštrovićev trg 2, 10000 Zagreb</item>
      <item>Odvjetničko društvo Gugić &amp; Kovačić, Radnička cesta 52/VII, Green Gold - R2,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Odvjetničko društvo Gugić &amp; Kovačić</item>
      <item>ZOU IVAN ŽUPAN I MELITA BABIĆ</item>
    </izvorni_sadrzaj>
    <derivirana_varijabla naziv="DomainObject.Predmet.OstaliListNazivFormated_1">
      <item>Perica Medaković</item>
      <item>Odvjetnik Hrvoje Kuprešak</item>
      <item>Odvjetničko društvo Gugić &amp; Kovačić</item>
      <item>ZOU IVAN ŽUPAN I MELITA BABIĆ</item>
    </derivirana_varijabla>
  </DomainObject.Predmet.OstaliListNazivFormated>
  <DomainObject.Predmet.OstaliListNazivFormatedOIB>
    <izvorni_sadrzaj>
      <item>Perica Medaković, OIB 37577204378</item>
      <item>Odvjetnik Hrvoje Kuprešak</item>
      <item>Odvjetničko društvo Gugić &amp; Kovačić</item>
      <item>ZOU IVAN ŽUPAN I MELITA BABIĆ, OIB 96506192882</item>
    </izvorni_sadrzaj>
    <derivirana_varijabla naziv="DomainObject.Predmet.OstaliListNazivFormatedOIB_1">
      <item>Perica Medaković, OIB 37577204378</item>
      <item>Odvjetnik Hrvoje Kuprešak</item>
      <item>Odvjetničko društvo Gugić &amp; Kovačić</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Odvjetničko društvo Gugić &amp; Kovačić</item>
      <item>ZOU IVAN ŽUPAN I MELITA BABIĆ</item>
    </izvorni_sadrzaj>
    <derivirana_varijabla naziv="DomainObject.Predmet.SudioniciListNaziv_1">
      <item>VOĆNJAK društvo s ograničenom odgovornošću za proizvodnju i usluge</item>
      <item>Perica Medaković</item>
      <item>Odvjetnik Hrvoje Kuprešak</item>
      <item>Odvjetničko društvo Gugić &amp; Kovačić</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Meštrovićev trg 2,10000 Zagreb</item>
      <item>Odvjetničko društvo Gugić &amp; Kovačić, Radnička cesta 52/VII, Green Gold - R2,10000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Meštrovićev trg 2,10000 Zagreb</item>
      <item>Odvjetničko društvo Gugić &amp; Kovačić, Radnička cesta 52/VII, Green Gold - R2,10000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52871551229</item>
      <item>, OIB 37577204378</item>
      <item>, OIB null</item>
      <item>, OIB null</item>
      <item>, OIB 96506192882</item>
    </izvorni_sadrzaj>
    <derivirana_varijabla naziv="DomainObject.Predmet.SudioniciListNazivOIB_1">
      <item>, OIB 52871551229</item>
      <item>, OIB 37577204378</item>
      <item>, OIB null</item>
      <item>, OIB null</item>
      <item>, OIB 96506192882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699</properties:Words>
  <properties:Characters>3894</properties:Characters>
  <properties:Lines>98</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2017-10-26T12:36:00Z</dcterms:created>
  <dc:creator>Ljiljana Cafuk</dc:creator>
  <cp:lastModifiedBy>Ljiljana Cafuk</cp:lastModifiedBy>
  <dcterms:modified xmlns:xsi="http://www.w3.org/2001/XMLSchema-instance" xsi:type="dcterms:W3CDTF">2017-10-26T12:39:00Z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