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2fd4" w14:paraId="a652fd4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B667B0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B667B0">
              <w:rPr>
                <w:sz w:val="24"/>
                <w:szCs w:val="24"/>
              </w:rPr>
              <w:t>5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 w:rsidRPr="00AB1D3F">
      <w:pPr>
        <w:rPr>
          <w:sz w:val="24"/>
        </w:rPr>
      </w:pPr>
    </w:p>
    <w:p w:rsidRDefault="0072177E" w:rsidR="0072177E" w:rsidRPr="00AB1D3F">
      <w:pPr>
        <w:rPr>
          <w:sz w:val="24"/>
        </w:rPr>
      </w:pPr>
    </w:p>
    <w:p w:rsidRDefault="00B667B0" w:rsidP="00B667B0" w:rsidR="00B667B0">
      <w:pPr>
        <w:rPr>
          <w:sz w:val="24"/>
        </w:rPr>
      </w:pPr>
    </w:p>
    <w:p w:rsidRDefault="00B667B0" w:rsidP="00B667B0" w:rsidR="00B667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Općinski sud u Čakovcu po sutkinji toga suda Nataši Miletić u stečajnom postupku povodom prijedloga potrošača Denise Fučko, OIB: 54947661477 Strahoninec, P. Miškine 5, za otvaranje stečajnog postupka, dana 04.rujna.2018.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center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r i j e š i o  j e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 Nalaže se stečajnom povjereniku Stjepanu Rakarcu da otvori poseban transakcijski račun kod financijske institucije za potrošača</w:t>
      </w:r>
      <w:r w:rsidRPr="00B667B0">
        <w:rPr>
          <w:rFonts w:eastAsia="Calibri"/>
          <w:sz w:val="24"/>
          <w:szCs w:val="24"/>
          <w:lang w:eastAsia="en-US" w:val="en-AU"/>
        </w:rPr>
        <w:t xml:space="preserve"> </w:t>
      </w:r>
      <w:r>
        <w:rPr>
          <w:sz w:val="24"/>
          <w:szCs w:val="24"/>
        </w:rPr>
        <w:t>Denisu Fučko, OIB: 54947661477 Strahoninec, P. Miškine 5</w:t>
      </w:r>
      <w:r w:rsidRPr="00B667B0">
        <w:rPr>
          <w:rFonts w:eastAsia="Calibri"/>
          <w:sz w:val="24"/>
          <w:szCs w:val="24"/>
          <w:lang w:eastAsia="en-US"/>
        </w:rPr>
        <w:t xml:space="preserve">, te da ujedno zatvori sve druge otvorene račune potrošača </w:t>
      </w:r>
      <w:r>
        <w:rPr>
          <w:rFonts w:eastAsia="Calibri"/>
          <w:sz w:val="24"/>
          <w:szCs w:val="24"/>
          <w:lang w:eastAsia="en-US"/>
        </w:rPr>
        <w:t>Denise Fučko</w:t>
      </w:r>
      <w:r w:rsidRPr="00B667B0">
        <w:rPr>
          <w:rFonts w:eastAsia="Calibri"/>
          <w:sz w:val="24"/>
          <w:szCs w:val="24"/>
          <w:lang w:eastAsia="en-US"/>
        </w:rPr>
        <w:t>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center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Obrazloženje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Dana </w:t>
      </w:r>
      <w:r>
        <w:rPr>
          <w:rFonts w:eastAsia="Calibri"/>
          <w:sz w:val="24"/>
          <w:szCs w:val="24"/>
          <w:lang w:eastAsia="en-US"/>
        </w:rPr>
        <w:t>10. kolovoza</w:t>
      </w:r>
      <w:r w:rsidRPr="00B667B0">
        <w:rPr>
          <w:rFonts w:eastAsia="Calibri"/>
          <w:sz w:val="24"/>
          <w:szCs w:val="24"/>
          <w:lang w:eastAsia="en-US"/>
        </w:rPr>
        <w:t xml:space="preserve"> 201</w:t>
      </w:r>
      <w:r>
        <w:rPr>
          <w:rFonts w:eastAsia="Calibri"/>
          <w:sz w:val="24"/>
          <w:szCs w:val="24"/>
          <w:lang w:eastAsia="en-US"/>
        </w:rPr>
        <w:t>8</w:t>
      </w:r>
      <w:r w:rsidRPr="00B667B0">
        <w:rPr>
          <w:rFonts w:eastAsia="Calibri"/>
          <w:sz w:val="24"/>
          <w:szCs w:val="24"/>
          <w:lang w:eastAsia="en-US"/>
        </w:rPr>
        <w:t xml:space="preserve">. sud je donio rješenje kojim je otvorio i istodobno zaključio postupak stečaja potrošača </w:t>
      </w:r>
      <w:r>
        <w:rPr>
          <w:rFonts w:eastAsia="Calibri"/>
          <w:sz w:val="24"/>
          <w:szCs w:val="24"/>
          <w:lang w:eastAsia="en-US"/>
        </w:rPr>
        <w:t>Denise Fučko</w:t>
      </w:r>
      <w:r w:rsidRPr="00B667B0">
        <w:rPr>
          <w:rFonts w:eastAsia="Calibri"/>
          <w:sz w:val="24"/>
          <w:szCs w:val="24"/>
          <w:lang w:eastAsia="en-US"/>
        </w:rPr>
        <w:t xml:space="preserve">. Obzirom da prema čl. 42. Zakona o stečaju potrošača je povjerenik dužan otvoriti transakcijski račun za potrošača, te obzirom da je sud to propustio navesti u rješenju od </w:t>
      </w:r>
      <w:r>
        <w:rPr>
          <w:rFonts w:eastAsia="Calibri"/>
          <w:sz w:val="24"/>
          <w:szCs w:val="24"/>
          <w:lang w:eastAsia="en-US"/>
        </w:rPr>
        <w:t>10.08.2018</w:t>
      </w:r>
      <w:r w:rsidRPr="00B667B0">
        <w:rPr>
          <w:rFonts w:eastAsia="Calibri"/>
          <w:sz w:val="24"/>
          <w:szCs w:val="24"/>
          <w:lang w:eastAsia="en-US"/>
        </w:rPr>
        <w:t>.,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Čakovec</w:t>
      </w:r>
      <w:r w:rsidRPr="00B667B0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04. rujna</w:t>
      </w:r>
      <w:r w:rsidRPr="00B667B0">
        <w:rPr>
          <w:rFonts w:eastAsia="Calibri"/>
          <w:sz w:val="24"/>
          <w:szCs w:val="24"/>
          <w:lang w:eastAsia="en-US"/>
        </w:rPr>
        <w:t xml:space="preserve"> 2018.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Sutkinja: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Nataša Miletić</w:t>
      </w:r>
      <w:r w:rsidRPr="00B667B0">
        <w:rPr>
          <w:rFonts w:eastAsia="Calibri"/>
          <w:sz w:val="24"/>
          <w:szCs w:val="24"/>
          <w:lang w:eastAsia="en-US"/>
        </w:rPr>
        <w:t xml:space="preserve"> v. r.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Uputa o pravnom lijeku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Protiv ovog rješenja žalbu može podnijeti potrošač u roku od 15 dana računajući od proteka osmog dana od objave rješenja na mrežnoj stranici e-Oglasna ploča sudova.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Žalba se podnosi ovome sudu u tri primjerka, a o žalbi odlučuje nadležni županijski sud.</w:t>
      </w: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</w:p>
    <w:p w:rsidRDefault="00B667B0" w:rsidP="00B667B0" w:rsidR="00B667B0" w:rsidRPr="00B667B0">
      <w:p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DN-a putem mrežne stranice e-Oglasna ploča suda i to: 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vjerovnicima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potrošaču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Poreznoj upravi </w:t>
      </w:r>
      <w:r>
        <w:rPr>
          <w:rFonts w:eastAsia="Calibri"/>
          <w:sz w:val="24"/>
          <w:szCs w:val="24"/>
          <w:lang w:eastAsia="en-US"/>
        </w:rPr>
        <w:t>Čakovec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lastRenderedPageBreak/>
        <w:t xml:space="preserve">ODO u </w:t>
      </w:r>
      <w:r>
        <w:rPr>
          <w:rFonts w:eastAsia="Calibri"/>
          <w:sz w:val="24"/>
          <w:szCs w:val="24"/>
          <w:lang w:eastAsia="en-US"/>
        </w:rPr>
        <w:t>Čakovcu</w:t>
      </w:r>
      <w:r w:rsidRPr="00B667B0">
        <w:rPr>
          <w:rFonts w:eastAsia="Calibri"/>
          <w:sz w:val="24"/>
          <w:szCs w:val="24"/>
          <w:lang w:eastAsia="en-US"/>
        </w:rPr>
        <w:t>, Građansko-upravni odjel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pravnim osobama koje za potrošača obavljaju poslove platnoga prometa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 xml:space="preserve">FINA </w:t>
      </w:r>
      <w:r>
        <w:rPr>
          <w:rFonts w:eastAsia="Calibri"/>
          <w:sz w:val="24"/>
          <w:szCs w:val="24"/>
          <w:lang w:eastAsia="en-US"/>
        </w:rPr>
        <w:t>Čakovec</w:t>
      </w:r>
    </w:p>
    <w:p w:rsidRDefault="00B667B0" w:rsidP="00B667B0" w:rsidR="00B667B0" w:rsidRPr="00B667B0">
      <w:pPr>
        <w:numPr>
          <w:ilvl w:val="0"/>
          <w:numId w:val="2"/>
        </w:numPr>
        <w:jc w:val="both"/>
        <w:rPr>
          <w:rFonts w:eastAsia="Calibri"/>
          <w:sz w:val="24"/>
          <w:szCs w:val="24"/>
          <w:lang w:eastAsia="en-US"/>
        </w:rPr>
      </w:pPr>
      <w:r w:rsidRPr="00B667B0">
        <w:rPr>
          <w:rFonts w:eastAsia="Calibri"/>
          <w:sz w:val="24"/>
          <w:szCs w:val="24"/>
          <w:lang w:eastAsia="en-US"/>
        </w:rPr>
        <w:t>tijelima koja vode javne knjige, registre, upisnike i očevidnike u kojima je potrošač upisan kao nositelj nekoga prava</w:t>
      </w:r>
    </w:p>
    <w:p w:rsidRDefault="00E32AED" w:rsidP="00B667B0" w:rsidR="00E32AED">
      <w:pPr>
        <w:ind w:firstLine="720"/>
        <w:jc w:val="both"/>
        <w:rPr>
          <w:sz w:val="24"/>
          <w:szCs w:val="24"/>
        </w:rPr>
      </w:pPr>
    </w:p>
    <w:p w:rsidRDefault="00B667B0" w:rsidP="00B667B0" w:rsidR="00B667B0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:rsidRDefault="004249B3" w:rsidP="003C6B4F" w:rsidR="004249B3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3C6B4F">
        <w:rPr>
          <w:sz w:val="24"/>
          <w:szCs w:val="24"/>
        </w:rPr>
        <w:t>Za točnost otpravka – ovlašteni službenik</w:t>
      </w:r>
    </w:p>
    <w:p w:rsidRDefault="004249B3" w:rsidP="003C6B4F" w:rsidR="004249B3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3C6B4F">
        <w:rPr>
          <w:sz w:val="24"/>
          <w:szCs w:val="24"/>
        </w:rPr>
        <w:t>Upraviteljica sudske pisarnice</w:t>
      </w:r>
    </w:p>
    <w:p w:rsidRDefault="004249B3" w:rsidP="003C6B4F" w:rsidR="004249B3" w:rsidRPr="003C6B4F">
      <w:pPr>
        <w:tabs>
          <w:tab w:pos="5200" w:val="left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 w:rsidRPr="003C6B4F">
        <w:rPr>
          <w:sz w:val="24"/>
          <w:szCs w:val="24"/>
        </w:rPr>
        <w:t>Branka Šarić</w:t>
      </w:r>
    </w:p>
    <w:p w:rsidRDefault="00B667B0" w:rsidP="00B667B0" w:rsidR="00B667B0">
      <w:pPr>
        <w:ind w:firstLine="720"/>
        <w:jc w:val="both"/>
        <w:rPr>
          <w:sz w:val="24"/>
          <w:szCs w:val="24"/>
        </w:rPr>
      </w:pPr>
    </w:p>
    <w:sectPr w:rsidSect="002107B9" w:rsidR="00B667B0">
      <w:headerReference w:type="defaul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B9" w:rsidP="002107B9" w:rsidR="002107B9">
      <w:r>
        <w:separator/>
      </w:r>
    </w:p>
  </w:endnote>
  <w:endnote w:id="0" w:type="continuationSeparator">
    <w:p w:rsidRDefault="002107B9" w:rsidP="002107B9" w:rsidR="00210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B9" w:rsidP="002107B9" w:rsidR="002107B9">
      <w:r>
        <w:separator/>
      </w:r>
    </w:p>
  </w:footnote>
  <w:footnote w:id="0" w:type="continuationSeparator">
    <w:p w:rsidRDefault="002107B9" w:rsidP="002107B9" w:rsidR="00210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116007"/>
      <w:docPartObj>
        <w:docPartGallery w:val="Page Numbers (Top of Page)"/>
        <w:docPartUnique/>
      </w:docPartObj>
    </w:sdtPr>
    <w:sdtEndPr/>
    <w:sdtContent>
      <w:p w:rsidRDefault="002107B9" w:rsidP="00D61466" w:rsidR="002107B9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9B3">
          <w:rPr>
            <w:noProof/>
          </w:rPr>
          <w:t>2</w:t>
        </w:r>
        <w:r>
          <w:fldChar w:fldCharType="end"/>
        </w:r>
        <w:r w:rsidR="00D61466">
          <w:tab/>
        </w:r>
        <w:r w:rsidR="00D61466">
          <w:tab/>
        </w:r>
        <w:r w:rsidRPr="00B667B0">
          <w:rPr>
            <w:sz w:val="24"/>
            <w:szCs w:val="24"/>
          </w:rPr>
          <w:t xml:space="preserve">Poslovni broj: 3 </w:t>
        </w:r>
        <w:r w:rsidR="00D61466" w:rsidRPr="00B667B0">
          <w:rPr>
            <w:sz w:val="24"/>
            <w:szCs w:val="24"/>
          </w:rPr>
          <w:t>Sp-</w:t>
        </w:r>
        <w:r w:rsidR="00B667B0">
          <w:rPr>
            <w:sz w:val="24"/>
            <w:szCs w:val="24"/>
          </w:rPr>
          <w:t>5</w:t>
        </w:r>
        <w:r w:rsidR="00D61466" w:rsidRPr="00B667B0">
          <w:rPr>
            <w:sz w:val="24"/>
            <w:szCs w:val="24"/>
          </w:rPr>
          <w:t>/17</w:t>
        </w:r>
      </w:p>
    </w:sdtContent>
  </w:sdt>
  <w:p w:rsidRDefault="002107B9" w:rsidR="002107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3FCE"/>
    <w:rsid w:val="001B5706"/>
    <w:rsid w:val="001D31D2"/>
    <w:rsid w:val="001D6C66"/>
    <w:rsid w:val="001E1D81"/>
    <w:rsid w:val="001E7921"/>
    <w:rsid w:val="002107B9"/>
    <w:rsid w:val="00236C6B"/>
    <w:rsid w:val="00240999"/>
    <w:rsid w:val="00243CF8"/>
    <w:rsid w:val="00251707"/>
    <w:rsid w:val="00290257"/>
    <w:rsid w:val="002F4C9F"/>
    <w:rsid w:val="002F5C9A"/>
    <w:rsid w:val="0030068B"/>
    <w:rsid w:val="003A51A8"/>
    <w:rsid w:val="003C4FDC"/>
    <w:rsid w:val="004021E5"/>
    <w:rsid w:val="00405CC8"/>
    <w:rsid w:val="004249B3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65F88"/>
    <w:rsid w:val="00576DA6"/>
    <w:rsid w:val="0058402F"/>
    <w:rsid w:val="005879F6"/>
    <w:rsid w:val="00597E6A"/>
    <w:rsid w:val="005A5788"/>
    <w:rsid w:val="00613849"/>
    <w:rsid w:val="00641124"/>
    <w:rsid w:val="00657AD7"/>
    <w:rsid w:val="00691E3D"/>
    <w:rsid w:val="006F626B"/>
    <w:rsid w:val="007177D1"/>
    <w:rsid w:val="0072177E"/>
    <w:rsid w:val="00722E35"/>
    <w:rsid w:val="00726949"/>
    <w:rsid w:val="00747916"/>
    <w:rsid w:val="00773ADD"/>
    <w:rsid w:val="0079150E"/>
    <w:rsid w:val="007A664E"/>
    <w:rsid w:val="007C392B"/>
    <w:rsid w:val="007D0E63"/>
    <w:rsid w:val="00881F8D"/>
    <w:rsid w:val="008A4A58"/>
    <w:rsid w:val="008F31AB"/>
    <w:rsid w:val="00946F13"/>
    <w:rsid w:val="00965C22"/>
    <w:rsid w:val="00967B57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B1D3F"/>
    <w:rsid w:val="00AE2552"/>
    <w:rsid w:val="00AE6100"/>
    <w:rsid w:val="00B15125"/>
    <w:rsid w:val="00B602DB"/>
    <w:rsid w:val="00B667B0"/>
    <w:rsid w:val="00B84F00"/>
    <w:rsid w:val="00B901E8"/>
    <w:rsid w:val="00B90A48"/>
    <w:rsid w:val="00BC0394"/>
    <w:rsid w:val="00CB7939"/>
    <w:rsid w:val="00CE6FCB"/>
    <w:rsid w:val="00D11056"/>
    <w:rsid w:val="00D61466"/>
    <w:rsid w:val="00D72CFA"/>
    <w:rsid w:val="00D764E7"/>
    <w:rsid w:val="00DB2F34"/>
    <w:rsid w:val="00DC2650"/>
    <w:rsid w:val="00E00F47"/>
    <w:rsid w:val="00E32AED"/>
    <w:rsid w:val="00E554B8"/>
    <w:rsid w:val="00E6636E"/>
    <w:rsid w:val="00EA1487"/>
    <w:rsid w:val="00F11128"/>
    <w:rsid w:val="00F2473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07B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107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7B9"/>
  </w:style>
  <w:style w:styleId="Podnoje" w:type="paragraph">
    <w:name w:val="footer"/>
    <w:basedOn w:val="Normal"/>
    <w:link w:val="PodnojeChar"/>
    <w:rsid w:val="002107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07B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42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35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2018.</izvorni_sadrzaj>
    <derivirana_varijabla naziv="DomainObject.Predmet.OdlukaRjesenje.DatumDonosenjaOdluke_1">10.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Sp-5/2017-47</izvorni_sadrzaj>
    <derivirana_varijabla naziv="DomainObject.Predmet.OdlukaRjesenje.Oznaka_1">Sp-5/2017-47</derivirana_varijabla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293</properties:Words>
  <properties:Characters>1654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2018-09-04T10:22:00Z</dcterms:created>
  <dc:creator>Ana Katanec</dc:creator>
  <cp:lastModifiedBy>Ana Katanec</cp:lastModifiedBy>
  <cp:lastPrinted>2018-09-04T10:15:00Z</cp:lastPrinted>
  <dcterms:modified xmlns:xsi="http://www.w3.org/2001/XMLSchema-instance" xsi:type="dcterms:W3CDTF">2018-09-04T10:56:00Z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(Sp-5-17 Denisa Fučko.docx)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