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4122" w14:paraId="7034122" w:rsidRDefault="00097CC0" w:rsidP="00F8588B" w:rsidR="00097CC0" w:rsidRPr="00F8588B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4522F" w:rsidR="00F8588B" w:rsidRPr="00F8588B">
      <w:pPr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F8588B" w:rsidR="00F8588B" w:rsidRPr="00F8588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F8588B" w:rsidR="00F8588B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4522F" w:rsidR="004A1FA5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752475" w:rsidR="00ED0F94" w:rsidRPr="00F8588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1116B" w:rsidP="00ED0F94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U 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M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R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P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U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B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L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H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R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V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A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T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S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F25B95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</w:p>
    <w:p w:rsidRDefault="00404F3C" w:rsidP="00404F3C" w:rsidR="00404F3C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582FB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82FB8">
        <w:rPr>
          <w:rFonts w:hAnsi="Times New Roman" w:ascii="Times New Roman"/>
          <w:sz w:val="24"/>
          <w:szCs w:val="24"/>
        </w:rPr>
        <w:t>R J E Š E NJ E</w:t>
      </w:r>
    </w:p>
    <w:p w:rsidRDefault="00404F3C" w:rsidP="00404F3C" w:rsidR="00404F3C" w:rsidRPr="00834DB3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404F3C" w:rsidR="00ED0F94" w:rsidRPr="00A9609C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985F74" w:rsidR="00404F3C" w:rsidRPr="00F25B95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F25B95">
        <w:rPr>
          <w:rFonts w:hAnsi="Times New Roman" w:ascii="Times New Roman"/>
          <w:sz w:val="24"/>
          <w:szCs w:val="24"/>
        </w:rPr>
        <w:t>j</w:t>
      </w:r>
      <w:r w:rsidRPr="00F25B95">
        <w:rPr>
          <w:rFonts w:hAnsi="Times New Roman" w:ascii="Times New Roman"/>
          <w:sz w:val="24"/>
          <w:szCs w:val="24"/>
        </w:rPr>
        <w:t xml:space="preserve"> su</w:t>
      </w:r>
      <w:r w:rsidR="002E2590" w:rsidRPr="00F25B95">
        <w:rPr>
          <w:rFonts w:hAnsi="Times New Roman" w:ascii="Times New Roman"/>
          <w:sz w:val="24"/>
          <w:szCs w:val="24"/>
        </w:rPr>
        <w:t xml:space="preserve">tkinji </w:t>
      </w:r>
      <w:r w:rsidR="00F3298B" w:rsidRPr="00F25B95">
        <w:rPr>
          <w:rFonts w:hAnsi="Times New Roman" w:ascii="Times New Roman"/>
          <w:sz w:val="24"/>
          <w:szCs w:val="24"/>
        </w:rPr>
        <w:t>Nadi Roso</w:t>
      </w:r>
      <w:r w:rsidRPr="00F25B95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F25B95">
        <w:rPr>
          <w:rFonts w:hAnsi="Times New Roman" w:ascii="Times New Roman"/>
          <w:sz w:val="24"/>
          <w:szCs w:val="24"/>
        </w:rPr>
        <w:t>postupku nad dužnikom</w:t>
      </w:r>
      <w:r w:rsidRPr="00F25B95">
        <w:rPr>
          <w:rFonts w:hAnsi="Times New Roman" w:ascii="Times New Roman"/>
          <w:sz w:val="24"/>
          <w:szCs w:val="24"/>
        </w:rPr>
        <w:t xml:space="preserve"> </w:t>
      </w:r>
      <w:r w:rsidR="00F25B95" w:rsidRPr="00F25B95">
        <w:rPr>
          <w:rFonts w:hAnsi="Times New Roman" w:ascii="Times New Roman"/>
          <w:b/>
          <w:sz w:val="24"/>
          <w:szCs w:val="24"/>
        </w:rPr>
        <w:t xml:space="preserve">POLJOPRIVREDNA ZADRUGA NAŠE SELO „u stečaju“ Jagodnjak, Borisa </w:t>
      </w:r>
      <w:proofErr w:type="spellStart"/>
      <w:r w:rsidR="00F25B95" w:rsidRPr="00F25B95">
        <w:rPr>
          <w:rFonts w:hAnsi="Times New Roman" w:ascii="Times New Roman"/>
          <w:b/>
          <w:sz w:val="24"/>
          <w:szCs w:val="24"/>
        </w:rPr>
        <w:t>Kidriča</w:t>
      </w:r>
      <w:proofErr w:type="spellEnd"/>
      <w:r w:rsidR="00F25B95" w:rsidRPr="00F25B95">
        <w:rPr>
          <w:rFonts w:hAnsi="Times New Roman" w:ascii="Times New Roman"/>
          <w:b/>
          <w:sz w:val="24"/>
          <w:szCs w:val="24"/>
        </w:rPr>
        <w:t xml:space="preserve"> 59/0 OIB 79868402035 MBS 030053401</w:t>
      </w:r>
      <w:r w:rsidR="008F78B3" w:rsidRPr="00F25B95">
        <w:rPr>
          <w:rFonts w:hAnsi="Times New Roman" w:ascii="Times New Roman"/>
          <w:b/>
          <w:sz w:val="24"/>
          <w:szCs w:val="24"/>
        </w:rPr>
        <w:t>,</w:t>
      </w:r>
      <w:r w:rsidR="004375CF" w:rsidRPr="00F25B95">
        <w:rPr>
          <w:rFonts w:hAnsi="Times New Roman" w:ascii="Times New Roman"/>
          <w:b/>
          <w:sz w:val="24"/>
          <w:szCs w:val="24"/>
        </w:rPr>
        <w:t xml:space="preserve"> </w:t>
      </w:r>
      <w:r w:rsidRPr="00F25B95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D65EBA">
        <w:rPr>
          <w:rStyle w:val="tabletextfield"/>
          <w:rFonts w:hAnsi="Times New Roman" w:ascii="Times New Roman"/>
          <w:sz w:val="24"/>
          <w:szCs w:val="24"/>
        </w:rPr>
        <w:t>16</w:t>
      </w:r>
      <w:r w:rsidR="00A9609C" w:rsidRPr="00F25B95">
        <w:rPr>
          <w:rStyle w:val="tabletextfield"/>
          <w:rFonts w:hAnsi="Times New Roman" w:ascii="Times New Roman"/>
          <w:sz w:val="24"/>
          <w:szCs w:val="24"/>
        </w:rPr>
        <w:t>. ožujka 2018. g.,</w:t>
      </w:r>
    </w:p>
    <w:p w:rsidRDefault="00B834B5" w:rsidP="00752475" w:rsidR="00B834B5" w:rsidRPr="00F25B95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752475" w:rsidR="0095694F" w:rsidRPr="00F25B95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 w:rsidRPr="00F25B95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25B95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F25B95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F25B95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F25B95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52475" w:rsidR="00ED0F94" w:rsidRPr="00F25B95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52475" w:rsidR="00573829" w:rsidRPr="00F25B95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C72F7" w:rsidR="007C72F7" w:rsidRPr="00F25B95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ZAKLJUČUJE</w:t>
      </w:r>
      <w:r w:rsidR="00273331" w:rsidRPr="00F25B95">
        <w:rPr>
          <w:rFonts w:hAnsi="Times New Roman" w:ascii="Times New Roman"/>
          <w:sz w:val="24"/>
          <w:szCs w:val="24"/>
        </w:rPr>
        <w:t xml:space="preserve"> SE</w:t>
      </w:r>
      <w:r w:rsidRPr="00F25B95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F25B95" w:rsidRPr="00F25B95">
        <w:rPr>
          <w:rFonts w:hAnsi="Times New Roman" w:ascii="Times New Roman"/>
          <w:b/>
          <w:sz w:val="24"/>
          <w:szCs w:val="24"/>
        </w:rPr>
        <w:t xml:space="preserve">POLJOPRIVREDNA ZADRUGA NAŠE SELO „u stečaju“ Jagodnjak, Borisa </w:t>
      </w:r>
      <w:proofErr w:type="spellStart"/>
      <w:r w:rsidR="00F25B95" w:rsidRPr="00F25B95">
        <w:rPr>
          <w:rFonts w:hAnsi="Times New Roman" w:ascii="Times New Roman"/>
          <w:b/>
          <w:sz w:val="24"/>
          <w:szCs w:val="24"/>
        </w:rPr>
        <w:t>Kidriča</w:t>
      </w:r>
      <w:proofErr w:type="spellEnd"/>
      <w:r w:rsidR="00F25B95" w:rsidRPr="00F25B95">
        <w:rPr>
          <w:rFonts w:hAnsi="Times New Roman" w:ascii="Times New Roman"/>
          <w:b/>
          <w:sz w:val="24"/>
          <w:szCs w:val="24"/>
        </w:rPr>
        <w:t xml:space="preserve"> 59/0 OIB 79868402035 MBS 030053401</w:t>
      </w:r>
      <w:r w:rsidRPr="00F25B95">
        <w:rPr>
          <w:rFonts w:hAnsi="Times New Roman" w:ascii="Times New Roman"/>
          <w:sz w:val="24"/>
          <w:szCs w:val="24"/>
        </w:rPr>
        <w:t>.</w:t>
      </w:r>
    </w:p>
    <w:p w:rsidRDefault="00366B2D" w:rsidP="007C72F7" w:rsidR="007C72F7" w:rsidRPr="00F25B95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F25B95">
        <w:rPr>
          <w:rFonts w:hAnsi="Times New Roman" w:ascii="Times New Roman"/>
          <w:sz w:val="24"/>
          <w:szCs w:val="24"/>
        </w:rPr>
        <w:t>e-</w:t>
      </w:r>
      <w:r w:rsidRPr="00F25B95">
        <w:rPr>
          <w:rFonts w:hAnsi="Times New Roman" w:ascii="Times New Roman"/>
          <w:sz w:val="24"/>
          <w:szCs w:val="24"/>
        </w:rPr>
        <w:t>oglasnoj ploči suda</w:t>
      </w:r>
      <w:r w:rsidR="009B5376" w:rsidRPr="00F25B95">
        <w:rPr>
          <w:rFonts w:hAnsi="Times New Roman" w:ascii="Times New Roman"/>
          <w:sz w:val="24"/>
          <w:szCs w:val="24"/>
        </w:rPr>
        <w:t xml:space="preserve"> Trgovačkog suda u Osijeku</w:t>
      </w:r>
      <w:r w:rsidRPr="00F25B95">
        <w:rPr>
          <w:rFonts w:hAnsi="Times New Roman" w:ascii="Times New Roman"/>
          <w:sz w:val="24"/>
          <w:szCs w:val="24"/>
        </w:rPr>
        <w:t>.</w:t>
      </w:r>
    </w:p>
    <w:p w:rsidRDefault="00F25B95" w:rsidP="00F25B95" w:rsidR="00F25B95" w:rsidRPr="00F25B95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Obvezuje se stečajna upraviteljica da završi sve poslove vezane za uredno zaključenje stečajnog postupka kao što su zatvaranje žiro računa stečajnog dužnika, izrada završnih izvješća, završna dioba te o tome podnijeti izvješće stečajnoj sutkinji, podmirenje preostalih troškova stečajnog postupka – pristojba.</w:t>
      </w:r>
    </w:p>
    <w:p w:rsidRDefault="00366B2D" w:rsidP="00A406C9" w:rsidR="00366B2D" w:rsidRPr="00A9609C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F25B95">
        <w:rPr>
          <w:rFonts w:hAnsi="Times New Roman" w:ascii="Times New Roman"/>
          <w:sz w:val="24"/>
          <w:szCs w:val="24"/>
        </w:rPr>
        <w:t>registru pravnih osoba Trgovačkog</w:t>
      </w:r>
      <w:r w:rsidR="0095694F" w:rsidRPr="00A9609C">
        <w:rPr>
          <w:rFonts w:hAnsi="Times New Roman" w:ascii="Times New Roman"/>
          <w:sz w:val="24"/>
          <w:szCs w:val="24"/>
        </w:rPr>
        <w:t xml:space="preserve"> suda u Osijeku</w:t>
      </w:r>
      <w:r w:rsidRPr="00A9609C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A9609C">
        <w:rPr>
          <w:rFonts w:hAnsi="Times New Roman" w:ascii="Times New Roman"/>
          <w:sz w:val="24"/>
          <w:szCs w:val="24"/>
        </w:rPr>
        <w:t xml:space="preserve">iz registra </w:t>
      </w:r>
      <w:r w:rsidR="0095694F" w:rsidRPr="00A9609C">
        <w:rPr>
          <w:rFonts w:hAnsi="Times New Roman" w:ascii="Times New Roman"/>
          <w:sz w:val="24"/>
          <w:szCs w:val="24"/>
        </w:rPr>
        <w:t>pravnih osoba</w:t>
      </w:r>
      <w:r w:rsidR="004C178A" w:rsidRPr="00A9609C">
        <w:rPr>
          <w:rFonts w:hAnsi="Times New Roman" w:ascii="Times New Roman"/>
          <w:sz w:val="24"/>
          <w:szCs w:val="24"/>
        </w:rPr>
        <w:t>.</w:t>
      </w:r>
    </w:p>
    <w:p w:rsidRDefault="0041605D" w:rsidP="00C316F8" w:rsidR="0041605D" w:rsidRPr="00A9609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1423" w:rsidP="00A875E2" w:rsidR="002C1423" w:rsidRPr="00A9609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41A8" w:rsidP="002C41A8" w:rsidR="004C178A" w:rsidRPr="00D65EB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65EBA">
        <w:rPr>
          <w:rFonts w:hAnsi="Times New Roman" w:ascii="Times New Roman"/>
          <w:sz w:val="24"/>
          <w:szCs w:val="24"/>
        </w:rPr>
        <w:t>Obrazloženje</w:t>
      </w:r>
    </w:p>
    <w:p w:rsidRDefault="000F43C9" w:rsidP="00C316F8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8F78B3" w:rsidR="008F78B3" w:rsidRPr="004375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>Pravomoćnim rješenjem Trgovačkog suda u Osijeku broj</w:t>
      </w:r>
      <w:r w:rsidR="00D65EBA">
        <w:rPr>
          <w:rFonts w:hAnsi="Times New Roman" w:ascii="Times New Roman"/>
          <w:sz w:val="24"/>
          <w:szCs w:val="24"/>
        </w:rPr>
        <w:t xml:space="preserve"> 6</w:t>
      </w:r>
      <w:r w:rsidRPr="0074522F">
        <w:rPr>
          <w:rFonts w:hAnsi="Times New Roman" w:ascii="Times New Roman"/>
          <w:sz w:val="24"/>
          <w:szCs w:val="24"/>
        </w:rPr>
        <w:t xml:space="preserve"> S</w:t>
      </w:r>
      <w:r w:rsidR="00F8588B" w:rsidRPr="0074522F">
        <w:rPr>
          <w:rFonts w:hAnsi="Times New Roman" w:ascii="Times New Roman"/>
          <w:sz w:val="24"/>
          <w:szCs w:val="24"/>
        </w:rPr>
        <w:t>t-</w:t>
      </w:r>
      <w:r w:rsidR="00D65EBA">
        <w:rPr>
          <w:rFonts w:hAnsi="Times New Roman" w:ascii="Times New Roman"/>
          <w:sz w:val="24"/>
          <w:szCs w:val="24"/>
        </w:rPr>
        <w:t>20/15</w:t>
      </w:r>
      <w:r w:rsidR="00834DB3">
        <w:rPr>
          <w:rFonts w:hAnsi="Times New Roman" w:ascii="Times New Roman"/>
          <w:sz w:val="24"/>
          <w:szCs w:val="24"/>
        </w:rPr>
        <w:t xml:space="preserve">. g. </w:t>
      </w:r>
      <w:r w:rsidR="00D65EBA">
        <w:rPr>
          <w:rFonts w:hAnsi="Times New Roman" w:ascii="Times New Roman"/>
          <w:sz w:val="24"/>
          <w:szCs w:val="24"/>
        </w:rPr>
        <w:t xml:space="preserve">od 1. travnja 2015. g. </w:t>
      </w:r>
      <w:r w:rsidR="00834DB3">
        <w:rPr>
          <w:rFonts w:hAnsi="Times New Roman" w:ascii="Times New Roman"/>
          <w:sz w:val="24"/>
          <w:szCs w:val="24"/>
        </w:rPr>
        <w:t>otvo</w:t>
      </w:r>
      <w:r w:rsidRPr="0074522F">
        <w:rPr>
          <w:rFonts w:hAnsi="Times New Roman" w:ascii="Times New Roman"/>
          <w:sz w:val="24"/>
          <w:szCs w:val="24"/>
        </w:rPr>
        <w:t>ren je stečajni postupak nad</w:t>
      </w:r>
      <w:r w:rsidR="00FE5EB6" w:rsidRPr="0074522F">
        <w:rPr>
          <w:rFonts w:hAnsi="Times New Roman" w:ascii="Times New Roman"/>
          <w:sz w:val="24"/>
          <w:szCs w:val="24"/>
        </w:rPr>
        <w:t xml:space="preserve"> dužnikom</w:t>
      </w:r>
      <w:r w:rsidRPr="0074522F">
        <w:rPr>
          <w:rFonts w:hAnsi="Times New Roman" w:ascii="Times New Roman"/>
          <w:sz w:val="24"/>
          <w:szCs w:val="24"/>
        </w:rPr>
        <w:t xml:space="preserve"> </w:t>
      </w:r>
      <w:r w:rsidR="00F25B95" w:rsidRPr="00F25B95">
        <w:rPr>
          <w:rFonts w:hAnsi="Times New Roman" w:ascii="Times New Roman"/>
          <w:b/>
          <w:sz w:val="24"/>
          <w:szCs w:val="24"/>
        </w:rPr>
        <w:t xml:space="preserve">POLJOPRIVREDNA ZADRUGA NAŠE SELO „u stečaju“ Jagodnjak, Borisa </w:t>
      </w:r>
      <w:proofErr w:type="spellStart"/>
      <w:r w:rsidR="00F25B95" w:rsidRPr="00F25B95">
        <w:rPr>
          <w:rFonts w:hAnsi="Times New Roman" w:ascii="Times New Roman"/>
          <w:b/>
          <w:sz w:val="24"/>
          <w:szCs w:val="24"/>
        </w:rPr>
        <w:t>Kidriča</w:t>
      </w:r>
      <w:proofErr w:type="spellEnd"/>
      <w:r w:rsidR="00F25B95" w:rsidRPr="00F25B95">
        <w:rPr>
          <w:rFonts w:hAnsi="Times New Roman" w:ascii="Times New Roman"/>
          <w:b/>
          <w:sz w:val="24"/>
          <w:szCs w:val="24"/>
        </w:rPr>
        <w:t xml:space="preserve"> 59/0 OIB 79868402035 MBS 030053401</w:t>
      </w:r>
      <w:r w:rsidR="008F78B3" w:rsidRPr="004375CF">
        <w:rPr>
          <w:rFonts w:hAnsi="Times New Roman" w:ascii="Times New Roman"/>
          <w:sz w:val="24"/>
          <w:szCs w:val="24"/>
        </w:rPr>
        <w:t>.</w:t>
      </w:r>
    </w:p>
    <w:p w:rsidRDefault="0041605D" w:rsidP="004375CF" w:rsidR="00273331" w:rsidRPr="004375C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97707D" w:rsidP="00273331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D65EBA">
        <w:rPr>
          <w:rFonts w:hAnsi="Times New Roman" w:ascii="Times New Roman"/>
          <w:sz w:val="24"/>
          <w:szCs w:val="24"/>
        </w:rPr>
        <w:t>12. veljače 2018. g.</w:t>
      </w:r>
      <w:r w:rsidRPr="0074522F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D65EBA">
        <w:rPr>
          <w:rFonts w:hAnsi="Times New Roman" w:ascii="Times New Roman"/>
          <w:sz w:val="24"/>
          <w:szCs w:val="24"/>
        </w:rPr>
        <w:t>13. ožujka</w:t>
      </w:r>
      <w:r w:rsidR="00A9609C">
        <w:rPr>
          <w:rFonts w:hAnsi="Times New Roman" w:ascii="Times New Roman"/>
          <w:sz w:val="24"/>
          <w:szCs w:val="24"/>
        </w:rPr>
        <w:t xml:space="preserve"> 2018</w:t>
      </w:r>
      <w:r w:rsidR="007833E9">
        <w:rPr>
          <w:rFonts w:hAnsi="Times New Roman" w:ascii="Times New Roman"/>
          <w:sz w:val="24"/>
          <w:szCs w:val="24"/>
        </w:rPr>
        <w:t>. g.</w:t>
      </w:r>
      <w:r w:rsidRPr="0074522F">
        <w:rPr>
          <w:rFonts w:hAnsi="Times New Roman" w:ascii="Times New Roman"/>
          <w:sz w:val="24"/>
          <w:szCs w:val="24"/>
        </w:rPr>
        <w:t xml:space="preserve"> na kojem je stečajn</w:t>
      </w:r>
      <w:r w:rsidR="004375CF">
        <w:rPr>
          <w:rFonts w:hAnsi="Times New Roman" w:ascii="Times New Roman"/>
          <w:sz w:val="24"/>
          <w:szCs w:val="24"/>
        </w:rPr>
        <w:t>a</w:t>
      </w:r>
      <w:r w:rsidRPr="0074522F">
        <w:rPr>
          <w:rFonts w:hAnsi="Times New Roman" w:ascii="Times New Roman"/>
          <w:sz w:val="24"/>
          <w:szCs w:val="24"/>
        </w:rPr>
        <w:t xml:space="preserve"> su</w:t>
      </w:r>
      <w:r w:rsidR="004375CF">
        <w:rPr>
          <w:rFonts w:hAnsi="Times New Roman" w:ascii="Times New Roman"/>
          <w:sz w:val="24"/>
          <w:szCs w:val="24"/>
        </w:rPr>
        <w:t>tkinja</w:t>
      </w:r>
      <w:r w:rsidRPr="0074522F">
        <w:rPr>
          <w:rFonts w:hAnsi="Times New Roman" w:ascii="Times New Roman"/>
          <w:sz w:val="24"/>
          <w:szCs w:val="24"/>
        </w:rPr>
        <w:t xml:space="preserve"> objavi</w:t>
      </w:r>
      <w:r w:rsidR="008F78B3">
        <w:rPr>
          <w:rFonts w:hAnsi="Times New Roman" w:ascii="Times New Roman"/>
          <w:sz w:val="24"/>
          <w:szCs w:val="24"/>
        </w:rPr>
        <w:t>la</w:t>
      </w:r>
      <w:r w:rsidRPr="0074522F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>
        <w:rPr>
          <w:rFonts w:hAnsi="Times New Roman" w:ascii="Times New Roman"/>
          <w:sz w:val="24"/>
          <w:szCs w:val="24"/>
        </w:rPr>
        <w:t>e upraviteljice te završni račun.</w:t>
      </w:r>
      <w:r w:rsidRPr="0074522F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4522F" w:rsidR="00551939" w:rsidRPr="0074522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AC176B" w:rsidR="007833E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lastRenderedPageBreak/>
        <w:t>Na gore navedenom završnom ročištu s</w:t>
      </w:r>
      <w:r w:rsidR="0097707D" w:rsidRPr="00AC176B">
        <w:rPr>
          <w:rFonts w:hAnsi="Times New Roman" w:ascii="Times New Roman"/>
          <w:sz w:val="24"/>
          <w:szCs w:val="24"/>
        </w:rPr>
        <w:t>tečajn</w:t>
      </w:r>
      <w:r w:rsidR="00582FB8">
        <w:rPr>
          <w:rFonts w:hAnsi="Times New Roman" w:ascii="Times New Roman"/>
          <w:sz w:val="24"/>
          <w:szCs w:val="24"/>
        </w:rPr>
        <w:t>a</w:t>
      </w:r>
      <w:r w:rsidR="0097707D" w:rsidRPr="00AC176B">
        <w:rPr>
          <w:rFonts w:hAnsi="Times New Roman" w:ascii="Times New Roman"/>
          <w:sz w:val="24"/>
          <w:szCs w:val="24"/>
        </w:rPr>
        <w:t xml:space="preserve"> upravitelj</w:t>
      </w:r>
      <w:r w:rsidR="00582FB8">
        <w:rPr>
          <w:rFonts w:hAnsi="Times New Roman" w:ascii="Times New Roman"/>
          <w:sz w:val="24"/>
          <w:szCs w:val="24"/>
        </w:rPr>
        <w:t>ica</w:t>
      </w:r>
      <w:r w:rsidR="0097707D" w:rsidRPr="00AC176B">
        <w:rPr>
          <w:rFonts w:hAnsi="Times New Roman" w:ascii="Times New Roman"/>
          <w:sz w:val="24"/>
          <w:szCs w:val="24"/>
        </w:rPr>
        <w:t xml:space="preserve"> podn</w:t>
      </w:r>
      <w:r w:rsidRPr="00AC176B">
        <w:rPr>
          <w:rFonts w:hAnsi="Times New Roman" w:ascii="Times New Roman"/>
          <w:sz w:val="24"/>
          <w:szCs w:val="24"/>
        </w:rPr>
        <w:t>i</w:t>
      </w:r>
      <w:r w:rsidR="00582FB8">
        <w:rPr>
          <w:rFonts w:hAnsi="Times New Roman" w:ascii="Times New Roman"/>
          <w:sz w:val="24"/>
          <w:szCs w:val="24"/>
        </w:rPr>
        <w:t>jela</w:t>
      </w:r>
      <w:r w:rsidRPr="00AC176B">
        <w:rPr>
          <w:rFonts w:hAnsi="Times New Roman" w:ascii="Times New Roman"/>
          <w:sz w:val="24"/>
          <w:szCs w:val="24"/>
        </w:rPr>
        <w:t xml:space="preserve"> je </w:t>
      </w:r>
      <w:r w:rsidR="0097707D" w:rsidRPr="00AC176B">
        <w:rPr>
          <w:rFonts w:hAnsi="Times New Roman" w:ascii="Times New Roman"/>
          <w:sz w:val="24"/>
          <w:szCs w:val="24"/>
        </w:rPr>
        <w:t xml:space="preserve">izvješće </w:t>
      </w:r>
      <w:r w:rsidRPr="00AC176B">
        <w:rPr>
          <w:rFonts w:hAnsi="Times New Roman" w:ascii="Times New Roman"/>
          <w:sz w:val="24"/>
          <w:szCs w:val="24"/>
        </w:rPr>
        <w:t>te je nave</w:t>
      </w:r>
      <w:r w:rsidR="00582FB8">
        <w:rPr>
          <w:rFonts w:hAnsi="Times New Roman" w:ascii="Times New Roman"/>
          <w:sz w:val="24"/>
          <w:szCs w:val="24"/>
        </w:rPr>
        <w:t>la</w:t>
      </w:r>
      <w:r w:rsidR="00273331" w:rsidRPr="00AC176B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AC176B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AC176B">
        <w:rPr>
          <w:rFonts w:hAnsi="Times New Roman" w:ascii="Times New Roman"/>
          <w:sz w:val="24"/>
          <w:szCs w:val="24"/>
        </w:rPr>
        <w:t>račun prihoda i rashoda t</w:t>
      </w:r>
      <w:r w:rsidR="007833E9" w:rsidRPr="00AC176B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AC176B">
        <w:rPr>
          <w:rFonts w:hAnsi="Times New Roman" w:ascii="Times New Roman"/>
          <w:sz w:val="24"/>
          <w:szCs w:val="24"/>
        </w:rPr>
        <w:t>i to:</w:t>
      </w:r>
    </w:p>
    <w:p w:rsidRDefault="00D65EBA" w:rsidP="00AC176B" w:rsidR="00D65EB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5EBA" w:rsidP="00AC176B" w:rsidR="00D65EB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 dobiti i gubitka za razdoblje od 1.4.2015. g. – 31.12.2017. g.</w:t>
      </w:r>
    </w:p>
    <w:p w:rsidRDefault="00A9609C" w:rsidP="00AC176B" w:rsidR="00A9609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5427"/>
        <w:gridCol w:w="960"/>
        <w:gridCol w:w="1071"/>
        <w:gridCol w:w="1071"/>
        <w:gridCol w:w="1171"/>
      </w:tblGrid>
      <w:tr w:rsidTr="00F25B95" w:rsidR="00F25B95">
        <w:trPr>
          <w:trHeight w:val="450"/>
          <w:tblHeader/>
        </w:trPr>
        <w:tc>
          <w:tcPr>
            <w:tcW w:type="dxa" w:w="5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2F2F2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Naziv pozicije</w:t>
            </w:r>
          </w:p>
        </w:tc>
        <w:tc>
          <w:tcPr>
            <w:tcW w:type="dxa" w:w="9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2F2F2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AOP</w:t>
            </w:r>
            <w:r>
              <w:rPr>
                <w:rFonts w:cs="Arial" w:hAnsi="Arial" w:ascii="Arial"/>
                <w:b/>
                <w:bCs/>
                <w:sz w:val="14"/>
                <w:szCs w:val="14"/>
              </w:rPr>
              <w:br/>
              <w:t>oznaka</w:t>
            </w:r>
          </w:p>
        </w:tc>
        <w:tc>
          <w:tcPr>
            <w:tcW w:type="dxa" w:w="10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2F2F2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01.04.2015-31.12.2015.</w:t>
            </w:r>
          </w:p>
        </w:tc>
        <w:tc>
          <w:tcPr>
            <w:tcW w:type="dxa" w:w="10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2F2F2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01.01.2016-31.12.2016.</w:t>
            </w:r>
          </w:p>
        </w:tc>
        <w:tc>
          <w:tcPr>
            <w:tcW w:type="dxa" w:w="11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01.01.2017-31.12.2017.</w:t>
            </w:r>
          </w:p>
        </w:tc>
      </w:tr>
      <w:tr w:rsidTr="00F25B95" w:rsidR="00F25B95">
        <w:trPr>
          <w:trHeight w:val="300"/>
          <w:tblHeader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2F2F2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2F2F2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2F2F2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2F2F2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5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 xml:space="preserve">I. POSLOVNI PRIHODI </w:t>
            </w:r>
            <w:r>
              <w:rPr>
                <w:rFonts w:cs="Arial" w:hAnsi="Arial" w:ascii="Arial"/>
                <w:color w:val="333399"/>
                <w:sz w:val="14"/>
                <w:szCs w:val="14"/>
              </w:rPr>
              <w:t>(AOP 126 do 130)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125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386.851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295.930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171.539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1. Prihodi od prodaje s poduzetnicima unutar grupe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126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2. Prihodi od prodaje (izvan grupe)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127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331.797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247.047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105.677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3. Prihodi na temelju upotrebe vlastitih proizvoda, robe i usluga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128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4. Ostali poslovni prihodi s poduzetnicima unutar grupe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129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5. Ostali poslovni prihodi (izvan grupe)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130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55.054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48.883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65.862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 xml:space="preserve">II. POSLOVNI RASHODI </w:t>
            </w:r>
            <w:r>
              <w:rPr>
                <w:rFonts w:cs="Arial" w:hAnsi="Arial" w:ascii="Arial"/>
                <w:color w:val="333399"/>
                <w:sz w:val="14"/>
                <w:szCs w:val="14"/>
              </w:rPr>
              <w:t>(AOP 132+133+137+141+142+143+146+153)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131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6.380.972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1.500.797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8.523.760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1. Promjene vrijednosti zaliha proizvodnje u tijeku i gotovih proizvoda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132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2. Materijalni troškovi (AOP 134 do 136)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133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276.541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304.785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688.959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 a) Troškovi sirovina i materijala 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134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152.659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64.062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53.867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 b) Troškovi prodane robe 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135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106.700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 c) Ostali vanjski troškovi 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136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123.882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134.023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635.092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3. Troškovi osoblja (AOP 138 do 140)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137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6.502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4.711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0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 a) Neto plaće i nadnice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138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4.438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3.216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 b) Troškovi poreza i doprinosa iz plaća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139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1.109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804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 c) Doprinosi na plaće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140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954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691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4. Amortizacija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141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188.855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5. Ostali troškovi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142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24.257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69.573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656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6. Vrijednosna usklađenja (AOP 144+145)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143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333.279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0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0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a) dugotrajne imovine osim financijske imovine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144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b) kratkotrajne imovine osim financijske imovine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145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333.279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7. Rezerviranja (AOP 147 do 152)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146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0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0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a) Rezerviranja za mirovine, otpremnine i slične obveze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147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b) Rezerviranja za porezne obveze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148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c) Rezerviranja za započete sudske sporove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149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d) Rezerviranja za troškove obnavljanja prirodnih bogatstava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150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e) Rezerviranja za troškove u jamstvenim rokovima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151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i/>
                <w:iCs/>
                <w:sz w:val="14"/>
                <w:szCs w:val="14"/>
              </w:rPr>
              <w:t xml:space="preserve">       f) Druga rezerviranja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152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8. Ostali poslovni rashodi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153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5.551.538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1.121.728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7.834.145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lastRenderedPageBreak/>
              <w:t xml:space="preserve">III. FINANCIJSKI PRIHODI </w:t>
            </w:r>
            <w:r>
              <w:rPr>
                <w:rFonts w:cs="Arial" w:hAnsi="Arial" w:ascii="Arial"/>
                <w:color w:val="333399"/>
                <w:sz w:val="14"/>
                <w:szCs w:val="14"/>
              </w:rPr>
              <w:t>(AOP 155 do 164)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154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5.859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226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233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 1. Prihodi od ulaganja u udjele (dionice) poduzetnika unutar grupe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155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 2. Prihodi od ulaganja u udjele (dionice) društava povezanih</w:t>
            </w:r>
            <w:r>
              <w:rPr>
                <w:rFonts w:cs="Arial" w:hAnsi="Arial" w:ascii="Arial"/>
                <w:sz w:val="14"/>
                <w:szCs w:val="14"/>
              </w:rPr>
              <w:br/>
              <w:t xml:space="preserve">         sudjelujućim interesima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156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 3. Prihodi od ostalih dugotrajnih financijskih ulaganja i zajmova poduzetnicima unutar grupe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157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 4. Ostali prihodi s osnove kamata iz odnosa s poduzetnicima unutar grupe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158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 5. Tečajne razlike i ostali financijski prihodi iz odnosa s</w:t>
            </w:r>
            <w:r>
              <w:rPr>
                <w:rFonts w:cs="Arial" w:hAnsi="Arial" w:ascii="Arial"/>
                <w:sz w:val="14"/>
                <w:szCs w:val="14"/>
              </w:rPr>
              <w:br/>
              <w:t xml:space="preserve">         poduzetnicima unutar grupe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159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 6. Prihodi od ostalih dugotrajnih financijskih ulaganja i zajmova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160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 7. Ostali prihodi s osnove kamata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161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51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226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233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 8. Tečajne razlike i ostali financijski prihodi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162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 9. Nerealizirani dobici (prihodi) od financijske imovine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163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10. Ostali financijski prihodi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164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5.808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 xml:space="preserve">IV. FINANCIJSKI RASHODI </w:t>
            </w:r>
            <w:r>
              <w:rPr>
                <w:rFonts w:cs="Arial" w:hAnsi="Arial" w:ascii="Arial"/>
                <w:color w:val="333399"/>
                <w:sz w:val="14"/>
                <w:szCs w:val="14"/>
              </w:rPr>
              <w:t>(AOP 166 do 172)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165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147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8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512.101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 1. Rashodi s osnove kamata i slični rashodi s poduzetnicima unutar grupe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166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ind w:firstLine="18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2. Tečajne razlike i drugi rashodi s poduzetnicima unutar grupe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167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ind w:firstLine="18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3. Rashodi s osnove kamata i slični rashodi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168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147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8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512.101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ind w:firstLine="18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4. Tečajne razlike i drugi rashodi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169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ind w:firstLine="18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5. Nerealizirani gubici (rashodi) od financijske imovine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170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ind w:firstLine="18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6. Vrijednosna usklađenja financijske imovine (neto)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171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ind w:firstLine="18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7. Ostali financijski rashodi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172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>V.    UDIO U DOBITI OD DRUŠTAVA POVEZANIH SUDJELUJUĆIM  INTERESOM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173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>VI.   UDIO U DOBITI OD  ZAJEDNIČKIH POTHVATA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174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>VII.  UDIO U GUBITKU OD DRUŠTAVA POVEZANIH SUDJELUJUĆIM  INTERESOM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175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>VIII. UDIO U GUBITKU OD ZAJEDNIČKIH POTHVATA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176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 xml:space="preserve">IX.   UKUPNI PRIHODI </w:t>
            </w:r>
            <w:r>
              <w:rPr>
                <w:rFonts w:cs="Arial" w:hAnsi="Arial" w:ascii="Arial"/>
                <w:color w:val="333399"/>
                <w:sz w:val="14"/>
                <w:szCs w:val="14"/>
              </w:rPr>
              <w:t>(AOP 125+154+173 + 174)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177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392.709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296.156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171.772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 xml:space="preserve">X.    UKUPNI RASHODI </w:t>
            </w:r>
            <w:r>
              <w:rPr>
                <w:rFonts w:cs="Arial" w:hAnsi="Arial" w:ascii="Arial"/>
                <w:color w:val="333399"/>
                <w:sz w:val="14"/>
                <w:szCs w:val="14"/>
              </w:rPr>
              <w:t>(AOP 131+165+175 + 176)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178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6.381.118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1.500.805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9.035.861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 xml:space="preserve">XI.   DOBIT ILI GUBITAK PRIJE OPOREZIVANJA </w:t>
            </w:r>
            <w:r>
              <w:rPr>
                <w:rFonts w:cs="Arial" w:hAnsi="Arial" w:ascii="Arial"/>
                <w:color w:val="333399"/>
                <w:sz w:val="14"/>
                <w:szCs w:val="14"/>
              </w:rPr>
              <w:t>(AOP 177-178)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179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-5.988.409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-1.204.649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-8.864.089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ind w:firstLine="18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1. Dobit prije oporezivanja (AOP 177-178)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180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0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0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ind w:firstLine="18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 2. Gubitak prije oporezivanja (AOP 178-177)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181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5.988.409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1.204.649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8.864.089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>XII.  POREZ NA DOBIT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182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4"/>
                <w:szCs w:val="14"/>
              </w:rPr>
              <w:t xml:space="preserve">XIII. DOBIT ILI GUBITAK RAZDOBLJA </w:t>
            </w:r>
            <w:r>
              <w:rPr>
                <w:rFonts w:cs="Arial" w:hAnsi="Arial" w:ascii="Arial"/>
                <w:color w:val="333399"/>
                <w:sz w:val="14"/>
                <w:szCs w:val="14"/>
              </w:rPr>
              <w:t>(AOP 179-182)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183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-5.988.409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-1.204.649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-8.864.089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ind w:firstLine="18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1. Dobit razdoblja (AOP 179-182)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184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 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C0C0C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0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0</w:t>
            </w:r>
          </w:p>
        </w:tc>
      </w:tr>
      <w:tr w:rsidTr="00F25B95" w:rsidR="00F25B95">
        <w:trPr>
          <w:trHeight w:val="300"/>
        </w:trPr>
        <w:tc>
          <w:tcPr>
            <w:tcW w:type="dxa" w:w="542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ind w:firstLine="180"/>
              <w:rPr>
                <w:rFonts w:cs="Arial" w:hAnsi="Arial" w:ascii="Arial"/>
                <w:b/>
                <w:bCs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sz w:val="14"/>
                <w:szCs w:val="14"/>
              </w:rPr>
              <w:t xml:space="preserve">  2. Gubitak razdoblja (AOP 182-179)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185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5.988.409</w:t>
            </w:r>
          </w:p>
        </w:tc>
        <w:tc>
          <w:tcPr>
            <w:tcW w:type="dxa" w:w="107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Arial" w:hAnsi="Arial" w:ascii="Arial"/>
                <w:color w:val="0000FF"/>
                <w:kern w:val="2"/>
                <w:sz w:val="14"/>
                <w:szCs w:val="1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1.204.649</w:t>
            </w:r>
          </w:p>
        </w:tc>
        <w:tc>
          <w:tcPr>
            <w:tcW w:type="dxa" w:w="117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Arial" w:hAnsi="Arial" w:ascii="Arial"/>
                <w:color w:val="0000FF"/>
                <w:sz w:val="14"/>
                <w:szCs w:val="14"/>
              </w:rPr>
              <w:t>8.864.089</w:t>
            </w:r>
          </w:p>
        </w:tc>
      </w:tr>
    </w:tbl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PREGLED PRILJEVA I ODLJEVA NOVČANIH SREDSTAVA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U RAZOBLJU OD 01.04.2015. GODINE DO 25.01.2018. GODINE</w:t>
      </w:r>
    </w:p>
    <w:p w:rsidRDefault="00F25B95" w:rsidP="00F25B95" w:rsidR="00F25B95">
      <w:pPr>
        <w:rPr>
          <w:rFonts w:cs="Gentium Basic" w:hAnsi="Gentium Basic" w:ascii="Gentium Basic"/>
          <w:sz w:val="21"/>
          <w:szCs w:val="21"/>
        </w:rPr>
      </w:pPr>
    </w:p>
    <w:p w:rsidRDefault="00F25B95" w:rsidP="009C0072" w:rsidR="00F25B95">
      <w:pPr>
        <w:widowControl w:val="false"/>
        <w:numPr>
          <w:ilvl w:val="0"/>
          <w:numId w:val="3"/>
        </w:numPr>
        <w:suppressAutoHyphens/>
        <w:spacing w:lineRule="auto" w:line="240" w:after="0"/>
        <w:rPr>
          <w:rFonts w:cs="Gentium Basic" w:hAnsi="Gentium Basic" w:ascii="Gentium Basic"/>
          <w:b/>
          <w:bCs/>
          <w:color w:val="000000"/>
          <w:sz w:val="21"/>
          <w:szCs w:val="21"/>
        </w:rPr>
      </w:pPr>
      <w:r>
        <w:rPr>
          <w:rFonts w:cs="Gentium Basic" w:hAnsi="Gentium Basic" w:ascii="Gentium Basic"/>
          <w:sz w:val="21"/>
          <w:szCs w:val="21"/>
        </w:rPr>
        <w:t>Priljev sredstava na žiro račun</w:t>
      </w:r>
    </w:p>
    <w:tbl>
      <w:tblPr>
        <w:tblW w:type="auto" w:w="0"/>
        <w:tblInd w:type="dxa" w:w="-40"/>
        <w:tblLayout w:type="fixed"/>
        <w:tblLook w:val="04A0" w:noVBand="1" w:noHBand="0" w:lastColumn="0" w:firstColumn="1" w:lastRow="0" w:firstRow="1"/>
      </w:tblPr>
      <w:tblGrid>
        <w:gridCol w:w="739"/>
        <w:gridCol w:w="6561"/>
        <w:gridCol w:w="2068"/>
      </w:tblGrid>
      <w:tr w:rsidTr="00F25B95" w:rsidR="00F25B95">
        <w:trPr>
          <w:trHeight w:val="6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Red. br.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Opis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Iznos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1.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Naplaćeno od kupaca u stečaju s </w:t>
            </w:r>
            <w:proofErr w:type="spellStart"/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prekaturainim</w:t>
            </w:r>
            <w:proofErr w:type="spellEnd"/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troškovima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685.984,75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2.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Naplaćeno od kupaca prije stečaja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67.741,04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3.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Ostala naplaćena potraživanja prije stečaja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30.164,55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4.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Prihodi od kamata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     606,30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5.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Prihodi od poticaja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14.640,23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6.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Ostali financijski prihodi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26.787,16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7.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AORPS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78.237,09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8.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Doznačena sredstva sa depozitnog računa TS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826.877,89    </w:t>
            </w:r>
          </w:p>
        </w:tc>
      </w:tr>
      <w:tr w:rsidTr="00F25B95" w:rsidR="00F25B95">
        <w:trPr>
          <w:trHeight w:val="315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9.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 xml:space="preserve">Ukupno priljev sredstava na žiro račun 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 xml:space="preserve">       1.731.039,01    </w:t>
            </w:r>
          </w:p>
        </w:tc>
      </w:tr>
    </w:tbl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9C0072" w:rsidR="00F25B95">
      <w:pPr>
        <w:widowControl w:val="false"/>
        <w:numPr>
          <w:ilvl w:val="0"/>
          <w:numId w:val="4"/>
        </w:numPr>
        <w:suppressAutoHyphens/>
        <w:spacing w:lineRule="auto" w:line="240" w:after="0"/>
        <w:rPr>
          <w:rFonts w:cs="Gentium Basic" w:hAnsi="Gentium Basic" w:ascii="Gentium Basic"/>
          <w:b/>
          <w:bCs/>
          <w:color w:val="000000"/>
          <w:sz w:val="21"/>
          <w:szCs w:val="21"/>
        </w:rPr>
      </w:pPr>
      <w:r>
        <w:rPr>
          <w:rFonts w:cs="Gentium Basic" w:hAnsi="Gentium Basic" w:ascii="Gentium Basic"/>
          <w:sz w:val="21"/>
          <w:szCs w:val="21"/>
        </w:rPr>
        <w:t>Odljev sredstava sa žiro računa</w:t>
      </w:r>
    </w:p>
    <w:tbl>
      <w:tblPr>
        <w:tblW w:type="auto" w:w="0"/>
        <w:tblInd w:type="dxa" w:w="-40"/>
        <w:tblLayout w:type="fixed"/>
        <w:tblLook w:val="04A0" w:noVBand="1" w:noHBand="0" w:lastColumn="0" w:firstColumn="1" w:lastRow="0" w:firstRow="1"/>
      </w:tblPr>
      <w:tblGrid>
        <w:gridCol w:w="739"/>
        <w:gridCol w:w="6561"/>
        <w:gridCol w:w="2068"/>
      </w:tblGrid>
      <w:tr w:rsidTr="00F25B95" w:rsidR="00F25B95">
        <w:trPr>
          <w:trHeight w:val="6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Red. br.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Opis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Iznos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1.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Plaćanje obveza dobavljačima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356.388,37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2.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Plaće u otkaznom roku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11.213,16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3.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AORPS - plaće i otpremnine radnicima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78.237,09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4.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Nagrada stečajnom upravitelju - ukupan trošak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522.344,55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5.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Naknade troškova stečajnom upravitelju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 6.451,21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6.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Nagrada za rad stečajnom uprav. u prethodnom postupku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20.034,84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7.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25B95" w:rsidR="00F25B95">
            <w:pPr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Troškovi ugovora o djelu -troškovi arhiviranje dokumentacije prije stečaja</w:t>
            </w:r>
          </w:p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58.099,68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8.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Komunalna naknada i NUV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36.693,17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9.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Troškovi platnog prometa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 2.832,35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10.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Porez na dodanu vrijednost 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82.965,68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11.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Troškovi legalizacije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22.959,85    </w:t>
            </w:r>
          </w:p>
        </w:tc>
      </w:tr>
      <w:tr w:rsidTr="00F25B95" w:rsidR="00F25B95">
        <w:trPr>
          <w:trHeight w:val="300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12.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Troškovi procjene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 6.896,55    </w:t>
            </w:r>
          </w:p>
        </w:tc>
      </w:tr>
      <w:tr w:rsidTr="00F25B95" w:rsidR="00F25B95">
        <w:trPr>
          <w:trHeight w:val="315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lastRenderedPageBreak/>
              <w:t>13.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 xml:space="preserve">Ukupno odljev sredstava sa žiro računa 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 xml:space="preserve">       1.205.116,50    </w:t>
            </w:r>
          </w:p>
        </w:tc>
      </w:tr>
    </w:tbl>
    <w:p w:rsidRDefault="00F25B95" w:rsidP="00F25B95" w:rsid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>
      <w:pPr>
        <w:rPr>
          <w:rFonts w:cs="Gentium Basic" w:hAnsi="Gentium Basic" w:ascii="Gentium Basic"/>
          <w:sz w:val="21"/>
          <w:szCs w:val="21"/>
        </w:rPr>
      </w:pPr>
    </w:p>
    <w:p w:rsidRDefault="00F25B95" w:rsidP="009C0072" w:rsidR="00F25B95">
      <w:pPr>
        <w:widowControl w:val="false"/>
        <w:numPr>
          <w:ilvl w:val="0"/>
          <w:numId w:val="5"/>
        </w:numPr>
        <w:suppressAutoHyphens/>
        <w:spacing w:lineRule="auto" w:line="240" w:after="0"/>
        <w:rPr>
          <w:rFonts w:cs="Gentium Basic" w:hAnsi="Gentium Basic" w:ascii="Gentium Basic"/>
          <w:b/>
          <w:bCs/>
          <w:color w:val="000000"/>
          <w:sz w:val="21"/>
          <w:szCs w:val="21"/>
        </w:rPr>
      </w:pPr>
      <w:r>
        <w:rPr>
          <w:rFonts w:cs="Gentium Basic" w:hAnsi="Gentium Basic" w:ascii="Gentium Basic"/>
          <w:sz w:val="21"/>
          <w:szCs w:val="21"/>
        </w:rPr>
        <w:t>Rekapitulacija novčanih priljeva i odljeva sredstava</w:t>
      </w:r>
    </w:p>
    <w:tbl>
      <w:tblPr>
        <w:tblW w:type="auto" w:w="0"/>
        <w:tblInd w:type="dxa" w:w="-40"/>
        <w:tblLayout w:type="fixed"/>
        <w:tblLook w:val="04A0" w:noVBand="1" w:noHBand="0" w:lastColumn="0" w:firstColumn="1" w:lastRow="0" w:firstRow="1"/>
      </w:tblPr>
      <w:tblGrid>
        <w:gridCol w:w="799"/>
        <w:gridCol w:w="6505"/>
        <w:gridCol w:w="2064"/>
      </w:tblGrid>
      <w:tr w:rsidTr="00F25B95" w:rsidR="00F25B95">
        <w:trPr>
          <w:trHeight w:val="780"/>
        </w:trPr>
        <w:tc>
          <w:tcPr>
            <w:tcW w:type="dxa" w:w="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Red. br.</w:t>
            </w:r>
          </w:p>
        </w:tc>
        <w:tc>
          <w:tcPr>
            <w:tcW w:type="dxa" w:w="65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Opis</w:t>
            </w:r>
          </w:p>
        </w:tc>
        <w:tc>
          <w:tcPr>
            <w:tcW w:type="dxa" w:w="20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Iznos</w:t>
            </w:r>
          </w:p>
        </w:tc>
      </w:tr>
      <w:tr w:rsidTr="00F25B95" w:rsidR="00F25B95">
        <w:trPr>
          <w:trHeight w:val="300"/>
        </w:trPr>
        <w:tc>
          <w:tcPr>
            <w:tcW w:type="dxa" w:w="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1.</w:t>
            </w:r>
          </w:p>
        </w:tc>
        <w:tc>
          <w:tcPr>
            <w:tcW w:type="dxa" w:w="65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PRILJEV SREDSTAVA NA ŽIRO RAČUN</w:t>
            </w:r>
          </w:p>
        </w:tc>
        <w:tc>
          <w:tcPr>
            <w:tcW w:type="dxa" w:w="20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  1.731.039,01    </w:t>
            </w:r>
          </w:p>
        </w:tc>
      </w:tr>
      <w:tr w:rsidTr="00F25B95" w:rsidR="00F25B95">
        <w:trPr>
          <w:trHeight w:val="315"/>
        </w:trPr>
        <w:tc>
          <w:tcPr>
            <w:tcW w:type="dxa" w:w="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2.</w:t>
            </w:r>
          </w:p>
        </w:tc>
        <w:tc>
          <w:tcPr>
            <w:tcW w:type="dxa" w:w="65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ODLJEV SREDSTAVA SA ŽIRO RAČUNA</w:t>
            </w:r>
          </w:p>
        </w:tc>
        <w:tc>
          <w:tcPr>
            <w:tcW w:type="dxa" w:w="20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1.205.116,50    </w:t>
            </w:r>
          </w:p>
        </w:tc>
      </w:tr>
      <w:tr w:rsidTr="00F25B95" w:rsidR="00F25B95">
        <w:trPr>
          <w:trHeight w:val="600"/>
        </w:trPr>
        <w:tc>
          <w:tcPr>
            <w:tcW w:type="dxa" w:w="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3.</w:t>
            </w:r>
          </w:p>
        </w:tc>
        <w:tc>
          <w:tcPr>
            <w:tcW w:type="dxa" w:w="65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Povećanje (+) / smanjenje (-) novca za tekuće razdoblje (red.br.1 - red.br.2)</w:t>
            </w:r>
          </w:p>
        </w:tc>
        <w:tc>
          <w:tcPr>
            <w:tcW w:type="dxa" w:w="20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525.922,51    </w:t>
            </w:r>
          </w:p>
        </w:tc>
      </w:tr>
      <w:tr w:rsidTr="00F25B95" w:rsidR="00F25B95">
        <w:trPr>
          <w:trHeight w:val="300"/>
        </w:trPr>
        <w:tc>
          <w:tcPr>
            <w:tcW w:type="dxa" w:w="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4.</w:t>
            </w:r>
          </w:p>
        </w:tc>
        <w:tc>
          <w:tcPr>
            <w:tcW w:type="dxa" w:w="65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Stanje na žiro računu na početku izvještajnog razdoblja</w:t>
            </w:r>
          </w:p>
        </w:tc>
        <w:tc>
          <w:tcPr>
            <w:tcW w:type="dxa" w:w="20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 </w:t>
            </w:r>
          </w:p>
        </w:tc>
      </w:tr>
      <w:tr w:rsidTr="00F25B95" w:rsidR="00F25B95">
        <w:trPr>
          <w:trHeight w:val="300"/>
        </w:trPr>
        <w:tc>
          <w:tcPr>
            <w:tcW w:type="dxa" w:w="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5.</w:t>
            </w:r>
          </w:p>
        </w:tc>
        <w:tc>
          <w:tcPr>
            <w:tcW w:type="dxa" w:w="65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Stanje na žiro računu na kraju izvještajnog razdoblja (3+4)</w:t>
            </w:r>
          </w:p>
        </w:tc>
        <w:tc>
          <w:tcPr>
            <w:tcW w:type="dxa" w:w="20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 xml:space="preserve">          525.922,51    </w:t>
            </w:r>
          </w:p>
        </w:tc>
      </w:tr>
    </w:tbl>
    <w:p w:rsidRDefault="00F25B95" w:rsidP="00F25B95" w:rsidR="00F25B95">
      <w:pPr>
        <w:rPr>
          <w:rFonts w:cs="Gentium Basic" w:eastAsia="Lucida Sans Unicode" w:hAnsi="Gentium Basic" w:ascii="Gentium Basic"/>
          <w:kern w:val="2"/>
          <w:sz w:val="21"/>
          <w:szCs w:val="21"/>
          <w:lang w:bidi="hi-IN" w:eastAsia="hi-IN"/>
        </w:rPr>
      </w:pPr>
    </w:p>
    <w:p w:rsidRDefault="00F25B95" w:rsidP="00F25B95" w:rsidR="00F25B95">
      <w:pPr>
        <w:rPr>
          <w:rFonts w:cs="Gentium Basic" w:eastAsia="Times New Roman" w:hAnsi="Gentium Basic" w:ascii="Gentium Basic"/>
          <w:sz w:val="21"/>
          <w:szCs w:val="21"/>
          <w:lang w:eastAsia="hr-HR"/>
        </w:rPr>
      </w:pPr>
      <w:r>
        <w:rPr>
          <w:rFonts w:cs="Gentium Basic" w:hAnsi="Gentium Basic" w:ascii="Gentium Basic"/>
          <w:sz w:val="21"/>
          <w:szCs w:val="21"/>
        </w:rPr>
        <w:t>Novčana sredstva na žiro računu na dan 25.01.2018. godine iznose 525.922,51 kn.</w:t>
      </w:r>
    </w:p>
    <w:p w:rsidRDefault="00F25B95" w:rsidP="00F25B95" w:rsidR="00F25B95">
      <w:pPr>
        <w:jc w:val="center"/>
        <w:rPr>
          <w:rFonts w:cs="Gentium Basic" w:hAnsi="Gentium Basic" w:ascii="Gentium Basic"/>
          <w:color w:val="000000"/>
          <w:sz w:val="21"/>
          <w:szCs w:val="21"/>
        </w:rPr>
      </w:pPr>
      <w:r>
        <w:rPr>
          <w:rFonts w:cs="Gentium Basic" w:hAnsi="Gentium Basic" w:ascii="Gentium Basic"/>
          <w:sz w:val="21"/>
          <w:szCs w:val="21"/>
        </w:rPr>
        <w:t>Predvidivi troškovi do okončanja stečajnog postupka</w:t>
      </w:r>
    </w:p>
    <w:tbl>
      <w:tblPr>
        <w:tblW w:type="auto" w:w="0"/>
        <w:tblInd w:type="dxa" w:w="-40"/>
        <w:tblLayout w:type="fixed"/>
        <w:tblLook w:val="04A0" w:noVBand="1" w:noHBand="0" w:lastColumn="0" w:firstColumn="1" w:lastRow="0" w:firstRow="1"/>
      </w:tblPr>
      <w:tblGrid>
        <w:gridCol w:w="7207"/>
        <w:gridCol w:w="2161"/>
      </w:tblGrid>
      <w:tr w:rsidTr="00F25B95" w:rsidR="00F25B95">
        <w:trPr>
          <w:trHeight w:val="330"/>
        </w:trPr>
        <w:tc>
          <w:tcPr>
            <w:tcW w:type="dxa" w:w="72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Opis</w:t>
            </w:r>
          </w:p>
        </w:tc>
        <w:tc>
          <w:tcPr>
            <w:tcW w:type="dxa" w:w="21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Iznos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Knjigovodstvene usluge (5 mjeseci)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10.000,00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Rezervacija za sporove u tijeku koji će se nastaviti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40.000,00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Nagrada odboru vjerovnika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3.000,00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Pristojba za završno ročište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2.000,00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Arhiviranje gradiva u stečaju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4.000,00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Naknada za platni promet, e-fina, zatvaranje žiro računa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2.000,00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Porez na dodanu vrijednost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24.016,51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Ostali nepredvidivi troškovi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1.000,00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Ukupno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86.016,51    </w:t>
            </w:r>
          </w:p>
        </w:tc>
      </w:tr>
    </w:tbl>
    <w:p w:rsidRDefault="00F25B95" w:rsidP="00F25B95" w:rsidR="00F25B95">
      <w:pPr>
        <w:rPr>
          <w:rFonts w:cs="Gentium Basic" w:eastAsia="Lucida Sans Unicode" w:hAnsi="Gentium Basic" w:ascii="Gentium Basic"/>
          <w:kern w:val="2"/>
          <w:sz w:val="21"/>
          <w:szCs w:val="21"/>
          <w:lang w:bidi="hi-IN" w:eastAsia="hi-IN"/>
        </w:rPr>
      </w:pPr>
    </w:p>
    <w:p w:rsidRDefault="00F25B95" w:rsidP="00F25B95" w:rsidR="00F25B95">
      <w:pPr>
        <w:jc w:val="center"/>
        <w:rPr>
          <w:rFonts w:cs="Gentium Basic" w:hAnsi="Gentium Basic" w:ascii="Gentium Basic"/>
          <w:color w:val="000000"/>
          <w:sz w:val="21"/>
          <w:szCs w:val="21"/>
        </w:rPr>
      </w:pPr>
      <w:r>
        <w:rPr>
          <w:rFonts w:cs="Gentium Basic" w:hAnsi="Gentium Basic" w:ascii="Gentium Basic"/>
          <w:sz w:val="21"/>
          <w:szCs w:val="21"/>
        </w:rPr>
        <w:t>Izračun sredstava raspoloživih za završnu diobu</w:t>
      </w:r>
    </w:p>
    <w:tbl>
      <w:tblPr>
        <w:tblW w:type="auto" w:w="0"/>
        <w:tblInd w:type="dxa" w:w="-40"/>
        <w:tblLayout w:type="fixed"/>
        <w:tblLook w:val="04A0" w:noVBand="1" w:noHBand="0" w:lastColumn="0" w:firstColumn="1" w:lastRow="0" w:firstRow="1"/>
      </w:tblPr>
      <w:tblGrid>
        <w:gridCol w:w="7207"/>
        <w:gridCol w:w="2161"/>
      </w:tblGrid>
      <w:tr w:rsidTr="00F25B95" w:rsidR="00F25B95">
        <w:trPr>
          <w:trHeight w:val="330"/>
        </w:trPr>
        <w:tc>
          <w:tcPr>
            <w:tcW w:type="dxa" w:w="72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Opis</w:t>
            </w:r>
          </w:p>
        </w:tc>
        <w:tc>
          <w:tcPr>
            <w:tcW w:type="dxa" w:w="21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Iznos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Raspoloživo na dan 25.01.2018.</w:t>
            </w:r>
          </w:p>
        </w:tc>
        <w:tc>
          <w:tcPr>
            <w:tcW w:type="dxa" w:w="21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525.922,51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Troškovi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86.016,51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Dioba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439.906,00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lastRenderedPageBreak/>
              <w:t>Preostala sredstva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      0,00    </w:t>
            </w:r>
          </w:p>
        </w:tc>
      </w:tr>
    </w:tbl>
    <w:p w:rsidRDefault="00F25B95" w:rsidP="00F25B95" w:rsid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>
      <w:pPr>
        <w:jc w:val="center"/>
        <w:rPr>
          <w:rFonts w:cs="Gentium Basic" w:hAnsi="Gentium Basic" w:ascii="Gentium Basic"/>
          <w:sz w:val="21"/>
          <w:szCs w:val="21"/>
        </w:rPr>
      </w:pPr>
      <w:r>
        <w:rPr>
          <w:rFonts w:cs="Gentium Basic" w:hAnsi="Gentium Basic" w:ascii="Gentium Basic"/>
          <w:sz w:val="21"/>
          <w:szCs w:val="21"/>
        </w:rPr>
        <w:t>Prijedlog diobe</w:t>
      </w:r>
    </w:p>
    <w:p w:rsidRDefault="00F25B95" w:rsidP="00F25B95" w:rsidR="00F25B95">
      <w:pPr>
        <w:rPr>
          <w:rFonts w:cs="Gentium Basic" w:hAnsi="Gentium Basic" w:ascii="Gentium Basic"/>
          <w:sz w:val="21"/>
          <w:szCs w:val="21"/>
        </w:rPr>
      </w:pPr>
    </w:p>
    <w:tbl>
      <w:tblPr>
        <w:tblW w:type="auto" w:w="0"/>
        <w:tblInd w:type="dxa" w:w="-40"/>
        <w:tblLayout w:type="fixed"/>
        <w:tblLook w:val="04A0" w:noVBand="1" w:noHBand="0" w:lastColumn="0" w:firstColumn="1" w:lastRow="0" w:firstRow="1"/>
      </w:tblPr>
      <w:tblGrid>
        <w:gridCol w:w="7207"/>
        <w:gridCol w:w="2161"/>
      </w:tblGrid>
      <w:tr w:rsidTr="00F25B95" w:rsidR="00F25B95">
        <w:trPr>
          <w:trHeight w:val="330"/>
        </w:trPr>
        <w:tc>
          <w:tcPr>
            <w:tcW w:type="dxa" w:w="72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Opis</w:t>
            </w:r>
          </w:p>
        </w:tc>
        <w:tc>
          <w:tcPr>
            <w:tcW w:type="dxa" w:w="21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CE6F1" w:color="auto" w:val="clear"/>
            <w:vAlign w:val="bottom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Iznos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Priznate tražbine I višeg isplatnog reda - 1 ročište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1.533.943,92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Priznate tražbine II višeg isplatnog reda - 2 ročište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       9.585,92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Ukupno priznate tražbine I višeg isplatnog reda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CE6F1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    1.543.529,84    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 xml:space="preserve">Prijedlog završne diobe % </w:t>
            </w:r>
          </w:p>
        </w:tc>
        <w:tc>
          <w:tcPr>
            <w:tcW w:type="dxa" w:w="21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color w:val="000000"/>
                <w:sz w:val="21"/>
                <w:szCs w:val="21"/>
              </w:rPr>
              <w:t>28,50%</w:t>
            </w:r>
          </w:p>
        </w:tc>
      </w:tr>
      <w:tr w:rsidTr="00F25B95" w:rsidR="00F25B95">
        <w:trPr>
          <w:trHeight w:val="330"/>
        </w:trPr>
        <w:tc>
          <w:tcPr>
            <w:tcW w:type="dxa" w:w="72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vAlign w:val="center"/>
            <w:hideMark/>
          </w:tcPr>
          <w:p w:rsidRDefault="00F25B95" w:rsidR="00F25B95">
            <w:pPr>
              <w:spacing w:lineRule="atLeast" w:line="100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 xml:space="preserve">Prijedlog završne diobe </w:t>
            </w:r>
          </w:p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b/>
                <w:bCs/>
                <w:color w:val="000000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>(namirenje vjerovnika I višeg isplatnog reda)</w:t>
            </w:r>
          </w:p>
        </w:tc>
        <w:tc>
          <w:tcPr>
            <w:tcW w:type="dxa" w:w="216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CE6F1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b/>
                <w:bCs/>
                <w:color w:val="000000"/>
                <w:sz w:val="21"/>
                <w:szCs w:val="21"/>
              </w:rPr>
              <w:t xml:space="preserve">       439.906,00    </w:t>
            </w:r>
          </w:p>
        </w:tc>
      </w:tr>
    </w:tbl>
    <w:p w:rsidRDefault="00F25B95" w:rsidP="00F25B95" w:rsid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D65EBA" w:rsidR="00F25B95">
      <w:pPr>
        <w:pStyle w:val="Zaglavlje"/>
        <w:jc w:val="center"/>
        <w:rPr>
          <w:rFonts w:cs="Gentium Basic" w:hAnsi="Gentium Basic" w:ascii="Gentium Basic"/>
          <w:sz w:val="21"/>
          <w:szCs w:val="21"/>
        </w:rPr>
      </w:pPr>
      <w:r>
        <w:rPr>
          <w:rFonts w:cs="Gentium Basic" w:hAnsi="Gentium Basic" w:ascii="Gentium Basic"/>
          <w:sz w:val="21"/>
          <w:szCs w:val="21"/>
        </w:rPr>
        <w:t>Nenaplaćena potraživanja na dan 25.01.2018. godine</w:t>
      </w:r>
    </w:p>
    <w:p w:rsidRDefault="00F25B95" w:rsidP="00F25B95" w:rsidR="00F25B95">
      <w:pPr>
        <w:pStyle w:val="Zaglavlje"/>
        <w:rPr>
          <w:rFonts w:cs="Gentium Basic" w:hAnsi="Gentium Basic" w:ascii="Gentium Basic"/>
          <w:sz w:val="21"/>
          <w:szCs w:val="21"/>
        </w:rPr>
      </w:pPr>
      <w:r>
        <w:rPr>
          <w:rFonts w:cs="Gentium Basic" w:hAnsi="Gentium Basic" w:ascii="Gentium Basic"/>
          <w:sz w:val="21"/>
          <w:szCs w:val="21"/>
        </w:rPr>
        <w:t xml:space="preserve">Potraživanja po sklopljenim </w:t>
      </w:r>
      <w:proofErr w:type="spellStart"/>
      <w:r>
        <w:rPr>
          <w:rFonts w:cs="Gentium Basic" w:hAnsi="Gentium Basic" w:ascii="Gentium Basic"/>
          <w:sz w:val="21"/>
          <w:szCs w:val="21"/>
        </w:rPr>
        <w:t>predstečajnim</w:t>
      </w:r>
      <w:proofErr w:type="spellEnd"/>
      <w:r>
        <w:rPr>
          <w:rFonts w:cs="Gentium Basic" w:hAnsi="Gentium Basic" w:ascii="Gentium Basic"/>
          <w:sz w:val="21"/>
          <w:szCs w:val="21"/>
        </w:rPr>
        <w:t xml:space="preserve"> nagodbama</w:t>
      </w:r>
    </w:p>
    <w:p w:rsidRDefault="00F25B95" w:rsidP="00F25B95" w:rsidR="00F25B95">
      <w:pPr>
        <w:pStyle w:val="Zaglavlje"/>
        <w:rPr>
          <w:rFonts w:cs="Gentium Basic" w:hAnsi="Gentium Basic" w:ascii="Gentium Basic"/>
          <w:sz w:val="21"/>
          <w:szCs w:val="21"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3114"/>
        <w:gridCol w:w="2126"/>
        <w:gridCol w:w="1701"/>
        <w:gridCol w:w="2206"/>
      </w:tblGrid>
      <w:tr w:rsidTr="00F25B95" w:rsidR="00F25B95">
        <w:trPr>
          <w:trHeight w:val="794"/>
        </w:trPr>
        <w:tc>
          <w:tcPr>
            <w:tcW w:type="dxa" w:w="3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Opis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Iznos po </w:t>
            </w:r>
            <w:proofErr w:type="spellStart"/>
            <w:r>
              <w:rPr>
                <w:rFonts w:cs="Gentium Basic" w:hAnsi="Gentium Basic" w:ascii="Gentium Basic"/>
                <w:sz w:val="21"/>
                <w:szCs w:val="21"/>
              </w:rPr>
              <w:t>predstečajnoj</w:t>
            </w:r>
            <w:proofErr w:type="spellEnd"/>
            <w:r>
              <w:rPr>
                <w:rFonts w:cs="Gentium Basic" w:hAnsi="Gentium Basic" w:ascii="Gentium Basic"/>
                <w:sz w:val="21"/>
                <w:szCs w:val="21"/>
              </w:rPr>
              <w:t xml:space="preserve"> nagodbi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Plaćeno </w:t>
            </w:r>
          </w:p>
        </w:tc>
        <w:tc>
          <w:tcPr>
            <w:tcW w:type="dxa" w:w="22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Iznos potraživanja na dan 25.01.2018. </w:t>
            </w:r>
          </w:p>
        </w:tc>
      </w:tr>
      <w:tr w:rsidTr="00F25B95" w:rsidR="00F25B95">
        <w:trPr>
          <w:trHeight w:val="567"/>
        </w:trPr>
        <w:tc>
          <w:tcPr>
            <w:tcW w:type="dxa" w:w="311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ŠPOLJO KOMERC OBRT</w:t>
            </w:r>
          </w:p>
        </w:tc>
        <w:tc>
          <w:tcPr>
            <w:tcW w:type="dxa" w:w="21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106.358,55   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 9.702,26    </w:t>
            </w:r>
          </w:p>
        </w:tc>
        <w:tc>
          <w:tcPr>
            <w:tcW w:type="dxa" w:w="220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 96.656,29    </w:t>
            </w:r>
          </w:p>
        </w:tc>
      </w:tr>
    </w:tbl>
    <w:p w:rsidRDefault="00F25B95" w:rsidP="00F25B95" w:rsidR="00F25B95">
      <w:pPr>
        <w:pStyle w:val="Zaglavlje"/>
        <w:rPr>
          <w:rFonts w:cs="Gentium Basic" w:eastAsia="Lucida Sans Unicode" w:hAnsi="Gentium Basic" w:ascii="Gentium Basic"/>
          <w:kern w:val="2"/>
          <w:sz w:val="21"/>
          <w:szCs w:val="21"/>
          <w:lang w:bidi="hi-IN" w:eastAsia="hi-IN"/>
        </w:rPr>
      </w:pPr>
    </w:p>
    <w:p w:rsidRDefault="00F25B95" w:rsidP="00F25B95" w:rsidR="00F25B95">
      <w:pPr>
        <w:pStyle w:val="Zaglavlje"/>
        <w:rPr>
          <w:rFonts w:cs="Gentium Basic" w:hAnsi="Gentium Basic" w:ascii="Gentium Basic"/>
          <w:sz w:val="21"/>
          <w:szCs w:val="21"/>
        </w:rPr>
      </w:pPr>
      <w:r>
        <w:rPr>
          <w:rFonts w:cs="Gentium Basic" w:hAnsi="Gentium Basic" w:ascii="Gentium Basic"/>
          <w:sz w:val="21"/>
          <w:szCs w:val="21"/>
        </w:rPr>
        <w:t>Potraživanja od kupaca u stečaju</w:t>
      </w:r>
    </w:p>
    <w:p w:rsidRDefault="00F25B95" w:rsidP="00F25B95" w:rsidR="00F25B95">
      <w:pPr>
        <w:pStyle w:val="Zaglavlje"/>
        <w:rPr>
          <w:rFonts w:cs="Gentium Basic" w:hAnsi="Gentium Basic" w:ascii="Gentium Basic"/>
          <w:sz w:val="21"/>
          <w:szCs w:val="21"/>
        </w:rPr>
      </w:pPr>
    </w:p>
    <w:tbl>
      <w:tblPr>
        <w:tblW w:type="auto" w:w="0"/>
        <w:tblInd w:type="dxa" w:w="-40"/>
        <w:tblLayout w:type="fixed"/>
        <w:tblLook w:val="04A0" w:noVBand="1" w:noHBand="0" w:lastColumn="0" w:firstColumn="1" w:lastRow="0" w:firstRow="1"/>
      </w:tblPr>
      <w:tblGrid>
        <w:gridCol w:w="6894"/>
        <w:gridCol w:w="2474"/>
      </w:tblGrid>
      <w:tr w:rsidTr="00F25B95" w:rsidR="00F25B95">
        <w:trPr>
          <w:trHeight w:val="330"/>
        </w:trPr>
        <w:tc>
          <w:tcPr>
            <w:tcW w:type="dxa" w:w="68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Opis</w:t>
            </w:r>
          </w:p>
        </w:tc>
        <w:tc>
          <w:tcPr>
            <w:tcW w:type="dxa" w:w="24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Iznos</w:t>
            </w:r>
          </w:p>
        </w:tc>
      </w:tr>
      <w:tr w:rsidTr="00F25B95" w:rsidR="00F25B95">
        <w:trPr>
          <w:trHeight w:val="330"/>
        </w:trPr>
        <w:tc>
          <w:tcPr>
            <w:tcW w:type="dxa" w:w="689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TROKUT SAMADRŽIĆ d.o.o.</w:t>
            </w:r>
          </w:p>
        </w:tc>
        <w:tc>
          <w:tcPr>
            <w:tcW w:type="dxa" w:w="247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 15.000,00    </w:t>
            </w:r>
          </w:p>
        </w:tc>
      </w:tr>
      <w:tr w:rsidTr="00F25B95" w:rsidR="00F25B95">
        <w:trPr>
          <w:trHeight w:val="330"/>
        </w:trPr>
        <w:tc>
          <w:tcPr>
            <w:tcW w:type="dxa" w:w="689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MD </w:t>
            </w:r>
            <w:proofErr w:type="spellStart"/>
            <w:r>
              <w:rPr>
                <w:rFonts w:cs="Gentium Basic" w:hAnsi="Gentium Basic" w:ascii="Gentium Basic"/>
                <w:sz w:val="21"/>
                <w:szCs w:val="21"/>
              </w:rPr>
              <w:t>vl</w:t>
            </w:r>
            <w:proofErr w:type="spellEnd"/>
            <w:r>
              <w:rPr>
                <w:rFonts w:cs="Gentium Basic" w:hAnsi="Gentium Basic" w:ascii="Gentium Basic"/>
                <w:sz w:val="21"/>
                <w:szCs w:val="21"/>
              </w:rPr>
              <w:t xml:space="preserve">. Danijela </w:t>
            </w:r>
            <w:proofErr w:type="spellStart"/>
            <w:r>
              <w:rPr>
                <w:rFonts w:cs="Gentium Basic" w:hAnsi="Gentium Basic" w:ascii="Gentium Basic"/>
                <w:sz w:val="21"/>
                <w:szCs w:val="21"/>
              </w:rPr>
              <w:t>Mlinarević</w:t>
            </w:r>
            <w:proofErr w:type="spellEnd"/>
          </w:p>
        </w:tc>
        <w:tc>
          <w:tcPr>
            <w:tcW w:type="dxa" w:w="247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 42.914,34    </w:t>
            </w:r>
          </w:p>
        </w:tc>
      </w:tr>
      <w:tr w:rsidTr="00F25B95" w:rsidR="00F25B95">
        <w:trPr>
          <w:trHeight w:val="330"/>
        </w:trPr>
        <w:tc>
          <w:tcPr>
            <w:tcW w:type="dxa" w:w="689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PEKARSTVO KADULJA d.o.o.</w:t>
            </w:r>
          </w:p>
        </w:tc>
        <w:tc>
          <w:tcPr>
            <w:tcW w:type="dxa" w:w="247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   1.875,00    </w:t>
            </w:r>
          </w:p>
        </w:tc>
      </w:tr>
      <w:tr w:rsidTr="00F25B95" w:rsidR="00F25B95">
        <w:trPr>
          <w:trHeight w:val="330"/>
        </w:trPr>
        <w:tc>
          <w:tcPr>
            <w:tcW w:type="dxa" w:w="689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Ukupno</w:t>
            </w:r>
          </w:p>
        </w:tc>
        <w:tc>
          <w:tcPr>
            <w:tcW w:type="dxa" w:w="247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25B95" w:rsidR="00F25B95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 59.789,34    </w:t>
            </w:r>
          </w:p>
        </w:tc>
      </w:tr>
    </w:tbl>
    <w:p w:rsidRDefault="00F25B95" w:rsidP="00F25B95" w:rsid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95803" w:rsidP="00F25B95" w:rsidR="00F9580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95803" w:rsidP="00F95803" w:rsidR="00F95803">
      <w:pPr>
        <w:pStyle w:val="Zaglavlje"/>
        <w:rPr>
          <w:rFonts w:cs="Gentium Basic" w:hAnsi="Gentium Basic" w:ascii="Gentium Basic"/>
          <w:sz w:val="21"/>
          <w:szCs w:val="21"/>
        </w:rPr>
      </w:pPr>
      <w:r>
        <w:rPr>
          <w:rFonts w:cs="Gentium Basic" w:hAnsi="Gentium Basic" w:ascii="Gentium Basic"/>
          <w:sz w:val="21"/>
          <w:szCs w:val="21"/>
        </w:rPr>
        <w:t>Potraživanja od kupaca prije stečaja - utužena</w:t>
      </w:r>
    </w:p>
    <w:p w:rsidRDefault="00F95803" w:rsidP="00F95803" w:rsidR="00F95803">
      <w:pPr>
        <w:pStyle w:val="Zaglavlje"/>
        <w:rPr>
          <w:rFonts w:cs="Gentium Basic" w:hAnsi="Gentium Basic" w:ascii="Gentium Basic"/>
          <w:sz w:val="21"/>
          <w:szCs w:val="21"/>
        </w:rPr>
      </w:pPr>
    </w:p>
    <w:tbl>
      <w:tblPr>
        <w:tblW w:type="auto" w:w="0"/>
        <w:tblInd w:type="dxa" w:w="-40"/>
        <w:tblLayout w:type="fixed"/>
        <w:tblLook w:val="04A0" w:noVBand="1" w:noHBand="0" w:lastColumn="0" w:firstColumn="1" w:lastRow="0" w:firstRow="1"/>
      </w:tblPr>
      <w:tblGrid>
        <w:gridCol w:w="6894"/>
        <w:gridCol w:w="2474"/>
      </w:tblGrid>
      <w:tr w:rsidTr="00F95803" w:rsidR="00F95803">
        <w:trPr>
          <w:trHeight w:val="330"/>
        </w:trPr>
        <w:tc>
          <w:tcPr>
            <w:tcW w:type="dxa" w:w="68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bottom"/>
            <w:hideMark/>
          </w:tcPr>
          <w:p w:rsidRDefault="00F95803" w:rsidR="00F95803">
            <w:pPr>
              <w:widowControl w:val="false"/>
              <w:spacing w:lineRule="atLeast" w:line="100"/>
              <w:jc w:val="center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lastRenderedPageBreak/>
              <w:t>Opis</w:t>
            </w:r>
          </w:p>
        </w:tc>
        <w:tc>
          <w:tcPr>
            <w:tcW w:type="dxa" w:w="24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bottom"/>
            <w:hideMark/>
          </w:tcPr>
          <w:p w:rsidRDefault="00F95803" w:rsidR="00F95803">
            <w:pPr>
              <w:widowControl w:val="false"/>
              <w:spacing w:lineRule="atLeast" w:line="100"/>
              <w:jc w:val="center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Iznos </w:t>
            </w:r>
          </w:p>
        </w:tc>
      </w:tr>
      <w:tr w:rsidTr="00F95803" w:rsidR="00F95803">
        <w:trPr>
          <w:trHeight w:val="330"/>
        </w:trPr>
        <w:tc>
          <w:tcPr>
            <w:tcW w:type="dxa" w:w="689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95803" w:rsidR="00F95803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OPG VOJVODIĆ MAJA</w:t>
            </w:r>
          </w:p>
        </w:tc>
        <w:tc>
          <w:tcPr>
            <w:tcW w:type="dxa" w:w="247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95803" w:rsidR="00F95803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   5.995,35    </w:t>
            </w:r>
          </w:p>
        </w:tc>
      </w:tr>
      <w:tr w:rsidTr="00F95803" w:rsidR="00F95803">
        <w:trPr>
          <w:trHeight w:val="330"/>
        </w:trPr>
        <w:tc>
          <w:tcPr>
            <w:tcW w:type="dxa" w:w="689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95803" w:rsidR="00F95803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DRAGIČEVIĆ LIDIJA</w:t>
            </w:r>
          </w:p>
        </w:tc>
        <w:tc>
          <w:tcPr>
            <w:tcW w:type="dxa" w:w="247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95803" w:rsidR="00F95803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 23.741,29    </w:t>
            </w:r>
          </w:p>
        </w:tc>
      </w:tr>
      <w:tr w:rsidTr="00F95803" w:rsidR="00F95803">
        <w:trPr>
          <w:trHeight w:val="330"/>
        </w:trPr>
        <w:tc>
          <w:tcPr>
            <w:tcW w:type="dxa" w:w="689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95803" w:rsidR="00F95803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OPG DRAGIČEVIĆ ŽELJKO</w:t>
            </w:r>
          </w:p>
        </w:tc>
        <w:tc>
          <w:tcPr>
            <w:tcW w:type="dxa" w:w="247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95803" w:rsidR="00F95803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 36.823,51    </w:t>
            </w:r>
          </w:p>
        </w:tc>
      </w:tr>
      <w:tr w:rsidTr="00F95803" w:rsidR="00F95803">
        <w:trPr>
          <w:trHeight w:val="330"/>
        </w:trPr>
        <w:tc>
          <w:tcPr>
            <w:tcW w:type="dxa" w:w="689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95803" w:rsidR="00F95803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INSTANCA d.o.o. (Dadić Leonardo-jamac)</w:t>
            </w:r>
          </w:p>
        </w:tc>
        <w:tc>
          <w:tcPr>
            <w:tcW w:type="dxa" w:w="247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95803" w:rsidR="00F95803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 264.332,57    </w:t>
            </w:r>
          </w:p>
        </w:tc>
      </w:tr>
      <w:tr w:rsidTr="00F95803" w:rsidR="00F95803">
        <w:trPr>
          <w:trHeight w:val="330"/>
        </w:trPr>
        <w:tc>
          <w:tcPr>
            <w:tcW w:type="dxa" w:w="689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F95803" w:rsidR="00F95803">
            <w:pPr>
              <w:widowControl w:val="false"/>
              <w:spacing w:lineRule="atLeast" w:line="100"/>
              <w:rPr>
                <w:rFonts w:cs="Gentium Basic" w:hAnsi="Gentium Basic" w:ascii="Gentium Basic"/>
                <w:kern w:val="2"/>
                <w:sz w:val="21"/>
                <w:szCs w:val="21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>Ukupno:</w:t>
            </w:r>
          </w:p>
        </w:tc>
        <w:tc>
          <w:tcPr>
            <w:tcW w:type="dxa" w:w="247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F95803" w:rsidR="00F95803">
            <w:pPr>
              <w:widowControl w:val="false"/>
              <w:spacing w:lineRule="atLeast" w:line="100"/>
              <w:jc w:val="right"/>
              <w:rPr>
                <w:rFonts w:cs="Tahoma" w:eastAsia="Lucida Sans Unicode"/>
                <w:kern w:val="2"/>
                <w:sz w:val="24"/>
                <w:szCs w:val="24"/>
                <w:lang w:bidi="hi-IN" w:eastAsia="hi-IN"/>
              </w:rPr>
            </w:pPr>
            <w:r>
              <w:rPr>
                <w:rFonts w:cs="Gentium Basic" w:hAnsi="Gentium Basic" w:ascii="Gentium Basic"/>
                <w:sz w:val="21"/>
                <w:szCs w:val="21"/>
              </w:rPr>
              <w:t xml:space="preserve">    330.892,72  </w:t>
            </w:r>
          </w:p>
        </w:tc>
      </w:tr>
    </w:tbl>
    <w:p w:rsidRDefault="00F95803" w:rsidP="00F25B95" w:rsidR="00F95803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               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Rješenjem Trgovačkog suda u Osijeku 6 St-20/15-3 od 23. veljače 2015. godine otvoren je prethodni postupak radi utvrđivanja financijsko-gospodarskog položaja  PZ NAŠE SELO Jagodnjak (u daljnjem tekstu:</w:t>
      </w:r>
      <w:r w:rsidR="00D65EBA">
        <w:rPr>
          <w:rFonts w:hAnsi="Times New Roman" w:ascii="Times New Roman"/>
          <w:sz w:val="24"/>
          <w:szCs w:val="24"/>
        </w:rPr>
        <w:t xml:space="preserve"> </w:t>
      </w:r>
      <w:r w:rsidRPr="00F25B95">
        <w:rPr>
          <w:rFonts w:hAnsi="Times New Roman" w:ascii="Times New Roman"/>
          <w:sz w:val="24"/>
          <w:szCs w:val="24"/>
        </w:rPr>
        <w:t xml:space="preserve">Dužnik), te da li ima mogućnosti provođenja stečajnog postupka nad imovinom stečajnog dužnika.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  Tijekom prethodnog postupka utvrđeno je postojanje  stečajnih razloga ,a budući da je utvrđeno  da Dužnik ima imovine iz koje se mogu namiriti troškovi stečajnog postupka  i barem djelomično </w:t>
      </w:r>
      <w:proofErr w:type="spellStart"/>
      <w:r w:rsidRPr="00F25B95">
        <w:rPr>
          <w:rFonts w:hAnsi="Times New Roman" w:ascii="Times New Roman"/>
          <w:sz w:val="24"/>
          <w:szCs w:val="24"/>
        </w:rPr>
        <w:t>razlučni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vjerovnici,  sud je rješenjem broj 6 St-20/2015 -10 od 01.travnja 2015. otvorio stečajni  postupak.   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Rješenjem Trgovačkog  suda u Osijeku 6 St-20/15-6 od 01. travnja 2015. godine otvoren je stečajni postupak nad dužnikom.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Na ispitnom  ročištu  koje je održano 28. svibnja 2015. godine priznate su tražbine vjerovnika  I višeg isplatnog reda u  iznosu od 1.533.943,92 kn  i nije bilo  osporenih  tražbina, te  tražbine vjerovnika II višeg isplatnog reda u iznosu od 12.995.399,73 kn, a osporene su tražbine u iznosu od 215.789,24 kn.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Vjerovnici su na izvještajnom ročištu prihvatili izvješće stečajne  upraviteljice u cijelosti i donijeli odluku da se obustavlja  poslovanje nakon što prođe žetva, pa je tako i </w:t>
      </w:r>
      <w:proofErr w:type="spellStart"/>
      <w:r w:rsidRPr="00F25B95">
        <w:rPr>
          <w:rFonts w:hAnsi="Times New Roman" w:ascii="Times New Roman"/>
          <w:sz w:val="24"/>
          <w:szCs w:val="24"/>
        </w:rPr>
        <w:t>postupljeno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.  </w:t>
      </w:r>
    </w:p>
    <w:p w:rsidRDefault="00D65EBA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  Naknadno ispitno ročište je održano 18. siječnja 2016. godine i na istom  su priznate tražbine vjerovnika I višeg isplatnog reda u iznosu od 9.585,92 kn i tražbine vjerovnika II višeg isplatnog reda u iznosu od 5.241.473,85 kn,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a osporena je tražbina vjerovnika Gorup d.o.o. u iznosu od 6.138.230,05 kn.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Ukupno priznate tražbine vjerovnika I višeg isplatnog reda iznosa 1.543.529,84 kn,a vjerovnika II višeg isplatnog reda iznose  18.236.873,58 kn  uključujući i </w:t>
      </w:r>
      <w:proofErr w:type="spellStart"/>
      <w:r w:rsidRPr="00F25B95">
        <w:rPr>
          <w:rFonts w:hAnsi="Times New Roman" w:ascii="Times New Roman"/>
          <w:sz w:val="24"/>
          <w:szCs w:val="24"/>
        </w:rPr>
        <w:t>razlučne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vjerovnike koji su  prijavili svoje tražbine  kao  stečajni  vjerovnici.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ab/>
        <w:t>Prikaz imovine dužnika koja je činila stečajnu masu nalazi se u pisanom izvješću stečajne upraviteljice od 8.2.2018. g. (str. 1349-1363 spisa) koji je objavljen na e-</w:t>
      </w:r>
      <w:proofErr w:type="spellStart"/>
      <w:r w:rsidRPr="00F25B95">
        <w:rPr>
          <w:rFonts w:hAnsi="Times New Roman" w:ascii="Times New Roman"/>
          <w:sz w:val="24"/>
          <w:szCs w:val="24"/>
        </w:rPr>
        <w:t>ogl</w:t>
      </w:r>
      <w:proofErr w:type="spellEnd"/>
      <w:r w:rsidRPr="00F25B95">
        <w:rPr>
          <w:rFonts w:hAnsi="Times New Roman" w:ascii="Times New Roman"/>
          <w:sz w:val="24"/>
          <w:szCs w:val="24"/>
        </w:rPr>
        <w:t>. pl. 12.2.2018. g.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D65EBA" w:rsidR="00F25B95" w:rsidRPr="00F25B9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Stečajna  upraviteljica je  sukladno  svojoj  zakonskoj  obvezi  na propisanom obrascu  podnijela  završni račun  stečajnog dužnika s prijedlogom  završne diobe koje je objavljeno na e- oglasnoj ploči kao i  ispravak prijedloga završne diobe jer je prihvaćen  prigovor  vjerovnika Agencije  za osiguranje radničkih potraživanja  i nastavno izlaže.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lastRenderedPageBreak/>
        <w:tab/>
        <w:t>Nekretnine stečajnog dužnika su bile procijenjena na iznos od 9.309.678,00 kn, a u ovršnom  i stečajnom postupku nekretnine su unovčene za ukupan  iznos od 6.335.808,00 kn što predstavlja 68% procijenjene vrijednosti.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Od tog iznosa, iznos od 826.877,89 kn unijet je u stečajnu masu s naslova troškova  po članku 170. Stečajnog zakona, a u iznosu od 5.508.930,11 kn namireni su </w:t>
      </w:r>
      <w:proofErr w:type="spellStart"/>
      <w:r w:rsidRPr="00F25B95">
        <w:rPr>
          <w:rFonts w:hAnsi="Times New Roman" w:ascii="Times New Roman"/>
          <w:sz w:val="24"/>
          <w:szCs w:val="24"/>
        </w:rPr>
        <w:t>razlučni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vjerovnici prema </w:t>
      </w:r>
      <w:proofErr w:type="spellStart"/>
      <w:r w:rsidRPr="00F25B95">
        <w:rPr>
          <w:rFonts w:hAnsi="Times New Roman" w:ascii="Times New Roman"/>
          <w:sz w:val="24"/>
          <w:szCs w:val="24"/>
        </w:rPr>
        <w:t>prednosnom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redu.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U stečajnu masu su unijeta novčana  sredstva  od naplaćenih  potraživanja  i zakupa, tako da je u stečajnu  masu unijet iznos od  1.731.039,01 kn.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Što se prodaja zaliha robe,  Odbor vjerovnika je donio odluku se </w:t>
      </w:r>
      <w:proofErr w:type="spellStart"/>
      <w:r w:rsidRPr="00F25B95">
        <w:rPr>
          <w:rFonts w:hAnsi="Times New Roman" w:ascii="Times New Roman"/>
          <w:sz w:val="24"/>
          <w:szCs w:val="24"/>
        </w:rPr>
        <w:t>se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iste prodaju neposrednom  pogodbom bez obzira na pogođenu cijenu iz razloga što se radi o zastarjeloj robi koja se teško može unovčiti pojedinačno, te ako se ne unovči, morati će se platiti trošak neškodljivog zbrinjavanja jer se radi o robi koja je djelomično kemijski škodljiva roba.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Međutim, uza sve pokušaje nije bilo zainteresiranih kupaca i s obzirom  na činjenicu  da je roba bila smještena u nekretnini u Belom Manastiru koja je prodana kupcu ZKI-SJEME d.o.o., </w:t>
      </w:r>
      <w:r w:rsidR="00D65EBA">
        <w:rPr>
          <w:rFonts w:hAnsi="Times New Roman" w:ascii="Times New Roman"/>
          <w:sz w:val="24"/>
          <w:szCs w:val="24"/>
        </w:rPr>
        <w:t xml:space="preserve">te je </w:t>
      </w:r>
      <w:proofErr w:type="spellStart"/>
      <w:r w:rsidR="00D65EBA">
        <w:rPr>
          <w:rFonts w:hAnsi="Times New Roman" w:ascii="Times New Roman"/>
          <w:sz w:val="24"/>
          <w:szCs w:val="24"/>
        </w:rPr>
        <w:t>pokušano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s njim  dogovoriti da on da ponudu i da preuzme obvezu neškodljivog zbrinjavanja  što je on i prihvatio.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Roba je prodana po simboličnoj cijeni  od 600,00 kn uvećano za PDV jer jedino što ima nekakvu vrijednost jest nešto plastičnih potrepština za kućanstvo, a sva druga roba  je za zbrinjavanje jer joj je istekao rok valjanosti.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Stečajni  dužnik je na dan otvaranja stečajnog postupka u svojim poslovnim knjigama vodio  potraživanja u 7.129.708,27 kn 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   Što se tiče potraživanja, iznos od  5.341.819, 31 kn se odnosi na utužena i sporna potraživanja. Ostatak potraživanja nije utužen jer su ta potraživanja odavno u zastari  jer stečajni dužnik  u svojim poslovnim knjigama  od svog  osnutka uopće nikada nije izvršio otpis potraživanja koja se ne mogu naplatiti, a što je prema Zakonu o računovodstvu bio dužan činiti.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 Stoga je za sva potraživanja koja nisu naplativa izvršen otpis u skladu  s odredbom čl. 13. i 19. Zakona o računovodstvu (NN 78/15, 134/15, 120/16), te Hrvatskim standardima financijskog izvještavanja 11 – Potraživanja (HSFI 11)  gdje stoji da u godišnjim financijskim izvješćima mora se prikazati fer i istinit prikaz financijskog položaja.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 Vezano za utužena i sporna potraživanja od kupaca, Dužnika je zastupao odvjetnik Zoran Subotić iz </w:t>
      </w:r>
      <w:proofErr w:type="spellStart"/>
      <w:r w:rsidRPr="00F25B95">
        <w:rPr>
          <w:rFonts w:hAnsi="Times New Roman" w:ascii="Times New Roman"/>
          <w:sz w:val="24"/>
          <w:szCs w:val="24"/>
        </w:rPr>
        <w:t>Belog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Manastira koji je i sačinio izvješće o predmetima.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 Međutim, u njegovom izvješću nije dana procjena mogućnosti naplate, te</w:t>
      </w:r>
      <w:r w:rsidR="00D65EBA">
        <w:rPr>
          <w:rFonts w:hAnsi="Times New Roman" w:ascii="Times New Roman"/>
          <w:sz w:val="24"/>
          <w:szCs w:val="24"/>
        </w:rPr>
        <w:t xml:space="preserve"> je od njega zatraženo</w:t>
      </w:r>
      <w:r w:rsidRPr="00F25B95">
        <w:rPr>
          <w:rFonts w:hAnsi="Times New Roman" w:ascii="Times New Roman"/>
          <w:sz w:val="24"/>
          <w:szCs w:val="24"/>
        </w:rPr>
        <w:t xml:space="preserve"> da sačini  procjenu  mogućnosti naplate jer se ne trebaju nastavljati postupci  u kojim nećemo moći naplatiti i oni u kojima nećemo uspjeti zbog daljnjih troškova.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 Nakon što </w:t>
      </w:r>
      <w:r w:rsidR="00D65EBA">
        <w:rPr>
          <w:rFonts w:hAnsi="Times New Roman" w:ascii="Times New Roman"/>
          <w:sz w:val="24"/>
          <w:szCs w:val="24"/>
        </w:rPr>
        <w:t>je pregledano</w:t>
      </w:r>
      <w:r w:rsidRPr="00F25B95">
        <w:rPr>
          <w:rFonts w:hAnsi="Times New Roman" w:ascii="Times New Roman"/>
          <w:sz w:val="24"/>
          <w:szCs w:val="24"/>
        </w:rPr>
        <w:t xml:space="preserve"> izvješće odvjetnika mogućnost  naplate  je gotovo nikakva jer se najveća potraživanja odnose </w:t>
      </w:r>
      <w:r w:rsidR="00D65EBA">
        <w:rPr>
          <w:rFonts w:hAnsi="Times New Roman" w:ascii="Times New Roman"/>
          <w:sz w:val="24"/>
          <w:szCs w:val="24"/>
        </w:rPr>
        <w:t xml:space="preserve">na </w:t>
      </w:r>
      <w:r w:rsidRPr="00F25B95">
        <w:rPr>
          <w:rFonts w:hAnsi="Times New Roman" w:ascii="Times New Roman"/>
          <w:sz w:val="24"/>
          <w:szCs w:val="24"/>
        </w:rPr>
        <w:t>spor s Katom Janković (glavnica 2.680.310,37 kn)   gdje nema nikakve  mogućnosti  naplate, a uz to je vezan i kazneni postupak  koji se vodi protiv bivšeg zakonskog zastupnika Anđelka Balabana kao  I-okrivljenika i stečajnog dužnika  kao II-okrivljenika pred Županijskim sudom u Osijeku  pod K- 27/15 koji je u tijeku i gdje je donijeta  prvostupanjska presuda gdje su okrivljenici  proglašeni  krivim   (uložena žalba) i gdje je utvrđeno da se radi  o fiktivnim računima, te potraživanje  od Granolio d.o.o. u iznosu d 1.849.586,92 kn (naknade štete i stečeno bez osnova), ali prema mišljenju</w:t>
      </w:r>
      <w:r w:rsidR="00D65EBA">
        <w:rPr>
          <w:rFonts w:hAnsi="Times New Roman" w:ascii="Times New Roman"/>
          <w:sz w:val="24"/>
          <w:szCs w:val="24"/>
        </w:rPr>
        <w:t xml:space="preserve"> st. uprav.</w:t>
      </w:r>
      <w:r w:rsidRPr="00F25B95">
        <w:rPr>
          <w:rFonts w:hAnsi="Times New Roman" w:ascii="Times New Roman"/>
          <w:sz w:val="24"/>
          <w:szCs w:val="24"/>
        </w:rPr>
        <w:t xml:space="preserve"> tu Dužnik nema nikakvog izgleda za uspjeh  u sporu  i  taj postupak  nije nastavljen.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 Naime, prema Zakon</w:t>
      </w:r>
      <w:r w:rsidR="00D65EBA">
        <w:rPr>
          <w:rFonts w:hAnsi="Times New Roman" w:ascii="Times New Roman"/>
          <w:sz w:val="24"/>
          <w:szCs w:val="24"/>
        </w:rPr>
        <w:t>u</w:t>
      </w:r>
      <w:r w:rsidRPr="00F25B95">
        <w:rPr>
          <w:rFonts w:hAnsi="Times New Roman" w:ascii="Times New Roman"/>
          <w:sz w:val="24"/>
          <w:szCs w:val="24"/>
        </w:rPr>
        <w:t xml:space="preserve"> o odgovornosti pravnih osoba za kazn</w:t>
      </w:r>
      <w:r w:rsidR="00D65EBA">
        <w:rPr>
          <w:rFonts w:hAnsi="Times New Roman" w:ascii="Times New Roman"/>
          <w:sz w:val="24"/>
          <w:szCs w:val="24"/>
        </w:rPr>
        <w:t>ena</w:t>
      </w:r>
      <w:r w:rsidRPr="00F25B95">
        <w:rPr>
          <w:rFonts w:hAnsi="Times New Roman" w:ascii="Times New Roman"/>
          <w:sz w:val="24"/>
          <w:szCs w:val="24"/>
        </w:rPr>
        <w:t xml:space="preserve"> djela i pravna  osoba u stečaju odgovorna  je za kaznena  djela prednika i stečajnom dužniku je prvostupanjskom presudom  određena  kazna od 60.000,00 kn  </w:t>
      </w:r>
      <w:r w:rsidR="00D65EBA">
        <w:rPr>
          <w:rFonts w:hAnsi="Times New Roman" w:ascii="Times New Roman"/>
          <w:sz w:val="24"/>
          <w:szCs w:val="24"/>
        </w:rPr>
        <w:t>te je uložena žalba, kako je navedeno</w:t>
      </w:r>
      <w:r w:rsidRPr="00F25B95">
        <w:rPr>
          <w:rFonts w:hAnsi="Times New Roman" w:ascii="Times New Roman"/>
          <w:sz w:val="24"/>
          <w:szCs w:val="24"/>
        </w:rPr>
        <w:t xml:space="preserve">  i nis</w:t>
      </w:r>
      <w:r w:rsidR="00D65EBA">
        <w:rPr>
          <w:rFonts w:hAnsi="Times New Roman" w:ascii="Times New Roman"/>
          <w:sz w:val="24"/>
          <w:szCs w:val="24"/>
        </w:rPr>
        <w:t>u</w:t>
      </w:r>
      <w:r w:rsidRPr="00F25B95">
        <w:rPr>
          <w:rFonts w:hAnsi="Times New Roman" w:ascii="Times New Roman"/>
          <w:sz w:val="24"/>
          <w:szCs w:val="24"/>
        </w:rPr>
        <w:t xml:space="preserve"> rezervira</w:t>
      </w:r>
      <w:r w:rsidR="00D65EBA">
        <w:rPr>
          <w:rFonts w:hAnsi="Times New Roman" w:ascii="Times New Roman"/>
          <w:sz w:val="24"/>
          <w:szCs w:val="24"/>
        </w:rPr>
        <w:t>n</w:t>
      </w:r>
      <w:r w:rsidRPr="00F25B95">
        <w:rPr>
          <w:rFonts w:hAnsi="Times New Roman" w:ascii="Times New Roman"/>
          <w:sz w:val="24"/>
          <w:szCs w:val="24"/>
        </w:rPr>
        <w:t>a</w:t>
      </w:r>
      <w:r w:rsidR="00D65EBA">
        <w:rPr>
          <w:rFonts w:hAnsi="Times New Roman" w:ascii="Times New Roman"/>
          <w:sz w:val="24"/>
          <w:szCs w:val="24"/>
        </w:rPr>
        <w:t xml:space="preserve"> </w:t>
      </w:r>
      <w:r w:rsidRPr="00F25B95">
        <w:rPr>
          <w:rFonts w:hAnsi="Times New Roman" w:ascii="Times New Roman"/>
          <w:sz w:val="24"/>
          <w:szCs w:val="24"/>
        </w:rPr>
        <w:t xml:space="preserve">novčana sredstva  za izrečenu novčanu kaznu jer prema Stečajnom zakonu </w:t>
      </w:r>
      <w:r w:rsidRPr="00F25B95">
        <w:rPr>
          <w:rFonts w:hAnsi="Times New Roman" w:ascii="Times New Roman"/>
          <w:sz w:val="24"/>
          <w:szCs w:val="24"/>
        </w:rPr>
        <w:lastRenderedPageBreak/>
        <w:t>novčane  kazne su  tražbine nižeg isplatnog  reda koje se namiruju tek kada se namire tražbine viših isplatnih  redova.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</w:t>
      </w:r>
      <w:r w:rsidR="00D65EBA">
        <w:rPr>
          <w:rFonts w:hAnsi="Times New Roman" w:ascii="Times New Roman"/>
          <w:sz w:val="24"/>
          <w:szCs w:val="24"/>
        </w:rPr>
        <w:t xml:space="preserve"> </w:t>
      </w:r>
      <w:r w:rsidRPr="00F25B95">
        <w:rPr>
          <w:rFonts w:hAnsi="Times New Roman" w:ascii="Times New Roman"/>
          <w:sz w:val="24"/>
          <w:szCs w:val="24"/>
        </w:rPr>
        <w:t xml:space="preserve">U ovom stečajnom postupku će biti namireni  troškovi  stečajnog postupka, ostale obveze stečajne mase, djelomično  vjerovnici I višeg isplatnog reda i djelomično </w:t>
      </w:r>
      <w:proofErr w:type="spellStart"/>
      <w:r w:rsidRPr="00F25B95">
        <w:rPr>
          <w:rFonts w:hAnsi="Times New Roman" w:ascii="Times New Roman"/>
          <w:sz w:val="24"/>
          <w:szCs w:val="24"/>
        </w:rPr>
        <w:t>razlučni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vjerovnici, tako da </w:t>
      </w:r>
      <w:r w:rsidR="00D65EBA">
        <w:rPr>
          <w:rFonts w:hAnsi="Times New Roman" w:ascii="Times New Roman"/>
          <w:sz w:val="24"/>
          <w:szCs w:val="24"/>
        </w:rPr>
        <w:t>nema obveze</w:t>
      </w:r>
      <w:r w:rsidRPr="00F25B95">
        <w:rPr>
          <w:rFonts w:hAnsi="Times New Roman" w:ascii="Times New Roman"/>
          <w:sz w:val="24"/>
          <w:szCs w:val="24"/>
        </w:rPr>
        <w:t xml:space="preserve"> rezervirati novčana sredstva za izrečenu novčanu kaznu jer do pravomoćnosti  presude stečajni dužnik će biti brisan  iz sudskog registra.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 Odvjetnik Subotić je dostavio svoju procjenu o tome koji bi  se postupci trebali  nastaviti.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</w:t>
      </w:r>
      <w:r w:rsidR="00D65EBA">
        <w:rPr>
          <w:rFonts w:hAnsi="Times New Roman" w:ascii="Times New Roman"/>
          <w:sz w:val="24"/>
          <w:szCs w:val="24"/>
        </w:rPr>
        <w:t xml:space="preserve">  </w:t>
      </w:r>
      <w:r w:rsidRPr="00F25B95">
        <w:rPr>
          <w:rFonts w:hAnsi="Times New Roman" w:ascii="Times New Roman"/>
          <w:sz w:val="24"/>
          <w:szCs w:val="24"/>
        </w:rPr>
        <w:t>Vezano za zastupanje u parničnim i ovršnim postupcima koje će se nastaviti,  na 1. sjednici  Odbora vjerovnika je bio donio  odluku da stečajna upraviteljica nastavi  te postupke jer je ponuda odvjetnika Subotića bila neprihvatljiva.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</w:t>
      </w:r>
      <w:r w:rsidR="00D65EBA">
        <w:rPr>
          <w:rFonts w:hAnsi="Times New Roman" w:ascii="Times New Roman"/>
          <w:sz w:val="24"/>
          <w:szCs w:val="24"/>
        </w:rPr>
        <w:t xml:space="preserve"> </w:t>
      </w:r>
      <w:r w:rsidRPr="00F25B95">
        <w:rPr>
          <w:rFonts w:hAnsi="Times New Roman" w:ascii="Times New Roman"/>
          <w:sz w:val="24"/>
          <w:szCs w:val="24"/>
        </w:rPr>
        <w:t>Međutim, odvjetnik Subotić  je izmijenio  svoju  ponudu i prihvatio je zastupanje prema uspjehu  u postupku  i naplati isključivo od protivne strane, s čime se Odbor vjerovnika  naknadno suglasio.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Odvjetnik Subotić je  za završni račun  dostavio  svoje izvješće  i predložio  da  se u korist stečajne  mase nastave slijedeći postupci: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1. Ovršna stvar Općinskog građanskog suda u Zagrebu </w:t>
      </w:r>
      <w:proofErr w:type="spellStart"/>
      <w:r w:rsidRPr="00F25B95">
        <w:rPr>
          <w:rFonts w:hAnsi="Times New Roman" w:ascii="Times New Roman"/>
          <w:sz w:val="24"/>
          <w:szCs w:val="24"/>
        </w:rPr>
        <w:t>Ovrpl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-2195/13 sada </w:t>
      </w:r>
      <w:proofErr w:type="spellStart"/>
      <w:r w:rsidRPr="00F25B95">
        <w:rPr>
          <w:rFonts w:hAnsi="Times New Roman" w:ascii="Times New Roman"/>
          <w:sz w:val="24"/>
          <w:szCs w:val="24"/>
        </w:rPr>
        <w:t>Ovr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F25B95">
        <w:rPr>
          <w:rFonts w:hAnsi="Times New Roman" w:ascii="Times New Roman"/>
          <w:sz w:val="24"/>
          <w:szCs w:val="24"/>
        </w:rPr>
        <w:t>Ovr</w:t>
      </w:r>
      <w:proofErr w:type="spellEnd"/>
      <w:r w:rsidRPr="00F25B95">
        <w:rPr>
          <w:rFonts w:hAnsi="Times New Roman" w:ascii="Times New Roman"/>
          <w:sz w:val="24"/>
          <w:szCs w:val="24"/>
        </w:rPr>
        <w:t>-1785/2015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Ovrhovoditelj:  POLJOPRIVREDNA ZADRUGA NAŠE SELO 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proofErr w:type="spellStart"/>
      <w:r w:rsidRPr="00F25B95">
        <w:rPr>
          <w:rFonts w:hAnsi="Times New Roman" w:ascii="Times New Roman"/>
          <w:sz w:val="24"/>
          <w:szCs w:val="24"/>
        </w:rPr>
        <w:t>Ovršenik</w:t>
      </w:r>
      <w:proofErr w:type="spellEnd"/>
      <w:r w:rsidRPr="00F25B95">
        <w:rPr>
          <w:rFonts w:hAnsi="Times New Roman" w:ascii="Times New Roman"/>
          <w:sz w:val="24"/>
          <w:szCs w:val="24"/>
        </w:rPr>
        <w:t>: LEONARDO DADIĆ (kao jamac platac za Instanca d.o.o.)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Radi:        178.217,60 kn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Kao i Parnični postupak kojim </w:t>
      </w:r>
      <w:proofErr w:type="spellStart"/>
      <w:r w:rsidRPr="00F25B95">
        <w:rPr>
          <w:rFonts w:hAnsi="Times New Roman" w:ascii="Times New Roman"/>
          <w:sz w:val="24"/>
          <w:szCs w:val="24"/>
        </w:rPr>
        <w:t>Ovršenik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Leonardo Dadić  predlaže proglašenje ovrhe nedopuštenom.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2. Pravna stvar Općinskog suda u Osijeku </w:t>
      </w:r>
      <w:proofErr w:type="spellStart"/>
      <w:r w:rsidRPr="00F25B95">
        <w:rPr>
          <w:rFonts w:hAnsi="Times New Roman" w:ascii="Times New Roman"/>
          <w:sz w:val="24"/>
          <w:szCs w:val="24"/>
        </w:rPr>
        <w:t>Povrv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-1323/17 prije  </w:t>
      </w:r>
      <w:proofErr w:type="spellStart"/>
      <w:r w:rsidRPr="00F25B95">
        <w:rPr>
          <w:rFonts w:hAnsi="Times New Roman" w:ascii="Times New Roman"/>
          <w:sz w:val="24"/>
          <w:szCs w:val="24"/>
        </w:rPr>
        <w:t>Povrv</w:t>
      </w:r>
      <w:proofErr w:type="spellEnd"/>
      <w:r w:rsidRPr="00F25B95">
        <w:rPr>
          <w:rFonts w:hAnsi="Times New Roman" w:ascii="Times New Roman"/>
          <w:sz w:val="24"/>
          <w:szCs w:val="24"/>
        </w:rPr>
        <w:t>-41/2013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Tužitelj:    POLJOPRIVREDNA ZADRUGA NAŠE SELO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Tuženik: ŽELJKO DRAGIČEVIĆ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Radi:     36.823,51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3.Ovršni postupak kod Javnog bilježnika Gordane </w:t>
      </w:r>
      <w:proofErr w:type="spellStart"/>
      <w:r w:rsidRPr="00F25B95">
        <w:rPr>
          <w:rFonts w:hAnsi="Times New Roman" w:ascii="Times New Roman"/>
          <w:sz w:val="24"/>
          <w:szCs w:val="24"/>
        </w:rPr>
        <w:t>Pličanić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iz Kostajnice </w:t>
      </w:r>
      <w:proofErr w:type="spellStart"/>
      <w:r w:rsidRPr="00F25B95">
        <w:rPr>
          <w:rFonts w:hAnsi="Times New Roman" w:ascii="Times New Roman"/>
          <w:sz w:val="24"/>
          <w:szCs w:val="24"/>
        </w:rPr>
        <w:t>Ovrv</w:t>
      </w:r>
      <w:proofErr w:type="spellEnd"/>
      <w:r w:rsidRPr="00F25B95">
        <w:rPr>
          <w:rFonts w:hAnsi="Times New Roman" w:ascii="Times New Roman"/>
          <w:sz w:val="24"/>
          <w:szCs w:val="24"/>
        </w:rPr>
        <w:t>-445/2017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Ovrhovoditelj: PZ NAŠE SELO – u stečaju,  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proofErr w:type="spellStart"/>
      <w:r w:rsidRPr="00F25B95">
        <w:rPr>
          <w:rFonts w:hAnsi="Times New Roman" w:ascii="Times New Roman"/>
          <w:sz w:val="24"/>
          <w:szCs w:val="24"/>
        </w:rPr>
        <w:t>Ovršenik</w:t>
      </w:r>
      <w:proofErr w:type="spellEnd"/>
      <w:r w:rsidRPr="00F25B95">
        <w:rPr>
          <w:rFonts w:hAnsi="Times New Roman" w:ascii="Times New Roman"/>
          <w:sz w:val="24"/>
          <w:szCs w:val="24"/>
        </w:rPr>
        <w:t>: TROKUT SAMARDŽIĆ d.o.o., OIB 90888911636,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Hrvatska Kostajnica, Nine Marakovića 30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Radi: 15.000,00 kuna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4.Ovršni postupak kod Javnog bilježnika Tatjane Kovačev iz Osijeka </w:t>
      </w:r>
      <w:proofErr w:type="spellStart"/>
      <w:r w:rsidRPr="00F25B95">
        <w:rPr>
          <w:rFonts w:hAnsi="Times New Roman" w:ascii="Times New Roman"/>
          <w:sz w:val="24"/>
          <w:szCs w:val="24"/>
        </w:rPr>
        <w:t>Ovrv</w:t>
      </w:r>
      <w:proofErr w:type="spellEnd"/>
      <w:r w:rsidRPr="00F25B95">
        <w:rPr>
          <w:rFonts w:hAnsi="Times New Roman" w:ascii="Times New Roman"/>
          <w:sz w:val="24"/>
          <w:szCs w:val="24"/>
        </w:rPr>
        <w:t>-75/2018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Ovrhovoditelj: PZ NAŠE SELO – u stečaju,  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proofErr w:type="spellStart"/>
      <w:r w:rsidRPr="00F25B95">
        <w:rPr>
          <w:rFonts w:hAnsi="Times New Roman" w:ascii="Times New Roman"/>
          <w:sz w:val="24"/>
          <w:szCs w:val="24"/>
        </w:rPr>
        <w:t>Ovršenik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: OBRT MD </w:t>
      </w:r>
      <w:proofErr w:type="spellStart"/>
      <w:r w:rsidRPr="00F25B95">
        <w:rPr>
          <w:rFonts w:hAnsi="Times New Roman" w:ascii="Times New Roman"/>
          <w:sz w:val="24"/>
          <w:szCs w:val="24"/>
        </w:rPr>
        <w:t>vl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. Danijela </w:t>
      </w:r>
      <w:proofErr w:type="spellStart"/>
      <w:r w:rsidRPr="00F25B95">
        <w:rPr>
          <w:rFonts w:hAnsi="Times New Roman" w:ascii="Times New Roman"/>
          <w:sz w:val="24"/>
          <w:szCs w:val="24"/>
        </w:rPr>
        <w:t>Mlinarević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F25B95">
        <w:rPr>
          <w:rFonts w:hAnsi="Times New Roman" w:ascii="Times New Roman"/>
          <w:sz w:val="24"/>
          <w:szCs w:val="24"/>
        </w:rPr>
        <w:t>Bolman</w:t>
      </w:r>
      <w:proofErr w:type="spellEnd"/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Radi: 42.914,34 kuna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5.Ovršni postupak kod Javnog bilježnika Tatjane Kovačev iz Osijeka  </w:t>
      </w:r>
      <w:proofErr w:type="spellStart"/>
      <w:r w:rsidRPr="00F25B95">
        <w:rPr>
          <w:rFonts w:hAnsi="Times New Roman" w:ascii="Times New Roman"/>
          <w:sz w:val="24"/>
          <w:szCs w:val="24"/>
        </w:rPr>
        <w:t>Ovrv</w:t>
      </w:r>
      <w:proofErr w:type="spellEnd"/>
      <w:r w:rsidRPr="00F25B95">
        <w:rPr>
          <w:rFonts w:hAnsi="Times New Roman" w:ascii="Times New Roman"/>
          <w:sz w:val="24"/>
          <w:szCs w:val="24"/>
        </w:rPr>
        <w:t>-74/2018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Ovrhovoditelj: PZ NAŠE SELO – u stečaju,  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proofErr w:type="spellStart"/>
      <w:r w:rsidRPr="00F25B95">
        <w:rPr>
          <w:rFonts w:hAnsi="Times New Roman" w:ascii="Times New Roman"/>
          <w:sz w:val="24"/>
          <w:szCs w:val="24"/>
        </w:rPr>
        <w:t>Ovršenik</w:t>
      </w:r>
      <w:proofErr w:type="spellEnd"/>
      <w:r w:rsidRPr="00F25B95">
        <w:rPr>
          <w:rFonts w:hAnsi="Times New Roman" w:ascii="Times New Roman"/>
          <w:sz w:val="24"/>
          <w:szCs w:val="24"/>
        </w:rPr>
        <w:t>: PEKARSTVO KADULJA d.o.o. Darda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Radi: 18.896,95 kuna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Najveći dio je nakon </w:t>
      </w:r>
      <w:proofErr w:type="spellStart"/>
      <w:r w:rsidRPr="00F25B95">
        <w:rPr>
          <w:rFonts w:hAnsi="Times New Roman" w:ascii="Times New Roman"/>
          <w:sz w:val="24"/>
          <w:szCs w:val="24"/>
        </w:rPr>
        <w:t>utuženja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i plaćen ,te je za naplatu ostao iznos od 1.875,00 kn.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>Navedeni postupci  će se nastaviti u korist stečajne mase.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lastRenderedPageBreak/>
        <w:tab/>
        <w:t>Zakonom o arhivskom gradivu  i arhivima  svi imatelji arhivskog gradiva dužni su čuvati odnosno voditi brigu o arhivskom gradivu. Cjelokupno dostupno arhivsko gradivo mora biti propisano te razvrstano u trajno arhivsko gradivo i gradivo za izlučivanje. Trajno arhivsko gradivo se čuva trajno a gradivo za izlučivanje se izlučuje po isteku roka trajanja.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ab/>
        <w:t>Sukladno  navedenom, izvršen  je popis gradiva  koje se mora čuvati do dana otvaranja stečajnog postupka  i isto je  predano u Arhiv Belja Kneževo  o čemu je sačinjen zapisnik  o primopredaji arhivskog  gradiva dana 03. srpnja 2017. godine 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ab/>
        <w:t xml:space="preserve">Poslovna  dokumentacija koja je nastala u stečaju  biti će predana u </w:t>
      </w:r>
      <w:proofErr w:type="spellStart"/>
      <w:r w:rsidRPr="00F25B95">
        <w:rPr>
          <w:rFonts w:hAnsi="Times New Roman" w:ascii="Times New Roman"/>
          <w:sz w:val="24"/>
          <w:szCs w:val="24"/>
        </w:rPr>
        <w:t>Filmoteku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 d.o.o. Osijek na trajno  čuvanje  nakon što se obave sve potrebne radnje  u stečajnom postupku.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</w:t>
      </w:r>
      <w:r w:rsidRPr="00F25B95">
        <w:rPr>
          <w:rFonts w:hAnsi="Times New Roman" w:ascii="Times New Roman"/>
          <w:sz w:val="24"/>
          <w:szCs w:val="24"/>
        </w:rPr>
        <w:tab/>
        <w:t xml:space="preserve">Naime, stečajni dužnik je  dužan voditi  poslovne  knjige sve do dana brisanja iz sudskog registra i s tim  danom  zaključuje poslovne knjige  i još je u obvezi izraditi  završni  račun  koji se  mora predati sukladno Zakonu o računovodstvu  najkasnije  u roku od tri mjeseca od dana  brisanja.         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ab/>
        <w:t>Nakon podmirenja svih troškova stečajnog  postupka, ostalih obveza stečajne mase u iznosu od 1.205.116,50 kn  i potrebnih  te rezervacija u iznosu od 86.106,51 kn, raspoloživa sredstva za završnu diobu iznose 439.906,00  kn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ab/>
        <w:t>Završnom diobom  će se  namiriti vjerovnici prvog višeg isplatnog reda u iznosu od 439.906,00 kn ili 28,50% ukupno priznatih tražbina I višeg isplatnog reda 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Nekretnine stečajnog  dužnika  su bile procijenjena na iznos od 9.309.678,00 kn ,a u ovršnom  i stečajnom postupku nekretnine su unovčene za ukupan  iznos od 6.335.808,00 kn što predstavlja 68% procijenjene vrijednosti.</w:t>
      </w:r>
    </w:p>
    <w:p w:rsidRDefault="00F25B95" w:rsidP="00F25B95" w:rsidR="00F25B95" w:rsidRPr="00F25B9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 Od tog iznosa, iznos od 826.877,89 kn unijet je u stečajnu masu s naslova troškova  po članku 170. Stečajnog zakona, a u iznosu od 5.508.930,11 kn namireni su </w:t>
      </w:r>
      <w:proofErr w:type="spellStart"/>
      <w:r w:rsidRPr="00F25B95">
        <w:rPr>
          <w:rFonts w:hAnsi="Times New Roman" w:ascii="Times New Roman"/>
          <w:sz w:val="24"/>
          <w:szCs w:val="24"/>
        </w:rPr>
        <w:t>razlučni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vjerovnici prema </w:t>
      </w:r>
      <w:proofErr w:type="spellStart"/>
      <w:r w:rsidRPr="00F25B95">
        <w:rPr>
          <w:rFonts w:hAnsi="Times New Roman" w:ascii="Times New Roman"/>
          <w:sz w:val="24"/>
          <w:szCs w:val="24"/>
        </w:rPr>
        <w:t>prednosnom</w:t>
      </w:r>
      <w:proofErr w:type="spellEnd"/>
      <w:r w:rsidRPr="00F25B95">
        <w:rPr>
          <w:rFonts w:hAnsi="Times New Roman" w:ascii="Times New Roman"/>
          <w:sz w:val="24"/>
          <w:szCs w:val="24"/>
        </w:rPr>
        <w:t xml:space="preserve"> redu.</w:t>
      </w:r>
    </w:p>
    <w:p w:rsidRDefault="00F25B95" w:rsidP="00F25B95" w:rsidR="00F25B95" w:rsidRPr="00A960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5B95">
        <w:rPr>
          <w:rFonts w:hAnsi="Times New Roman" w:ascii="Times New Roman"/>
          <w:sz w:val="24"/>
          <w:szCs w:val="24"/>
        </w:rPr>
        <w:t xml:space="preserve">     U stečajnu masu su unijeta novčana  sredstva  od naplaćenih  potraživanja  i zakupa, tako da je u stečajnu  masu unijet iznos od  1.731.039,01 kn.</w:t>
      </w:r>
    </w:p>
    <w:p w:rsidRDefault="00A9609C" w:rsidP="00A9609C" w:rsidR="00A9609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</w:t>
      </w:r>
      <w:r w:rsidR="00F42095">
        <w:rPr>
          <w:rFonts w:hAnsi="Times New Roman" w:ascii="Times New Roman"/>
          <w:sz w:val="24"/>
          <w:szCs w:val="24"/>
        </w:rPr>
        <w:t xml:space="preserve">ajna upraviteljica predložila je </w:t>
      </w:r>
      <w:r>
        <w:rPr>
          <w:rFonts w:hAnsi="Times New Roman" w:ascii="Times New Roman"/>
          <w:sz w:val="24"/>
          <w:szCs w:val="24"/>
        </w:rPr>
        <w:t>da se zaključi stečajni postupak sukladno čl. 196 SZ.</w:t>
      </w:r>
    </w:p>
    <w:p w:rsidRDefault="003E273F" w:rsidP="00AC176B" w:rsidR="003E273F" w:rsidRPr="00A9609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539F0" w:rsidP="00A261B1" w:rsidR="00273331" w:rsidRPr="00A960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609C">
        <w:rPr>
          <w:rFonts w:hAnsi="Times New Roman" w:ascii="Times New Roman"/>
          <w:sz w:val="24"/>
          <w:szCs w:val="24"/>
        </w:rPr>
        <w:tab/>
        <w:t xml:space="preserve">ŽDO se suglasio s </w:t>
      </w:r>
      <w:r w:rsidR="00EB7157" w:rsidRPr="00A9609C">
        <w:rPr>
          <w:rFonts w:hAnsi="Times New Roman" w:ascii="Times New Roman"/>
          <w:sz w:val="24"/>
          <w:szCs w:val="24"/>
        </w:rPr>
        <w:t>prijedlogom stečajn</w:t>
      </w:r>
      <w:r w:rsidR="00582FB8" w:rsidRPr="00A9609C">
        <w:rPr>
          <w:rFonts w:hAnsi="Times New Roman" w:ascii="Times New Roman"/>
          <w:sz w:val="24"/>
          <w:szCs w:val="24"/>
        </w:rPr>
        <w:t>e</w:t>
      </w:r>
      <w:r w:rsidR="00EB7157" w:rsidRPr="00A9609C">
        <w:rPr>
          <w:rFonts w:hAnsi="Times New Roman" w:ascii="Times New Roman"/>
          <w:sz w:val="24"/>
          <w:szCs w:val="24"/>
        </w:rPr>
        <w:t xml:space="preserve"> upravitelj</w:t>
      </w:r>
      <w:r w:rsidR="00582FB8" w:rsidRPr="00A9609C">
        <w:rPr>
          <w:rFonts w:hAnsi="Times New Roman" w:ascii="Times New Roman"/>
          <w:sz w:val="24"/>
          <w:szCs w:val="24"/>
        </w:rPr>
        <w:t>ice</w:t>
      </w:r>
      <w:r w:rsidR="00EB7157" w:rsidRPr="00A9609C">
        <w:rPr>
          <w:rFonts w:hAnsi="Times New Roman" w:ascii="Times New Roman"/>
          <w:sz w:val="24"/>
          <w:szCs w:val="24"/>
        </w:rPr>
        <w:t xml:space="preserve"> te je donesena odluka kojom je usvojeno završno izvješće stečajn</w:t>
      </w:r>
      <w:r w:rsidR="00582FB8" w:rsidRPr="00A9609C">
        <w:rPr>
          <w:rFonts w:hAnsi="Times New Roman" w:ascii="Times New Roman"/>
          <w:sz w:val="24"/>
          <w:szCs w:val="24"/>
        </w:rPr>
        <w:t>e</w:t>
      </w:r>
      <w:r w:rsidR="00EB7157" w:rsidRPr="00A9609C">
        <w:rPr>
          <w:rFonts w:hAnsi="Times New Roman" w:ascii="Times New Roman"/>
          <w:sz w:val="24"/>
          <w:szCs w:val="24"/>
        </w:rPr>
        <w:t xml:space="preserve"> upravitelj</w:t>
      </w:r>
      <w:r w:rsidR="00582FB8" w:rsidRPr="00A9609C">
        <w:rPr>
          <w:rFonts w:hAnsi="Times New Roman" w:ascii="Times New Roman"/>
          <w:sz w:val="24"/>
          <w:szCs w:val="24"/>
        </w:rPr>
        <w:t>ice</w:t>
      </w:r>
      <w:r w:rsidR="00EB7157" w:rsidRPr="00A9609C">
        <w:rPr>
          <w:rFonts w:hAnsi="Times New Roman" w:ascii="Times New Roman"/>
          <w:sz w:val="24"/>
          <w:szCs w:val="24"/>
        </w:rPr>
        <w:t xml:space="preserve"> i prijedlog za zaključenje stečajnog postupka.</w:t>
      </w:r>
      <w:r w:rsidRPr="00A9609C">
        <w:rPr>
          <w:rFonts w:hAnsi="Times New Roman" w:ascii="Times New Roman"/>
          <w:sz w:val="24"/>
          <w:szCs w:val="24"/>
        </w:rPr>
        <w:t xml:space="preserve"> </w:t>
      </w:r>
    </w:p>
    <w:p w:rsidRDefault="00A261B1" w:rsidP="00A261B1" w:rsidR="00A261B1" w:rsidRPr="00A9609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9558B" w:rsidP="00A261B1" w:rsidR="00015ABD" w:rsidRP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9609C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A9609C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A9609C">
        <w:rPr>
          <w:rFonts w:hAnsi="Times New Roman" w:ascii="Times New Roman"/>
          <w:sz w:val="24"/>
          <w:szCs w:val="24"/>
        </w:rPr>
        <w:t>Stečajnog zakona („Narodne novine“ broj 44/96, 29/99, 129/00, 123/03,</w:t>
      </w:r>
      <w:r w:rsidR="00DC430E" w:rsidRPr="00A261B1">
        <w:rPr>
          <w:rFonts w:hAnsi="Times New Roman" w:ascii="Times New Roman"/>
          <w:sz w:val="24"/>
          <w:szCs w:val="24"/>
        </w:rPr>
        <w:t xml:space="preserve"> 197/03  187/04, 82/06,  116/10, 25/12, 133/12 i 45/13) </w:t>
      </w:r>
      <w:r w:rsidRPr="00A261B1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273331" w:rsidR="00D870FD" w:rsidRPr="00F8588B">
      <w:pPr>
        <w:jc w:val="both"/>
        <w:rPr>
          <w:rFonts w:hAnsi="Times New Roman" w:ascii="Times New Roman"/>
          <w:sz w:val="24"/>
          <w:szCs w:val="24"/>
        </w:rPr>
      </w:pPr>
    </w:p>
    <w:p w:rsidRDefault="00582FB8" w:rsidP="00582FB8" w:rsidR="00417A2B">
      <w:pPr>
        <w:pStyle w:val="Bezproreda"/>
        <w:tabs>
          <w:tab w:pos="4536" w:val="center"/>
          <w:tab w:pos="640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F8588B">
        <w:rPr>
          <w:rFonts w:hAnsi="Times New Roman" w:ascii="Times New Roman"/>
          <w:sz w:val="24"/>
          <w:szCs w:val="24"/>
        </w:rPr>
        <w:t>U Osijeku</w:t>
      </w:r>
      <w:r w:rsidR="00ED0F94" w:rsidRPr="00F8588B">
        <w:rPr>
          <w:rFonts w:hAnsi="Times New Roman" w:ascii="Times New Roman"/>
          <w:sz w:val="24"/>
          <w:szCs w:val="24"/>
        </w:rPr>
        <w:t xml:space="preserve"> </w:t>
      </w:r>
      <w:r w:rsidR="00F42095">
        <w:rPr>
          <w:rFonts w:hAnsi="Times New Roman" w:ascii="Times New Roman"/>
          <w:sz w:val="24"/>
          <w:szCs w:val="24"/>
        </w:rPr>
        <w:t>16</w:t>
      </w:r>
      <w:r w:rsidR="00A9609C">
        <w:rPr>
          <w:rFonts w:hAnsi="Times New Roman" w:ascii="Times New Roman"/>
          <w:sz w:val="24"/>
          <w:szCs w:val="24"/>
        </w:rPr>
        <w:t>. ožujka 2018. g.</w:t>
      </w:r>
    </w:p>
    <w:p w:rsidRDefault="007833E9" w:rsidP="002C1423" w:rsidR="00F314A8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582FB8">
        <w:rPr>
          <w:rFonts w:hAnsi="Times New Roman" w:ascii="Times New Roman"/>
          <w:sz w:val="24"/>
          <w:szCs w:val="24"/>
        </w:rPr>
        <w:t xml:space="preserve"> </w:t>
      </w:r>
      <w:r w:rsidRPr="00E5438B">
        <w:rPr>
          <w:rFonts w:hAnsi="Times New Roman" w:ascii="Times New Roman"/>
          <w:sz w:val="24"/>
          <w:szCs w:val="24"/>
        </w:rPr>
        <w:t>Nada Roso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F42095" w:rsidP="00A406C9" w:rsidR="00F42095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42095">
        <w:rPr>
          <w:rFonts w:hAnsi="Times New Roman" w:ascii="Times New Roman"/>
          <w:sz w:val="24"/>
          <w:szCs w:val="24"/>
        </w:rPr>
        <w:t>16.4.</w:t>
      </w: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2557B" w:rsidR="00020A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095" w:rsidP="0072557B" w:rsidR="00F4209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095" w:rsidP="0072557B" w:rsidR="00F4209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095" w:rsidP="0072557B" w:rsidR="00F4209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095" w:rsidP="0072557B" w:rsidR="00F4209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438B" w:rsidP="00660D1F" w:rsidR="00B834B5" w:rsidRPr="00F8588B">
      <w:pPr>
        <w:pStyle w:val="Bezproreda"/>
        <w:ind w:left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C38" w:rsidP="00ED0F94" w:rsidR="00AC0C38">
      <w:pPr>
        <w:spacing w:lineRule="auto" w:line="240" w:after="0"/>
      </w:pPr>
      <w:r>
        <w:separator/>
      </w:r>
    </w:p>
  </w:endnote>
  <w:endnote w:id="0" w:type="continuationSeparator">
    <w:p w:rsidRDefault="00AC0C38" w:rsidP="00ED0F94" w:rsidR="00AC0C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Gentium Basic">
    <w:altName w:val="Times New Roman"/>
    <w:charset w:val="00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C38" w:rsidP="00ED0F94" w:rsidR="00AC0C38">
      <w:pPr>
        <w:spacing w:lineRule="auto" w:line="240" w:after="0"/>
      </w:pPr>
      <w:r>
        <w:separator/>
      </w:r>
    </w:p>
  </w:footnote>
  <w:footnote w:id="0" w:type="continuationSeparator">
    <w:p w:rsidRDefault="00AC0C38" w:rsidP="00ED0F94" w:rsidR="00AC0C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EBA" w:rsidR="00D65EB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0D1F">
      <w:rPr>
        <w:noProof/>
      </w:rPr>
      <w:t>10</w:t>
    </w:r>
    <w:r>
      <w:fldChar w:fldCharType="end"/>
    </w:r>
  </w:p>
  <w:p w:rsidRDefault="00D65EBA" w:rsidP="002C1423" w:rsidR="00D65EBA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20/15-188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Times New Roman" w:eastAsia="Times New Roman" w:hAnsi="Times New Roman" w:ascii="Times New Roman"/>
        <w:b/>
        <w:sz w:val="20"/>
        <w:szCs w:val="20"/>
        <w:lang w:val="hr-HR"/>
      </w:rPr>
    </w:lvl>
  </w:abstractNum>
  <w:abstractNum w:abstractNumId="1">
    <w:nsid w:val="151C0C48"/>
    <w:multiLevelType w:val="singleLevel"/>
    <w:tmpl w:val="0000000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Times New Roman" w:eastAsia="Times New Roman" w:hAnsi="Times New Roman" w:ascii="Times New Roman"/>
        <w:b/>
        <w:sz w:val="20"/>
        <w:szCs w:val="20"/>
        <w:lang w:val="hr-HR"/>
      </w:rPr>
    </w:lvl>
  </w:abstractNum>
  <w:abstractNum w:abstractNumId="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38256B"/>
    <w:multiLevelType w:val="singleLevel"/>
    <w:tmpl w:val="0000000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Times New Roman" w:eastAsia="Times New Roman" w:hAnsi="Times New Roman" w:ascii="Times New Roman"/>
        <w:b/>
        <w:sz w:val="20"/>
        <w:szCs w:val="20"/>
        <w:lang w:val="hr-HR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539F0"/>
    <w:rsid w:val="00166691"/>
    <w:rsid w:val="00170010"/>
    <w:rsid w:val="00176CCF"/>
    <w:rsid w:val="00180EFF"/>
    <w:rsid w:val="001E2A3D"/>
    <w:rsid w:val="001F45C5"/>
    <w:rsid w:val="00273331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4F6F"/>
    <w:rsid w:val="003C77E0"/>
    <w:rsid w:val="003D315F"/>
    <w:rsid w:val="003E273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323E0"/>
    <w:rsid w:val="00551939"/>
    <w:rsid w:val="00554530"/>
    <w:rsid w:val="00573829"/>
    <w:rsid w:val="00582FB8"/>
    <w:rsid w:val="005851D8"/>
    <w:rsid w:val="005979D5"/>
    <w:rsid w:val="005B1F43"/>
    <w:rsid w:val="005D1321"/>
    <w:rsid w:val="00622C96"/>
    <w:rsid w:val="00651763"/>
    <w:rsid w:val="00660D1F"/>
    <w:rsid w:val="006639B4"/>
    <w:rsid w:val="0067306F"/>
    <w:rsid w:val="0067569E"/>
    <w:rsid w:val="00682B77"/>
    <w:rsid w:val="006A1059"/>
    <w:rsid w:val="006C4385"/>
    <w:rsid w:val="0072557B"/>
    <w:rsid w:val="0074522F"/>
    <w:rsid w:val="00752475"/>
    <w:rsid w:val="00753198"/>
    <w:rsid w:val="007833E9"/>
    <w:rsid w:val="007B6948"/>
    <w:rsid w:val="007C72F7"/>
    <w:rsid w:val="0081116B"/>
    <w:rsid w:val="0081138D"/>
    <w:rsid w:val="00821D56"/>
    <w:rsid w:val="00834DB3"/>
    <w:rsid w:val="00834F06"/>
    <w:rsid w:val="008475B1"/>
    <w:rsid w:val="00887529"/>
    <w:rsid w:val="00893BE5"/>
    <w:rsid w:val="008B4458"/>
    <w:rsid w:val="008D6FC8"/>
    <w:rsid w:val="008F78B3"/>
    <w:rsid w:val="00901480"/>
    <w:rsid w:val="0090484A"/>
    <w:rsid w:val="0093701A"/>
    <w:rsid w:val="0095694F"/>
    <w:rsid w:val="0097707D"/>
    <w:rsid w:val="00985F74"/>
    <w:rsid w:val="009A0499"/>
    <w:rsid w:val="009A4F85"/>
    <w:rsid w:val="009B5376"/>
    <w:rsid w:val="009C0072"/>
    <w:rsid w:val="009D4867"/>
    <w:rsid w:val="009F47BE"/>
    <w:rsid w:val="00A261B1"/>
    <w:rsid w:val="00A3371E"/>
    <w:rsid w:val="00A406C9"/>
    <w:rsid w:val="00A51553"/>
    <w:rsid w:val="00A601A9"/>
    <w:rsid w:val="00A618A0"/>
    <w:rsid w:val="00A875E2"/>
    <w:rsid w:val="00A9609C"/>
    <w:rsid w:val="00AB3DEE"/>
    <w:rsid w:val="00AC0C38"/>
    <w:rsid w:val="00AC176B"/>
    <w:rsid w:val="00AC6D07"/>
    <w:rsid w:val="00AC6EB0"/>
    <w:rsid w:val="00AE1810"/>
    <w:rsid w:val="00B071A9"/>
    <w:rsid w:val="00B1188C"/>
    <w:rsid w:val="00B73840"/>
    <w:rsid w:val="00B834B5"/>
    <w:rsid w:val="00BA53CB"/>
    <w:rsid w:val="00BE0DC1"/>
    <w:rsid w:val="00C06036"/>
    <w:rsid w:val="00C10736"/>
    <w:rsid w:val="00C316F8"/>
    <w:rsid w:val="00C43E65"/>
    <w:rsid w:val="00C77838"/>
    <w:rsid w:val="00C97F87"/>
    <w:rsid w:val="00CA1194"/>
    <w:rsid w:val="00CB10D2"/>
    <w:rsid w:val="00CD23EB"/>
    <w:rsid w:val="00CD5CA8"/>
    <w:rsid w:val="00CE019E"/>
    <w:rsid w:val="00CF4FAA"/>
    <w:rsid w:val="00CF6A3F"/>
    <w:rsid w:val="00CF7990"/>
    <w:rsid w:val="00D22668"/>
    <w:rsid w:val="00D65EBA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34D12"/>
    <w:rsid w:val="00E5438B"/>
    <w:rsid w:val="00E875F2"/>
    <w:rsid w:val="00E87C46"/>
    <w:rsid w:val="00E96EFB"/>
    <w:rsid w:val="00EB7157"/>
    <w:rsid w:val="00EC70B0"/>
    <w:rsid w:val="00ED0F94"/>
    <w:rsid w:val="00EE6EBF"/>
    <w:rsid w:val="00F25B95"/>
    <w:rsid w:val="00F26640"/>
    <w:rsid w:val="00F2780A"/>
    <w:rsid w:val="00F314A8"/>
    <w:rsid w:val="00F31677"/>
    <w:rsid w:val="00F31C28"/>
    <w:rsid w:val="00F3298B"/>
    <w:rsid w:val="00F42095"/>
    <w:rsid w:val="00F4426E"/>
    <w:rsid w:val="00F8588B"/>
    <w:rsid w:val="00F91FB8"/>
    <w:rsid w:val="00F95803"/>
    <w:rsid w:val="00FD3A6B"/>
    <w:rsid w:val="00FE2424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uiPriority w:val="99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34DB3"/>
    <w:rPr>
      <w:rFonts w:eastAsia="Times New Roman"/>
      <w:sz w:val="22"/>
      <w:szCs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" w:type="character">
    <w:name w:val="st"/>
    <w:basedOn w:val="Zadanifontodlomka"/>
    <w:rsid w:val="00A9609C"/>
  </w:style>
  <w:style w:customStyle="true" w:styleId="bold" w:type="character">
    <w:name w:val="bold"/>
    <w:basedOn w:val="Zadanifontodlomka"/>
    <w:rsid w:val="00A9609C"/>
  </w:style>
  <w:style w:styleId="Tekstrezerviranogmjesta" w:type="character">
    <w:name w:val="Placeholder Text"/>
    <w:basedOn w:val="Zadanifontodlomka"/>
    <w:uiPriority w:val="99"/>
    <w:semiHidden/>
    <w:rsid w:val="00660D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0D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D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D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D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uiPriority w:val="99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34DB3"/>
    <w:rPr>
      <w:rFonts w:eastAsia="Times New Roman"/>
      <w:sz w:val="22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" w:type="character">
    <w:name w:val="st"/>
    <w:basedOn w:val="Zadanifontodlomka"/>
    <w:rsid w:val="00A9609C"/>
  </w:style>
  <w:style w:customStyle="1" w:styleId="bold" w:type="character">
    <w:name w:val="bold"/>
    <w:basedOn w:val="Zadanifontodlomka"/>
    <w:rsid w:val="00A9609C"/>
  </w:style>
  <w:style w:styleId="Tekstrezerviranogmjesta" w:type="character">
    <w:name w:val="Placeholder Text"/>
    <w:basedOn w:val="Zadanifontodlomka"/>
    <w:uiPriority w:val="99"/>
    <w:semiHidden/>
    <w:rsid w:val="00660D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0D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D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D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D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23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9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249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81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866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39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9457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8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41287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1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41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80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68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9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46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7C8B1-51A9-470E-948B-14FC88A9D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12</properties:Pages>
  <properties:Words>3012</properties:Words>
  <properties:Characters>17077</properties:Characters>
  <properties:Lines>807</properties:Lines>
  <properties:Paragraphs>476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2018-03-13T12:20:00Z</dcterms:created>
  <dc:creator>Blanka</dc:creator>
  <cp:lastModifiedBy>Danijela Sekulić</cp:lastModifiedBy>
  <cp:lastPrinted>2018-03-16T07:57:00Z</cp:lastPrinted>
  <dcterms:modified xmlns:xsi="http://www.w3.org/2001/XMLSchema-instance" xsi:type="dcterms:W3CDTF">2018-03-16T07:58:00Z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(PZ NAŠE SELO.docx)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12</vt:i4>
  </prop:property>
</prop:Properties>
</file>