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5ae83" w14:paraId="ae5ae83" w:rsidRDefault="00030398" w:rsidP="001312FE" w:rsidR="00030398">
      <w:pPr>
        <w:pStyle w:val="Tijeloteksta"/>
        <w:spacing w:before="1"/>
        <w15:collapsed w:val="false"/>
        <w:rPr>
          <w:sz w:val="12"/>
        </w:rPr>
      </w:pPr>
      <w:bookmarkStart w:name="_GoBack" w:id="0"/>
      <w:bookmarkEnd w:id="0"/>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pStyle w:val="Tijeloteksta"/>
        <w:rPr>
          <w:rFonts w:ascii="Times New Roman"/>
          <w:sz w:val="20"/>
        </w:rPr>
      </w:pPr>
    </w:p>
    <w:p w:rsidRDefault="00183192" w:rsidP="001312FE" w:rsidR="00183192">
      <w:pPr>
        <w:spacing w:before="250"/>
        <w:ind w:left="777"/>
        <w:jc w:val="center"/>
        <w:rPr>
          <w:b/>
          <w:sz w:val="36"/>
        </w:rPr>
      </w:pPr>
      <w:r>
        <w:rPr>
          <w:b/>
          <w:sz w:val="36"/>
        </w:rPr>
        <w:t>MJESEČNO IZVJEŠĆE O GOSPODARSKOM I FINANCIJSKOM</w:t>
      </w:r>
      <w:r>
        <w:rPr>
          <w:b/>
          <w:spacing w:val="-19"/>
          <w:sz w:val="36"/>
        </w:rPr>
        <w:t xml:space="preserve"> </w:t>
      </w:r>
      <w:r>
        <w:rPr>
          <w:b/>
          <w:sz w:val="36"/>
        </w:rPr>
        <w:t>STANJU</w:t>
      </w:r>
      <w:r>
        <w:rPr>
          <w:b/>
          <w:spacing w:val="-19"/>
          <w:sz w:val="36"/>
        </w:rPr>
        <w:t xml:space="preserve"> </w:t>
      </w:r>
      <w:r>
        <w:rPr>
          <w:b/>
          <w:sz w:val="36"/>
        </w:rPr>
        <w:t>TE</w:t>
      </w:r>
      <w:r>
        <w:rPr>
          <w:b/>
          <w:spacing w:val="-23"/>
          <w:sz w:val="36"/>
        </w:rPr>
        <w:t xml:space="preserve"> </w:t>
      </w:r>
      <w:r>
        <w:rPr>
          <w:b/>
          <w:sz w:val="36"/>
        </w:rPr>
        <w:t>O</w:t>
      </w:r>
      <w:r>
        <w:rPr>
          <w:b/>
          <w:spacing w:val="-19"/>
          <w:sz w:val="36"/>
        </w:rPr>
        <w:t xml:space="preserve"> </w:t>
      </w:r>
      <w:r>
        <w:rPr>
          <w:b/>
          <w:sz w:val="36"/>
        </w:rPr>
        <w:t>PROVEDBI</w:t>
      </w:r>
      <w:r>
        <w:rPr>
          <w:b/>
          <w:spacing w:val="-21"/>
          <w:sz w:val="36"/>
        </w:rPr>
        <w:t xml:space="preserve"> </w:t>
      </w:r>
      <w:r>
        <w:rPr>
          <w:b/>
          <w:sz w:val="36"/>
        </w:rPr>
        <w:t>MJERA IZVANREDNE UPRAVE U AGROKORU</w:t>
      </w:r>
      <w:r>
        <w:rPr>
          <w:b/>
          <w:spacing w:val="-54"/>
          <w:sz w:val="36"/>
        </w:rPr>
        <w:t xml:space="preserve"> </w:t>
      </w:r>
      <w:r>
        <w:rPr>
          <w:b/>
          <w:sz w:val="36"/>
        </w:rPr>
        <w:t>D.D.</w:t>
      </w:r>
    </w:p>
    <w:p w:rsidRDefault="001D4987" w:rsidP="001312FE" w:rsidR="00183192">
      <w:pPr>
        <w:pStyle w:val="Tijeloteksta"/>
        <w:spacing w:before="6"/>
        <w:rPr>
          <w:b/>
          <w:sz w:val="14"/>
        </w:rPr>
      </w:pPr>
      <w:r>
        <w:rPr>
          <w:noProof/>
          <w:lang w:bidi="ar-SA"/>
        </w:rPr>
        <w:pict>
          <v:line strokeweight="1.44pt" strokecolor="#c0504d" o:spid="_x0000_s1026" id="Line 44" style="position:absolute;z-index:-251635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to="547.3pt,11.1pt" from="69.5pt,11.1pt">
            <w10:wrap anchorx="page" type="topAndBottom"/>
          </v:line>
        </w:pict>
      </w:r>
    </w:p>
    <w:p w:rsidRDefault="00183192" w:rsidP="001312FE" w:rsidR="00183192">
      <w:pPr>
        <w:pStyle w:val="Tijeloteksta"/>
        <w:spacing w:before="5"/>
        <w:rPr>
          <w:b/>
          <w:sz w:val="28"/>
        </w:rPr>
      </w:pPr>
    </w:p>
    <w:p w:rsidRDefault="00183192" w:rsidP="001312FE" w:rsidR="00183192">
      <w:pPr>
        <w:pStyle w:val="Tijeloteksta"/>
        <w:spacing w:before="92"/>
        <w:ind w:left="921"/>
      </w:pPr>
      <w:r>
        <w:t>ZA RAZDOBLJE OD 11.</w:t>
      </w:r>
      <w:r w:rsidR="00A40807">
        <w:t>KOLOVOZA</w:t>
      </w:r>
      <w:r w:rsidRPr="0001044D">
        <w:t xml:space="preserve"> </w:t>
      </w:r>
      <w:r>
        <w:t xml:space="preserve">DO 10. </w:t>
      </w:r>
      <w:r w:rsidR="00A40807">
        <w:t>RUJNA</w:t>
      </w:r>
      <w:r>
        <w:t xml:space="preserve"> 2018. GODINE</w:t>
      </w: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rPr>
          <w:sz w:val="26"/>
        </w:rPr>
      </w:pPr>
    </w:p>
    <w:p w:rsidRDefault="00183192" w:rsidP="001312FE" w:rsidR="00183192">
      <w:pPr>
        <w:pStyle w:val="Tijeloteksta"/>
        <w:spacing w:before="7"/>
        <w:rPr>
          <w:sz w:val="26"/>
        </w:rPr>
      </w:pPr>
    </w:p>
    <w:p w:rsidRDefault="00183192" w:rsidP="001312FE" w:rsidR="00183192">
      <w:pPr>
        <w:spacing w:lineRule="auto" w:line="242"/>
        <w:ind w:left="258"/>
        <w:rPr>
          <w:i/>
          <w:sz w:val="20"/>
        </w:rPr>
      </w:pPr>
      <w:r>
        <w:rPr>
          <w:i/>
          <w:sz w:val="20"/>
        </w:rPr>
        <w:t>Pripremljeno temeljem članka 12. stavka 9. Zakona o postupku izvanredne uprave u trgovačkim društvima od sistemskog značaja za Republiku Hrvatsku (NN 32/2017)</w:t>
      </w:r>
    </w:p>
    <w:p w:rsidRDefault="00183192" w:rsidP="001312FE" w:rsidR="00183192">
      <w:pPr>
        <w:spacing w:lineRule="auto" w:line="242"/>
        <w:rPr>
          <w:sz w:val="20"/>
        </w:rPr>
        <w:sectPr w:rsidSect="001312FE" w:rsidR="00183192">
          <w:headerReference w:type="default" r:id="rId10"/>
          <w:footerReference w:type="default" r:id="rId11"/>
          <w:pgSz w:code="9" w:h="16840" w:w="11910"/>
          <w:pgMar w:gutter="0" w:footer="1316" w:header="709" w:left="1160" w:bottom="1500" w:right="860" w:top="1680"/>
          <w:pgNumType w:start="1"/>
          <w:cols w:space="720"/>
        </w:sectPr>
      </w:pPr>
    </w:p>
    <w:p w:rsidRDefault="00183192" w:rsidP="001312FE" w:rsidR="00183192">
      <w:pPr>
        <w:pStyle w:val="Tijeloteksta"/>
        <w:spacing w:before="2"/>
        <w:rPr>
          <w:i/>
          <w:sz w:val="12"/>
        </w:rPr>
      </w:pPr>
    </w:p>
    <w:p w:rsidRDefault="00183192" w:rsidP="001312FE" w:rsidR="00183192">
      <w:pPr>
        <w:rPr>
          <w:sz w:val="20"/>
        </w:rPr>
        <w:sectPr w:rsidSect="001312FE" w:rsidR="00183192">
          <w:pgSz w:code="9" w:h="16840" w:w="11910"/>
          <w:pgMar w:gutter="0" w:footer="1316" w:header="709" w:left="1160" w:bottom="1711" w:right="860" w:top="1680"/>
          <w:cols w:space="720"/>
        </w:sectPr>
      </w:pPr>
    </w:p>
    <w:sdt>
      <w:sdtPr>
        <w:rPr>
          <w:b/>
          <w:bCs/>
          <w:sz w:val="22"/>
          <w:szCs w:val="22"/>
        </w:rPr>
        <w:id w:val="-359819010"/>
        <w:docPartObj>
          <w:docPartGallery w:val="Table of Contents"/>
          <w:docPartUnique/>
        </w:docPartObj>
      </w:sdtPr>
      <w:sdtEndPr>
        <w:rPr>
          <w:bCs w:val="false"/>
          <w:noProof/>
          <w:sz w:val="24"/>
          <w:szCs w:val="24"/>
        </w:rPr>
      </w:sdtEndPr>
      <w:sdtContent>
        <w:p w:rsidRDefault="00183192" w:rsidP="001312FE" w:rsidR="00183192" w:rsidRPr="00E2168E">
          <w:pPr>
            <w:pStyle w:val="Tijeloteksta"/>
            <w:rPr>
              <w:b/>
            </w:rPr>
          </w:pPr>
          <w:r w:rsidRPr="00E2168E">
            <w:rPr>
              <w:b/>
            </w:rPr>
            <w:t>Sadržaj</w:t>
          </w:r>
        </w:p>
        <w:p w:rsidRDefault="00183192" w:rsidP="001312FE" w:rsidR="001E0E13" w:rsidRPr="001E0E13">
          <w:pPr>
            <w:pStyle w:val="Sadraj1"/>
            <w:tabs>
              <w:tab w:pos="9880" w:leader="dot" w:val="right"/>
            </w:tabs>
            <w:ind w:firstLine="0"/>
            <w:rPr>
              <w:rStyle w:val="Hiperveza"/>
              <w:noProof/>
            </w:rPr>
          </w:pPr>
          <w:r w:rsidRPr="00D23904">
            <w:rPr>
              <w:sz w:val="22"/>
              <w:szCs w:val="24"/>
            </w:rPr>
            <w:fldChar w:fldCharType="begin"/>
          </w:r>
          <w:r w:rsidRPr="00D23904">
            <w:rPr>
              <w:sz w:val="22"/>
              <w:szCs w:val="24"/>
            </w:rPr>
            <w:instrText xml:space="preserve"> TOC \o "1-3" \h \z \u </w:instrText>
          </w:r>
          <w:r w:rsidRPr="00D23904">
            <w:rPr>
              <w:sz w:val="22"/>
              <w:szCs w:val="24"/>
            </w:rPr>
            <w:fldChar w:fldCharType="separate"/>
          </w:r>
          <w:hyperlink w:anchor="_Toc523299345" w:history="true">
            <w:r w:rsidR="00967072">
              <w:rPr>
                <w:rStyle w:val="Hiperveza"/>
                <w:noProof/>
              </w:rPr>
              <w:t xml:space="preserve">1. </w:t>
            </w:r>
            <w:r w:rsidR="001E0E13" w:rsidRPr="001E0E13">
              <w:rPr>
                <w:rStyle w:val="Hiperveza"/>
                <w:noProof/>
              </w:rPr>
              <w:t>Uvod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_Toc523299345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46" w:history="true">
            <w:r w:rsidR="001E0E13" w:rsidRPr="001E0E13">
              <w:rPr>
                <w:rStyle w:val="Hiperveza"/>
                <w:noProof/>
              </w:rPr>
              <w:t>2. Stanje u društvima pod izvanrednom upravom unutar izvještajnog razdoblja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_Toc523299346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6</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47" w:history="true">
            <w:r w:rsidR="001E0E13" w:rsidRPr="001E0E13">
              <w:rPr>
                <w:rStyle w:val="Hiperveza"/>
                <w:noProof/>
              </w:rPr>
              <w:t>2.1.  Grupa Agrokor</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_Toc523299347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8</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48" w:history="true">
            <w:r w:rsidR="001E0E13" w:rsidRPr="001E0E13">
              <w:rPr>
                <w:rStyle w:val="Hiperveza"/>
                <w:noProof/>
              </w:rPr>
              <w:t>2.2. Kompanije u poslovnoj grupi Maloprodaja i veleprodaja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_Toc523299348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9</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49" w:history="true">
            <w:r w:rsidR="001E0E13" w:rsidRPr="001E0E13">
              <w:rPr>
                <w:rStyle w:val="Hiperveza"/>
                <w:noProof/>
              </w:rPr>
              <w:t>2.2.1.Kompanije u poslovnoj grupi Maloprodaja i veleprodaja: Konzum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_Toc523299349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10</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0" w:history="true">
            <w:r w:rsidR="001E0E13" w:rsidRPr="001E0E13">
              <w:rPr>
                <w:rStyle w:val="Hiperveza"/>
                <w:noProof/>
              </w:rPr>
              <w:t>2.2.2. Kompanije u poslovnoj grupi Maloprodaja i veleprodaja: Konzum BiH</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_Toc523299350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11</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1" w:history="true">
            <w:r w:rsidR="001E0E13" w:rsidRPr="001E0E13">
              <w:rPr>
                <w:rStyle w:val="Hiperveza"/>
                <w:noProof/>
              </w:rPr>
              <w:t>2.2.3. Kompanije u poslovnoj grupi Maloprodaja i veleprodaja: Tisak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_Toc523299351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12</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2" w:history="true">
            <w:r w:rsidR="001E0E13" w:rsidRPr="001E0E13">
              <w:rPr>
                <w:rStyle w:val="Hiperveza"/>
                <w:noProof/>
              </w:rPr>
              <w:t>2.2.4. Kompanije u Poslovnoj grupi Maloprodaja i veleprodaja: Velpro-Centar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_Toc523299352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13</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3" w:history="true">
            <w:r w:rsidR="001E0E13" w:rsidRPr="001E0E13">
              <w:rPr>
                <w:rStyle w:val="Hiperveza"/>
                <w:noProof/>
              </w:rPr>
              <w:t>2.3.  Kompanije u poslovnoj grupi Prehrana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_Toc523299353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14</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4" w:history="true">
            <w:r w:rsidR="001E0E13" w:rsidRPr="001E0E13">
              <w:rPr>
                <w:rStyle w:val="Hiperveza"/>
                <w:noProof/>
              </w:rPr>
              <w:t>2.3.1. Kompanije u poslovnoj grupi Prehrana: Jamnica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_Toc523299354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15</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5" w:history="true">
            <w:r w:rsidR="001E0E13" w:rsidRPr="001E0E13">
              <w:rPr>
                <w:rStyle w:val="Hiperveza"/>
                <w:noProof/>
              </w:rPr>
              <w:t>2.3.2.Kompanije u poslovnoj grupi Prehrana: Roto dinamic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_Toc523299355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16</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6" w:history="true">
            <w:r w:rsidR="001E0E13" w:rsidRPr="001E0E13">
              <w:rPr>
                <w:rStyle w:val="Hiperveza"/>
                <w:noProof/>
              </w:rPr>
              <w:t>2.3.3. Kompanije u poslovnoj grupi Prehrana: Sarajevski Kiseljak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_Toc523299356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17</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7" w:history="true">
            <w:r w:rsidR="001E0E13" w:rsidRPr="001E0E13">
              <w:rPr>
                <w:rStyle w:val="Hiperveza"/>
                <w:noProof/>
              </w:rPr>
              <w:t>2.3.4. Kompanije u poslovnoj grupi Prehrana: Ledo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_Toc523299357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18</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8" w:history="true">
            <w:r w:rsidR="001E0E13" w:rsidRPr="001E0E13">
              <w:rPr>
                <w:rStyle w:val="Hiperveza"/>
                <w:noProof/>
              </w:rPr>
              <w:t>2.3.5. Kompanije u poslovnoj grupi Prehrana: Ledo Čitluk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_Toc523299358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19</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59" w:history="true">
            <w:r w:rsidR="001E0E13" w:rsidRPr="001E0E13">
              <w:rPr>
                <w:rStyle w:val="Hiperveza"/>
                <w:noProof/>
              </w:rPr>
              <w:t>2.3.6. Kompanije u poslovnoj grupi Prehrana: Frikom d.o.o.</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_Toc523299359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20</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0" w:history="true">
            <w:r w:rsidR="001E0E13" w:rsidRPr="001E0E13">
              <w:rPr>
                <w:rStyle w:val="Hiperveza"/>
                <w:noProof/>
              </w:rPr>
              <w:t>2.3.7. Kompanije u poslovnoj grupi Prehrana: Zvijezda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_Toc523299360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21</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1" w:history="true">
            <w:r w:rsidR="001E0E13" w:rsidRPr="001E0E13">
              <w:rPr>
                <w:rStyle w:val="Hiperveza"/>
                <w:noProof/>
              </w:rPr>
              <w:t>2.3.8. Kompanije u poslovnoj grupi Prehrana: Dijamant a.d.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_Toc523299361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22</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2" w:history="true">
            <w:r w:rsidR="001E0E13" w:rsidRPr="001E0E13">
              <w:rPr>
                <w:rStyle w:val="Hiperveza"/>
                <w:noProof/>
              </w:rPr>
              <w:t>2.3.9. Kompanije u poslovnoj grupi Prehrana: PIK Vrbovec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_Toc523299362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23</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3" w:history="true">
            <w:r w:rsidR="001E0E13" w:rsidRPr="001E0E13">
              <w:rPr>
                <w:rStyle w:val="Hiperveza"/>
                <w:noProof/>
              </w:rPr>
              <w:t>2.4. Kompanije u poslovnoj grupi Poljoprivreda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_Toc523299363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24</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4" w:history="true">
            <w:r w:rsidR="001E0E13" w:rsidRPr="001E0E13">
              <w:rPr>
                <w:rStyle w:val="Hiperveza"/>
                <w:noProof/>
              </w:rPr>
              <w:t>2.4.1. Kompanije u poslovnoj grupi Poljoprivreda: Belje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_Toc523299364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25</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5" w:history="true">
            <w:r w:rsidR="001E0E13" w:rsidRPr="001E0E13">
              <w:rPr>
                <w:rStyle w:val="Hiperveza"/>
                <w:noProof/>
              </w:rPr>
              <w:t>2.4.2. Kompanije u poslovnoj grupi Poljoprivreda: PIK Vinkovci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_Toc523299365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26</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6" w:history="true">
            <w:r w:rsidR="001E0E13" w:rsidRPr="001E0E13">
              <w:rPr>
                <w:rStyle w:val="Hiperveza"/>
                <w:noProof/>
              </w:rPr>
              <w:t>2.4.3. Kompanije u poslovnoj grupi Poljoprivreda: Vupik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_Toc523299366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27</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7" w:history="true">
            <w:r w:rsidR="001E0E13" w:rsidRPr="001E0E13">
              <w:rPr>
                <w:rStyle w:val="Hiperveza"/>
                <w:noProof/>
              </w:rPr>
              <w:t>3. Kratkoročna novčana pozicija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_Toc523299367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28</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8" w:history="true">
            <w:r w:rsidR="001E0E13" w:rsidRPr="001E0E13">
              <w:rPr>
                <w:rStyle w:val="Hiperveza"/>
                <w:noProof/>
              </w:rPr>
              <w:t>3.1. Upravljanje novčanim sredstvima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_Toc523299368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28</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69" w:history="true">
            <w:r w:rsidR="001E0E13" w:rsidRPr="001E0E13">
              <w:rPr>
                <w:rStyle w:val="Hiperveza"/>
                <w:noProof/>
              </w:rPr>
              <w:t>3.2. Podmirenje tražbina dobavljača</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_Toc523299369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29</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70" w:history="true">
            <w:r w:rsidR="001E0E13" w:rsidRPr="00C96E61">
              <w:rPr>
                <w:rStyle w:val="Hiperveza"/>
                <w:noProof/>
              </w:rPr>
              <w:t>4. Troškovi izvanredne uprave i operativnog poslovanja Agrokora d.d.</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_Toc523299370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30</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71" w:history="true">
            <w:r w:rsidR="001E0E13" w:rsidRPr="00C96E61">
              <w:rPr>
                <w:rStyle w:val="Hiperveza"/>
                <w:noProof/>
              </w:rPr>
              <w:t>5. Sudski postupci</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_Toc523299371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32</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72" w:history="true">
            <w:r w:rsidR="001E0E13" w:rsidRPr="00C96E61">
              <w:rPr>
                <w:rStyle w:val="Hiperveza"/>
                <w:noProof/>
              </w:rPr>
              <w:t>6. Privremeno vjerovničko vijeće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_Toc523299372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33</w:t>
            </w:r>
            <w:r w:rsidR="001E0E13" w:rsidRPr="001E0E13">
              <w:rPr>
                <w:rStyle w:val="Hiperveza"/>
                <w:noProof/>
                <w:webHidden/>
              </w:rPr>
              <w:fldChar w:fldCharType="end"/>
            </w:r>
          </w:hyperlink>
        </w:p>
        <w:p w:rsidRDefault="001D4987" w:rsidP="001312FE" w:rsidR="001E0E13" w:rsidRPr="001E0E13">
          <w:pPr>
            <w:pStyle w:val="Sadraj1"/>
            <w:tabs>
              <w:tab w:pos="9880" w:leader="dot" w:val="right"/>
            </w:tabs>
            <w:ind w:firstLine="0"/>
            <w:rPr>
              <w:rStyle w:val="Hiperveza"/>
              <w:noProof/>
            </w:rPr>
          </w:pPr>
          <w:hyperlink w:anchor="_Toc523299373" w:history="true">
            <w:r w:rsidR="001E0E13" w:rsidRPr="00C96E61">
              <w:rPr>
                <w:rStyle w:val="Hiperveza"/>
                <w:noProof/>
              </w:rPr>
              <w:t xml:space="preserve">7. </w:t>
            </w:r>
            <w:r w:rsidR="00512A71">
              <w:rPr>
                <w:rStyle w:val="Hiperveza"/>
                <w:noProof/>
              </w:rPr>
              <w:t>Implementacija nagodbe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_Toc523299373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34</w:t>
            </w:r>
            <w:r w:rsidR="001E0E13" w:rsidRPr="001E0E13">
              <w:rPr>
                <w:rStyle w:val="Hiperveza"/>
                <w:noProof/>
                <w:webHidden/>
              </w:rPr>
              <w:fldChar w:fldCharType="end"/>
            </w:r>
          </w:hyperlink>
        </w:p>
        <w:p w:rsidRDefault="001D4987" w:rsidP="001312FE" w:rsidR="001E0E13">
          <w:pPr>
            <w:pStyle w:val="Sadraj1"/>
            <w:tabs>
              <w:tab w:pos="9880" w:leader="dot" w:val="right"/>
            </w:tabs>
            <w:ind w:firstLine="0"/>
            <w:rPr>
              <w:rFonts w:cstheme="minorBidi" w:eastAsiaTheme="minorEastAsia" w:hAnsiTheme="minorHAnsi" w:asciiTheme="minorHAnsi"/>
              <w:b w:val="false"/>
              <w:bCs w:val="false"/>
              <w:noProof/>
              <w:sz w:val="22"/>
              <w:szCs w:val="22"/>
              <w:lang w:bidi="ar-SA"/>
            </w:rPr>
          </w:pPr>
          <w:hyperlink w:anchor="_Toc523299374" w:history="true">
            <w:r w:rsidR="001E0E13" w:rsidRPr="00C96E61">
              <w:rPr>
                <w:rStyle w:val="Hiperveza"/>
                <w:noProof/>
              </w:rPr>
              <w:t>8. Odnosi s dionicima i komunikacije</w:t>
            </w:r>
            <w:r w:rsidR="001E0E13" w:rsidRPr="001E0E13">
              <w:rPr>
                <w:rStyle w:val="Hiperveza"/>
                <w:noProof/>
                <w:webHidden/>
              </w:rPr>
              <w:tab/>
            </w:r>
            <w:r w:rsidR="001E0E13" w:rsidRPr="001E0E13">
              <w:rPr>
                <w:rStyle w:val="Hiperveza"/>
                <w:noProof/>
                <w:webHidden/>
              </w:rPr>
              <w:fldChar w:fldCharType="begin"/>
            </w:r>
            <w:r w:rsidR="001E0E13" w:rsidRPr="001E0E13">
              <w:rPr>
                <w:rStyle w:val="Hiperveza"/>
                <w:noProof/>
                <w:webHidden/>
              </w:rPr>
              <w:instrText xml:space="preserve"> PAGEREF _Toc523299374 \h </w:instrText>
            </w:r>
            <w:r w:rsidR="001E0E13" w:rsidRPr="001E0E13">
              <w:rPr>
                <w:rStyle w:val="Hiperveza"/>
                <w:noProof/>
                <w:webHidden/>
              </w:rPr>
            </w:r>
            <w:r w:rsidR="001E0E13" w:rsidRPr="001E0E13">
              <w:rPr>
                <w:rStyle w:val="Hiperveza"/>
                <w:noProof/>
                <w:webHidden/>
              </w:rPr>
              <w:fldChar w:fldCharType="separate"/>
            </w:r>
            <w:r w:rsidR="006415F6">
              <w:rPr>
                <w:rStyle w:val="Hiperveza"/>
                <w:noProof/>
                <w:webHidden/>
              </w:rPr>
              <w:t>36</w:t>
            </w:r>
            <w:r w:rsidR="001E0E13" w:rsidRPr="001E0E13">
              <w:rPr>
                <w:rStyle w:val="Hiperveza"/>
                <w:noProof/>
                <w:webHidden/>
              </w:rPr>
              <w:fldChar w:fldCharType="end"/>
            </w:r>
          </w:hyperlink>
        </w:p>
        <w:p w:rsidRDefault="00183192" w:rsidP="001312FE" w:rsidR="00183192" w:rsidRPr="00F3625C">
          <w:pPr>
            <w:rPr>
              <w:b/>
              <w:sz w:val="24"/>
              <w:szCs w:val="24"/>
            </w:rPr>
          </w:pPr>
          <w:r w:rsidRPr="00D23904">
            <w:rPr>
              <w:b/>
              <w:bCs/>
              <w:noProof/>
              <w:szCs w:val="24"/>
            </w:rPr>
            <w:fldChar w:fldCharType="end"/>
          </w:r>
        </w:p>
      </w:sdtContent>
    </w:sdt>
    <w:p w:rsidRDefault="00183192" w:rsidP="001312FE" w:rsidR="00183192"/>
    <w:p w:rsidRDefault="00183192" w:rsidP="001312FE" w:rsidR="00183192">
      <w:pPr>
        <w:sectPr w:rsidSect="001312FE" w:rsidR="00183192">
          <w:type w:val="continuous"/>
          <w:pgSz w:code="9" w:h="16840" w:w="11910"/>
          <w:pgMar w:gutter="0" w:footer="720" w:header="720" w:left="1160" w:bottom="1711" w:right="860" w:top="1686"/>
          <w:cols w:space="720"/>
        </w:sectPr>
      </w:pPr>
    </w:p>
    <w:p w:rsidRDefault="00284797" w:rsidP="001312FE" w:rsidR="00284797">
      <w:pPr>
        <w:pStyle w:val="Naslov11"/>
        <w:numPr>
          <w:ilvl w:val="0"/>
          <w:numId w:val="0"/>
        </w:numPr>
        <w:outlineLvl w:val="0"/>
        <w:rPr>
          <w:sz w:val="28"/>
          <w:szCs w:val="28"/>
        </w:rPr>
      </w:pPr>
      <w:bookmarkStart w:name="_Toc523299345" w:id="1"/>
    </w:p>
    <w:p w:rsidRDefault="00284797" w:rsidP="001312FE" w:rsidR="00183192" w:rsidRPr="008F0704">
      <w:pPr>
        <w:pStyle w:val="Naslov11"/>
        <w:numPr>
          <w:ilvl w:val="0"/>
          <w:numId w:val="0"/>
        </w:numPr>
        <w:outlineLvl w:val="0"/>
        <w:rPr>
          <w:sz w:val="28"/>
          <w:szCs w:val="28"/>
        </w:rPr>
      </w:pPr>
      <w:r>
        <w:rPr>
          <w:sz w:val="28"/>
          <w:szCs w:val="28"/>
        </w:rPr>
        <w:t xml:space="preserve">1. </w:t>
      </w:r>
      <w:r w:rsidR="00183192" w:rsidRPr="008F0704">
        <w:rPr>
          <w:sz w:val="28"/>
          <w:szCs w:val="28"/>
        </w:rPr>
        <w:t>Uvod</w:t>
      </w:r>
      <w:bookmarkEnd w:id="1"/>
    </w:p>
    <w:p w:rsidRDefault="00BC1B3F" w:rsidP="001312FE" w:rsidR="00BC1B3F">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Ovo mjesečno izvješće odnosi se na razdoblje od 11. kolovoza do 10. rujna 2018. godine. Cilj izvješća je da u sklopu toga razdoblja prati razvoj gospodarske i financijske situacije u sustavu Agrokora te izvještava o realizaciji operativnih aktivnosti izvanredne uprave i ukupnog poslovanja Agrokora d.d. i dijela većih kompanija. </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U izvješće su uključeni rezultati 16 kompanija iz tri poslovna segmenta: Maloprodaja i veleprodaja, </w:t>
      </w:r>
      <w:r w:rsidR="002732EF">
        <w:rPr>
          <w:sz w:val="24"/>
          <w:szCs w:val="24"/>
        </w:rPr>
        <w:t>Preh</w:t>
      </w:r>
      <w:r w:rsidRPr="00381AA4">
        <w:rPr>
          <w:sz w:val="24"/>
          <w:szCs w:val="24"/>
        </w:rPr>
        <w:t>rana i Poljoprivreda koje su u promatranom razdoblju ostvarile 2</w:t>
      </w:r>
      <w:r w:rsidR="006538DB">
        <w:rPr>
          <w:sz w:val="24"/>
          <w:szCs w:val="24"/>
        </w:rPr>
        <w:t>0,7</w:t>
      </w:r>
      <w:r w:rsidRPr="00381AA4">
        <w:rPr>
          <w:sz w:val="24"/>
          <w:szCs w:val="24"/>
        </w:rPr>
        <w:t xml:space="preserve"> milijun</w:t>
      </w:r>
      <w:r w:rsidR="006538DB">
        <w:rPr>
          <w:sz w:val="24"/>
          <w:szCs w:val="24"/>
        </w:rPr>
        <w:t>a</w:t>
      </w:r>
      <w:r w:rsidRPr="00381AA4">
        <w:rPr>
          <w:sz w:val="24"/>
          <w:szCs w:val="24"/>
        </w:rPr>
        <w:t xml:space="preserve"> kuna veću operativnu dobit u odnosu na plan  - ukupno 1,1 milijardu kuna iako s</w:t>
      </w:r>
      <w:r w:rsidR="006538DB">
        <w:rPr>
          <w:sz w:val="24"/>
          <w:szCs w:val="24"/>
        </w:rPr>
        <w:t>u nekonsolidirani prihodi ostvareni</w:t>
      </w:r>
      <w:r w:rsidRPr="00381AA4">
        <w:rPr>
          <w:sz w:val="24"/>
          <w:szCs w:val="24"/>
        </w:rPr>
        <w:t xml:space="preserve"> na razini Grupe Agrokor </w:t>
      </w:r>
      <w:r w:rsidR="006538DB">
        <w:rPr>
          <w:sz w:val="24"/>
          <w:szCs w:val="24"/>
        </w:rPr>
        <w:t xml:space="preserve">bili </w:t>
      </w:r>
      <w:r w:rsidRPr="00381AA4">
        <w:rPr>
          <w:sz w:val="24"/>
          <w:szCs w:val="24"/>
        </w:rPr>
        <w:t xml:space="preserve">šest posto manji od planiranih te se kreću na razini od 13,459 milijardi kuna. Povećanju EBITDA najvećim je dijelom doprinijelo povećanje profitabilnosti maloprodaje u odnosu na zadane planove budući da poslovna grupa Maloprodaja i veleprodaja iz mjeseca u mjesec pokazuje poboljšanje poslovnih rezultata. </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Učinci procesa restrukturiranja i fokusa na povećanje profitabilnosti vidljivi su kroz smanjenje operativnih troškova. Sve tvrtke u poslovnoj skupini </w:t>
      </w:r>
      <w:r w:rsidR="00BE5FE6">
        <w:rPr>
          <w:sz w:val="24"/>
          <w:szCs w:val="24"/>
        </w:rPr>
        <w:t>M</w:t>
      </w:r>
      <w:r w:rsidRPr="00381AA4">
        <w:rPr>
          <w:sz w:val="24"/>
          <w:szCs w:val="24"/>
        </w:rPr>
        <w:t>aloprodaja i veleprodaja u srpnju su realizirale pozitivnu</w:t>
      </w:r>
      <w:r w:rsidR="00284797">
        <w:rPr>
          <w:sz w:val="24"/>
          <w:szCs w:val="24"/>
        </w:rPr>
        <w:t xml:space="preserve"> operativnu dobit, a u većini njih je ta </w:t>
      </w:r>
      <w:r w:rsidRPr="00381AA4">
        <w:rPr>
          <w:sz w:val="24"/>
          <w:szCs w:val="24"/>
        </w:rPr>
        <w:t>operativn</w:t>
      </w:r>
      <w:r w:rsidR="00284797">
        <w:rPr>
          <w:sz w:val="24"/>
          <w:szCs w:val="24"/>
        </w:rPr>
        <w:t>a</w:t>
      </w:r>
      <w:r w:rsidRPr="00381AA4">
        <w:rPr>
          <w:sz w:val="24"/>
          <w:szCs w:val="24"/>
        </w:rPr>
        <w:t xml:space="preserve"> dobit </w:t>
      </w:r>
      <w:r w:rsidR="00284797">
        <w:rPr>
          <w:sz w:val="24"/>
          <w:szCs w:val="24"/>
        </w:rPr>
        <w:t>nadmašila plan</w:t>
      </w:r>
      <w:r w:rsidR="00BE5FE6">
        <w:rPr>
          <w:sz w:val="24"/>
          <w:szCs w:val="24"/>
        </w:rPr>
        <w:t>. Kumulativna operativna dobit M</w:t>
      </w:r>
      <w:r w:rsidRPr="00381AA4">
        <w:rPr>
          <w:sz w:val="24"/>
          <w:szCs w:val="24"/>
        </w:rPr>
        <w:t xml:space="preserve">aloprodaje je iznosila 223,5 milijuna kuna dok su prihodi ostvareni u kumulativnom razdoblju </w:t>
      </w:r>
      <w:r w:rsidR="00BE5FE6">
        <w:rPr>
          <w:sz w:val="24"/>
          <w:szCs w:val="24"/>
        </w:rPr>
        <w:t xml:space="preserve">za </w:t>
      </w:r>
      <w:r w:rsidR="006D5A0D">
        <w:rPr>
          <w:sz w:val="24"/>
          <w:szCs w:val="24"/>
        </w:rPr>
        <w:t>šest posto</w:t>
      </w:r>
      <w:r w:rsidRPr="00381AA4">
        <w:rPr>
          <w:sz w:val="24"/>
          <w:szCs w:val="24"/>
        </w:rPr>
        <w:t xml:space="preserve"> niži od plana te su iznosili 7,534 milijarde kuna. </w:t>
      </w:r>
    </w:p>
    <w:p w:rsidRDefault="00284797" w:rsidP="001312FE" w:rsidR="00284797"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Nepovoljne vremenske prilike utjecale </w:t>
      </w:r>
      <w:r w:rsidR="00167D8D">
        <w:rPr>
          <w:sz w:val="24"/>
          <w:szCs w:val="24"/>
        </w:rPr>
        <w:t>su na rezultate poslovne grupe Preh</w:t>
      </w:r>
      <w:r w:rsidRPr="00381AA4">
        <w:rPr>
          <w:sz w:val="24"/>
          <w:szCs w:val="24"/>
        </w:rPr>
        <w:t xml:space="preserve">rana u srpnju pa je ukupni kumulativni prihod te grupe niži za nešto manje od 200 milijuna kuna te je iznosio 4,733 milijarde kuna. Najveći utjecaj na nižu realizaciju prihoda imali su segment Piće i Smrznuta hrana gdje je sezonalnost velika, a utjecaj vremenskih prilika značajan. Međutim, kumulativna operativna dobit grupe je za više od 40 milijuna kuna iznad plana te je u razdoblju od siječnja do srpnja iznosila 792,5 milijuna kuna.  </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Poslovna grupa Poljoprivreda za mjesec srpanj bilježi pad prihoda u odnosu na plan uslijed nastavka trenda pada cijena svinjskog mesa na europskoj burzi te nastavka pada cijena polutvrdog sira. Povećanjem drugih aktivnosti uspješno je smanjen utjecaj pada cijena na poslovne prihode koji su kumulativno iznosili 1,193 milijuna kuna, ali je i dalje prisutan pad operativne dobiti u odnosu na plan. S obzirom na dobre naturalne pokazatelje u primarnoj proizvodnji u narednom razdoblju, planira se umanjenje utjecaja pada cijena na europskim burzama.</w:t>
      </w:r>
    </w:p>
    <w:p w:rsidRDefault="00381AA4" w:rsidP="001312FE" w:rsidR="00381AA4">
      <w:pPr>
        <w:spacing w:lineRule="auto" w:line="276"/>
        <w:ind w:left="255"/>
        <w:jc w:val="both"/>
        <w:rPr>
          <w:sz w:val="24"/>
          <w:szCs w:val="24"/>
        </w:rPr>
      </w:pPr>
    </w:p>
    <w:p w:rsidRDefault="00284797" w:rsidP="001312FE" w:rsidR="00284797">
      <w:pPr>
        <w:spacing w:lineRule="auto" w:line="276"/>
        <w:ind w:left="255"/>
        <w:jc w:val="both"/>
        <w:rPr>
          <w:sz w:val="24"/>
          <w:szCs w:val="24"/>
        </w:rPr>
      </w:pPr>
    </w:p>
    <w:p w:rsidRDefault="00284797" w:rsidP="001312FE" w:rsidR="00284797">
      <w:pPr>
        <w:spacing w:lineRule="auto" w:line="276"/>
        <w:ind w:left="255"/>
        <w:jc w:val="both"/>
        <w:rPr>
          <w:sz w:val="24"/>
          <w:szCs w:val="24"/>
        </w:rPr>
      </w:pPr>
    </w:p>
    <w:p w:rsidRDefault="0063630B" w:rsidP="001312FE" w:rsidR="0063630B">
      <w:pPr>
        <w:spacing w:lineRule="auto" w:line="276"/>
        <w:ind w:left="255"/>
        <w:jc w:val="both"/>
        <w:rPr>
          <w:sz w:val="24"/>
          <w:szCs w:val="24"/>
        </w:rPr>
      </w:pPr>
    </w:p>
    <w:p w:rsidRDefault="00284797" w:rsidP="001312FE" w:rsidR="00284797">
      <w:pPr>
        <w:spacing w:lineRule="auto" w:line="276"/>
        <w:ind w:left="255"/>
        <w:jc w:val="both"/>
        <w:rPr>
          <w:sz w:val="24"/>
          <w:szCs w:val="24"/>
        </w:rPr>
      </w:pPr>
    </w:p>
    <w:p w:rsidRDefault="00284797" w:rsidP="001312FE" w:rsidR="00284797"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Grupa Agrokor nalazi se u procesu pripreme za implementaciju nagodbe, koji je odmah po izglasavanju Nagodbe vjerovnika formaliziran i intenziviran. Izuzetno kompleksan proces uključuje transfer poslovanja na novu grupu, a sam proces implementacije mora osigurati nesmetan prijenos poslovanja bez negativnih efekata na poslovanje grupe. Provedba implementacije uključuje, između ostalog, uspostavu nove grupe te finalizaciju pravnog aspekata nagodbe,</w:t>
      </w:r>
      <w:r>
        <w:rPr>
          <w:sz w:val="24"/>
          <w:szCs w:val="24"/>
        </w:rPr>
        <w:t xml:space="preserve"> </w:t>
      </w:r>
      <w:r w:rsidRPr="00381AA4">
        <w:rPr>
          <w:sz w:val="24"/>
          <w:szCs w:val="24"/>
        </w:rPr>
        <w:t>uspostavu nove grupe i prijenos operativnog poslovanja na novu grupu (tzv. „Go-live“ nove grupe) te post Go-Live podršku u implementaciji.</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Dvije faze projekta implementacije razlikuju proces planiranja i proces provedbe plana, a u fazi planiranja implementacije, plan se inicijalno priprema za dva pilot društva (Ledo i Konzum) te će se primijeniti </w:t>
      </w:r>
      <w:r w:rsidR="00967072">
        <w:rPr>
          <w:sz w:val="24"/>
          <w:szCs w:val="24"/>
        </w:rPr>
        <w:t xml:space="preserve">i </w:t>
      </w:r>
      <w:r w:rsidRPr="00381AA4">
        <w:rPr>
          <w:sz w:val="24"/>
          <w:szCs w:val="24"/>
        </w:rPr>
        <w:t>za ostala insolventna društva pod izvanrednom upravom.</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Agrokor je Trgovačkom sudu u Zagrebu 4. rujna 2018. godine dostavio odgovor na žalbe podnesene protiv rješenja o potvrdi nagodbe od 6. srpnja 2018.godine. Rukovodeći se načelom ekonomičnosti, te nastojeći izbjeći nepotrebna ponavljanja, Agrokor se odlučio na sve žalbe, njih 92, odgovoriti jednim podneskom koji je Trgovački sud objavio na oglasnoj ploči suda: e-oglasna.pravosudje.hr/.</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Agrokor u očitovanju drži da je prvostupanjski sud pravilno i potpuno utvrdio sve činjenice koje su relevantne za donošenje rješenja, da je na tako utvrđeno činjenično stanje pravilno primijenio materijalno pravo, da je rješenje valjano i potpuno obrazloženo te da njegovom donošenju nije prethodila bilo kakva postupovna povreda. Slijedom toga, Agrokor smatra da je prvostupanjsko rješenje pravilno i zakonito.</w:t>
      </w:r>
    </w:p>
    <w:p w:rsidRDefault="00381AA4" w:rsidP="001312FE" w:rsidR="00381AA4" w:rsidRPr="00381AA4">
      <w:pPr>
        <w:spacing w:lineRule="auto" w:line="276"/>
        <w:ind w:left="255"/>
        <w:jc w:val="both"/>
        <w:rPr>
          <w:sz w:val="24"/>
          <w:szCs w:val="24"/>
        </w:rPr>
      </w:pPr>
    </w:p>
    <w:p w:rsidRDefault="00BE5FE6" w:rsidP="001312FE" w:rsidR="00BE5FE6">
      <w:pPr>
        <w:spacing w:lineRule="auto" w:line="276"/>
        <w:ind w:left="255"/>
        <w:jc w:val="both"/>
        <w:rPr>
          <w:sz w:val="24"/>
          <w:szCs w:val="24"/>
        </w:rPr>
      </w:pPr>
      <w:r w:rsidRPr="00BE5FE6">
        <w:rPr>
          <w:sz w:val="24"/>
          <w:szCs w:val="24"/>
        </w:rPr>
        <w:t>U SAD-u je 27. kolovoza 2018. godine održano ročište o priznavanju</w:t>
      </w:r>
      <w:r w:rsidR="0063630B">
        <w:rPr>
          <w:sz w:val="24"/>
          <w:szCs w:val="24"/>
        </w:rPr>
        <w:t xml:space="preserve"> postupka izvanredne uprave</w:t>
      </w:r>
      <w:r w:rsidRPr="00BE5FE6">
        <w:rPr>
          <w:sz w:val="24"/>
          <w:szCs w:val="24"/>
        </w:rPr>
        <w:t xml:space="preserve"> prema Poglavlju 15 pred sucem Martinom Glennom u Južnom okrugu New Yorka. Odvjetnik izvanrednog povjerenika obavijestio je Stečajni sud o aktualnom statusu različitih postupaka priznavanja u Europi i podnio detaljnu dokumentaciju kojom se potkrepljuje zahtjev. Izvanredni povjerenik sudjelovao je u ročištu putem telefona. Zaključno je sudac odobrio priznavanje postupka izvanredne uprave i nagodbe prema Poglavlju 15 (Američkoga stečajnog zakonika). </w:t>
      </w:r>
    </w:p>
    <w:p w:rsidRDefault="00381AA4" w:rsidP="001312FE" w:rsidR="00381AA4"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Kako uspješno restrukturiranje Agrokora zahtijeva podizanje kvalitete korporativnog upravljanja kao i podizanje profesionalnih i etičkih korporativnih standarda u svim kompanijama sustava Agrokor, izvanredna uprava je u izvještajnom razd</w:t>
      </w:r>
      <w:r w:rsidR="00BE5FE6">
        <w:rPr>
          <w:sz w:val="24"/>
          <w:szCs w:val="24"/>
        </w:rPr>
        <w:t>o</w:t>
      </w:r>
      <w:r w:rsidRPr="00381AA4">
        <w:rPr>
          <w:sz w:val="24"/>
          <w:szCs w:val="24"/>
        </w:rPr>
        <w:t xml:space="preserve">blju poduzela niz koraka koji su rezultirali ili će rezultirati promjenama u upravama i visokom menadžmentu dijela kompanija sustava Agrokor. </w:t>
      </w:r>
    </w:p>
    <w:p w:rsidRDefault="00381AA4" w:rsidP="001312FE" w:rsidR="00381AA4" w:rsidRPr="00381AA4">
      <w:pPr>
        <w:spacing w:lineRule="auto" w:line="276"/>
        <w:ind w:left="255"/>
        <w:jc w:val="both"/>
        <w:rPr>
          <w:sz w:val="24"/>
          <w:szCs w:val="24"/>
        </w:rPr>
      </w:pPr>
    </w:p>
    <w:p w:rsidRDefault="00381AA4" w:rsidP="0063630B" w:rsidR="00381AA4" w:rsidRPr="00381AA4">
      <w:pPr>
        <w:spacing w:lineRule="auto" w:line="276"/>
        <w:ind w:left="255"/>
        <w:jc w:val="both"/>
        <w:rPr>
          <w:sz w:val="24"/>
          <w:szCs w:val="24"/>
        </w:rPr>
      </w:pPr>
      <w:r w:rsidRPr="00381AA4">
        <w:rPr>
          <w:sz w:val="24"/>
          <w:szCs w:val="24"/>
        </w:rPr>
        <w:t xml:space="preserve">Tako je Dario Vrabec, predsjednik Uprave Leda d.d., obavijestio Nadzorni odbor Leda da na svoj zahtjev daje ostavku na mjesto predsjednika Uprave i napušta kompaniju. </w:t>
      </w:r>
      <w:r w:rsidRPr="00381AA4">
        <w:rPr>
          <w:sz w:val="24"/>
          <w:szCs w:val="24"/>
        </w:rPr>
        <w:lastRenderedPageBreak/>
        <w:t xml:space="preserve">Izvanredna uprava zahvaljuje se Dariju Vrabecu na njegovom dugogodišnjem doprinosu uspješnom poslovanju Leda te očuvanju proizvodnje u izuzetno teškim uvjetima koji su prethodili otvaranju postupka izvanredne uprave u Agrokoru, kao i tijekom samog postupka. Po primitku obavijesti Daria Vrabeca, 4. </w:t>
      </w:r>
      <w:r w:rsidR="00284797">
        <w:rPr>
          <w:sz w:val="24"/>
          <w:szCs w:val="24"/>
        </w:rPr>
        <w:t>rujna</w:t>
      </w:r>
      <w:r w:rsidRPr="00381AA4">
        <w:rPr>
          <w:sz w:val="24"/>
          <w:szCs w:val="24"/>
        </w:rPr>
        <w:t xml:space="preserve"> 2018.</w:t>
      </w:r>
      <w:r w:rsidR="00284797">
        <w:rPr>
          <w:sz w:val="24"/>
          <w:szCs w:val="24"/>
        </w:rPr>
        <w:t xml:space="preserve"> godine</w:t>
      </w:r>
      <w:r w:rsidRPr="00381AA4">
        <w:rPr>
          <w:sz w:val="24"/>
          <w:szCs w:val="24"/>
        </w:rPr>
        <w:t xml:space="preserve"> je održana sjednica Nadzornog odbora Leda na kojoj su njegovi članovi primili na znanje ostavku dosadašnjeg predsjednika Uprave i imenovali Marina Poljaka za novog predsjednika Uprave Leda d.d. </w:t>
      </w:r>
      <w:r w:rsidR="00FB665B" w:rsidRPr="00FB665B">
        <w:rPr>
          <w:sz w:val="24"/>
          <w:szCs w:val="24"/>
        </w:rPr>
        <w:t>Riječ je o menadžeru s gotovo dvadeset godina upravljačkog iskustva u multinacionalnim kompanijama iz FMCG sektora.</w:t>
      </w:r>
    </w:p>
    <w:p w:rsidRDefault="00381AA4" w:rsidP="001312FE" w:rsid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 xml:space="preserve">Na prijedlog izvanrednog povjerenika Nadzorni odbor Jamnice je donio odluku o opozivu Mislava Galića s pozicije predsjednika Uprave Jamnice te imenovanju Daria Šalića na mjesto predsjednika Uprave Jamnice. Prijedlog za opoziv Mislava Galića bio je, između ostalog, poduprijet činjenicama da je gospodin Galić dio prijašnje Uprave Agrokora, koja je uzrokovala pokretanje postupka izvanredne uprave te da se protiv njega vodi kazneni postupak, što šteti poslovnom ugledu Jamnice i Mislava Galića ograničava u kvalitetnom obavljanju poslova. </w:t>
      </w:r>
      <w:r w:rsidR="00FB665B">
        <w:rPr>
          <w:sz w:val="24"/>
          <w:szCs w:val="24"/>
        </w:rPr>
        <w:t>Dario Šalić, n</w:t>
      </w:r>
      <w:r w:rsidR="008043EF" w:rsidRPr="008043EF">
        <w:rPr>
          <w:sz w:val="24"/>
          <w:szCs w:val="24"/>
        </w:rPr>
        <w:t>ovi predsjednik Uprave Jamnice je menadžer s dugogodišnjim stažom u industriji pića koji je bogato profesionalno iskustvo stjecao na različitim upravljačkim pozicijama u velikim internacionalnim i regionalnim kompanijama.</w:t>
      </w:r>
    </w:p>
    <w:p w:rsidRDefault="00FB665B" w:rsidP="001312FE" w:rsidR="00FB665B" w:rsidRPr="00381AA4">
      <w:pPr>
        <w:spacing w:lineRule="auto" w:line="276"/>
        <w:ind w:left="255"/>
        <w:jc w:val="both"/>
        <w:rPr>
          <w:sz w:val="24"/>
          <w:szCs w:val="24"/>
        </w:rPr>
      </w:pPr>
    </w:p>
    <w:p w:rsidRDefault="00381AA4" w:rsidP="001312FE" w:rsidR="00381AA4">
      <w:pPr>
        <w:spacing w:lineRule="auto" w:line="276"/>
        <w:ind w:left="255"/>
        <w:jc w:val="both"/>
        <w:rPr>
          <w:sz w:val="24"/>
          <w:szCs w:val="24"/>
        </w:rPr>
      </w:pPr>
      <w:r w:rsidRPr="00381AA4">
        <w:rPr>
          <w:sz w:val="24"/>
          <w:szCs w:val="24"/>
        </w:rPr>
        <w:t>Također, izvanredni povjerenik je pismom upozorio predsjednika Uprave Mercatora Tomislava Čizmića i Nadzorni odbor Mercatora o sumnji u nepravilnosti i nezakonitosti u radu ranijih Uprava pojedinih društava pod izvanrednom upravom, a koja se odnosi i na menadžera u Mercatoru gospodina Dražena Kocijana. Nakon tog pisma Dražen Kocijan je predsjedniku Uprave Mercatora podnio ostavku</w:t>
      </w:r>
      <w:r w:rsidR="00FB665B">
        <w:rPr>
          <w:sz w:val="24"/>
          <w:szCs w:val="24"/>
        </w:rPr>
        <w:t xml:space="preserve"> na funkciju</w:t>
      </w:r>
      <w:r w:rsidRPr="00381AA4">
        <w:rPr>
          <w:sz w:val="24"/>
          <w:szCs w:val="24"/>
        </w:rPr>
        <w:t xml:space="preserve">. </w:t>
      </w:r>
    </w:p>
    <w:p w:rsidRDefault="00381AA4" w:rsidP="001312FE" w:rsidR="00381AA4" w:rsidRPr="00381AA4">
      <w:pPr>
        <w:spacing w:lineRule="auto" w:line="276"/>
        <w:ind w:left="255"/>
        <w:jc w:val="both"/>
        <w:rPr>
          <w:sz w:val="24"/>
          <w:szCs w:val="24"/>
        </w:rPr>
      </w:pPr>
    </w:p>
    <w:p w:rsidRDefault="00381AA4" w:rsidP="0063630B" w:rsidR="00183192">
      <w:pPr>
        <w:spacing w:lineRule="auto" w:line="276"/>
        <w:ind w:left="255"/>
        <w:jc w:val="both"/>
        <w:rPr>
          <w:sz w:val="24"/>
          <w:szCs w:val="24"/>
        </w:rPr>
      </w:pPr>
      <w:r w:rsidRPr="00381AA4">
        <w:rPr>
          <w:sz w:val="24"/>
          <w:szCs w:val="24"/>
        </w:rPr>
        <w:t>Promjene su provedene i u menadžmentu Konzuma BiH. Dosadašnji direktor Konzuma Tomislav Bagić i izvršni direktori Tomislav Primorac i Kristina Alebić u dogovoru s izvanrednom upravom vraćaju se u Hrvatsku na nova radna mjesta unutar sustava Agrokor, a novi direktor postao je Nihad Imširović</w:t>
      </w:r>
      <w:r w:rsidR="00FB665B">
        <w:rPr>
          <w:sz w:val="24"/>
          <w:szCs w:val="24"/>
        </w:rPr>
        <w:t xml:space="preserve">, koji </w:t>
      </w:r>
      <w:r w:rsidR="00FB665B" w:rsidRPr="00FB665B">
        <w:rPr>
          <w:sz w:val="24"/>
          <w:szCs w:val="24"/>
        </w:rPr>
        <w:t>u Konzum dolazi s pozicije direktora društva Klas d.d., Sarajevo</w:t>
      </w:r>
      <w:r w:rsidR="00FB665B">
        <w:rPr>
          <w:sz w:val="24"/>
          <w:szCs w:val="24"/>
        </w:rPr>
        <w:t xml:space="preserve">. Nihad Imširović bio je i prethodno </w:t>
      </w:r>
      <w:r w:rsidR="00FB665B" w:rsidRPr="00FB665B">
        <w:rPr>
          <w:sz w:val="24"/>
          <w:szCs w:val="24"/>
        </w:rPr>
        <w:t xml:space="preserve">zaposlen </w:t>
      </w:r>
      <w:r w:rsidR="00FB665B">
        <w:rPr>
          <w:sz w:val="24"/>
          <w:szCs w:val="24"/>
        </w:rPr>
        <w:t xml:space="preserve">na menadžerskim funkcijama </w:t>
      </w:r>
      <w:r w:rsidR="00FB665B" w:rsidRPr="00FB665B">
        <w:rPr>
          <w:sz w:val="24"/>
          <w:szCs w:val="24"/>
        </w:rPr>
        <w:t>u Agrokorovim kompanijama u Bosni i Hercegovini</w:t>
      </w:r>
      <w:r w:rsidR="0063630B">
        <w:rPr>
          <w:sz w:val="24"/>
          <w:szCs w:val="24"/>
        </w:rPr>
        <w:t xml:space="preserve"> te ima</w:t>
      </w:r>
      <w:r w:rsidR="00FB665B">
        <w:rPr>
          <w:sz w:val="24"/>
          <w:szCs w:val="24"/>
        </w:rPr>
        <w:t xml:space="preserve"> d</w:t>
      </w:r>
      <w:r w:rsidR="0063630B">
        <w:rPr>
          <w:sz w:val="24"/>
          <w:szCs w:val="24"/>
        </w:rPr>
        <w:t>ugogodišnje</w:t>
      </w:r>
      <w:r w:rsidR="00FB665B" w:rsidRPr="00FB665B">
        <w:rPr>
          <w:sz w:val="24"/>
          <w:szCs w:val="24"/>
        </w:rPr>
        <w:t xml:space="preserve"> rad</w:t>
      </w:r>
      <w:r w:rsidR="0063630B">
        <w:rPr>
          <w:sz w:val="24"/>
          <w:szCs w:val="24"/>
        </w:rPr>
        <w:t>no iskustvo</w:t>
      </w:r>
      <w:r w:rsidR="00FB665B" w:rsidRPr="00FB665B">
        <w:rPr>
          <w:sz w:val="24"/>
          <w:szCs w:val="24"/>
        </w:rPr>
        <w:t xml:space="preserve"> u maloprodaji i segmentu robe široke potroš</w:t>
      </w:r>
      <w:r w:rsidR="0063630B">
        <w:rPr>
          <w:sz w:val="24"/>
          <w:szCs w:val="24"/>
        </w:rPr>
        <w:t>nje (FMCG) u Bosni i Hercegovini.</w:t>
      </w: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63630B" w:rsidP="001312FE" w:rsidR="0063630B">
      <w:pPr>
        <w:spacing w:lineRule="auto" w:line="276"/>
        <w:ind w:left="255"/>
        <w:jc w:val="both"/>
        <w:rPr>
          <w:sz w:val="24"/>
          <w:szCs w:val="24"/>
        </w:rPr>
      </w:pPr>
    </w:p>
    <w:p w:rsidRDefault="0063630B" w:rsidP="001312FE" w:rsidR="0063630B">
      <w:pPr>
        <w:spacing w:lineRule="auto" w:line="276"/>
        <w:ind w:left="255"/>
        <w:jc w:val="both"/>
        <w:rPr>
          <w:sz w:val="24"/>
          <w:szCs w:val="24"/>
        </w:rPr>
      </w:pPr>
    </w:p>
    <w:p w:rsidRDefault="0063630B" w:rsidP="001312FE" w:rsidR="0063630B">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183192">
      <w:pPr>
        <w:spacing w:lineRule="auto" w:line="276"/>
        <w:ind w:left="255"/>
        <w:jc w:val="both"/>
        <w:rPr>
          <w:sz w:val="24"/>
          <w:szCs w:val="24"/>
        </w:rPr>
      </w:pPr>
    </w:p>
    <w:p w:rsidRDefault="00183192" w:rsidP="001312FE" w:rsidR="00BC1B3F">
      <w:pPr>
        <w:pStyle w:val="Naslov1"/>
        <w:tabs>
          <w:tab w:pos="619" w:val="left"/>
          <w:tab w:pos="1985" w:val="left"/>
        </w:tabs>
        <w:spacing w:lineRule="auto" w:line="238" w:before="94"/>
        <w:ind w:firstLine="0" w:left="0"/>
      </w:pPr>
      <w:bookmarkStart w:name="_Toc516483202" w:id="2"/>
      <w:bookmarkStart w:name="_Toc523299346" w:id="3"/>
      <w:r>
        <w:rPr>
          <w:spacing w:val="3"/>
        </w:rPr>
        <w:t xml:space="preserve">2. </w:t>
      </w:r>
      <w:r w:rsidR="00BC1B3F">
        <w:rPr>
          <w:spacing w:val="3"/>
        </w:rPr>
        <w:t xml:space="preserve">Stanje </w:t>
      </w:r>
      <w:r w:rsidR="00BC1B3F">
        <w:t xml:space="preserve">u </w:t>
      </w:r>
      <w:r w:rsidR="00BC1B3F">
        <w:rPr>
          <w:spacing w:val="2"/>
        </w:rPr>
        <w:t xml:space="preserve">društvima </w:t>
      </w:r>
      <w:r w:rsidR="00BC1B3F">
        <w:t xml:space="preserve">pod </w:t>
      </w:r>
      <w:r w:rsidR="00BC1B3F">
        <w:rPr>
          <w:spacing w:val="3"/>
        </w:rPr>
        <w:t xml:space="preserve">izvanrednom </w:t>
      </w:r>
      <w:r w:rsidR="00BC1B3F">
        <w:rPr>
          <w:spacing w:val="2"/>
        </w:rPr>
        <w:t xml:space="preserve">upravom </w:t>
      </w:r>
      <w:r w:rsidR="00BC1B3F">
        <w:rPr>
          <w:spacing w:val="3"/>
        </w:rPr>
        <w:t xml:space="preserve">unutar izvještajnog </w:t>
      </w:r>
      <w:r w:rsidR="00BC1B3F">
        <w:rPr>
          <w:spacing w:val="4"/>
        </w:rPr>
        <w:t>razdoblja</w:t>
      </w:r>
      <w:bookmarkEnd w:id="2"/>
      <w:bookmarkEnd w:id="3"/>
    </w:p>
    <w:p w:rsidRDefault="001D4987" w:rsidP="001312FE" w:rsidR="00BC1B3F">
      <w:pPr>
        <w:pStyle w:val="Tijeloteksta"/>
        <w:spacing w:lineRule="auto" w:line="276" w:before="219"/>
        <w:ind w:left="220"/>
        <w:jc w:val="both"/>
      </w:pPr>
      <w:r>
        <w:rPr>
          <w:noProof/>
          <w:lang w:bidi="ar-SA"/>
        </w:rPr>
        <w:pict>
          <v:shapetype id="_x0000_t202" coordsize="21600,21600" path="m,l,21600r21600,l21600,xe" o:spt="202.0">
            <v:stroke joinstyle="miter"/>
            <v:path o:connecttype="rect" gradientshapeok="t"/>
          </v:shapetype>
          <v:shape fillcolor="#c00" stroked="f" o:spid="_x0000_s1045" id="Text Box 40" style="position:absolute;left:0;text-align:left;margin-left:109.95pt;margin-top:96.2pt;width:392.65pt;height:48pt;z-index:-251640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">
            <v:textbox inset="0,0,0,0">
              <w:txbxContent>
                <w:p w:rsidRDefault="00CC3F8B" w:rsidP="00BC1B3F" w:rsidR="00CC3F8B">
                  <w:pPr>
                    <w:spacing w:lineRule="auto" w:line="247" w:before="259"/>
                    <w:ind w:hanging="1921" w:left="2393"/>
                    <w:jc w:val="center"/>
                    <w:rPr>
                      <w:b/>
                      <w:sz w:val="30"/>
                    </w:rPr>
                  </w:pPr>
                  <w:r>
                    <w:rPr>
                      <w:b/>
                      <w:color w:val="FFFFFF"/>
                      <w:sz w:val="30"/>
                    </w:rPr>
                    <w:t>I.-VII. 2018. godine rezultati</w:t>
                  </w:r>
                </w:p>
              </w:txbxContent>
            </v:textbox>
            <w10:wrap anchorx="page" type="topAndBottom"/>
          </v:shape>
        </w:pict>
      </w:r>
      <w:r w:rsidR="00BC1B3F">
        <w:t>Financijske informacije sadržane u donjoj tablici odnose se na kumulativni prihod i EBITDA za prv</w:t>
      </w:r>
      <w:r w:rsidR="006B3CB0">
        <w:t xml:space="preserve">ih sedam mjeseci </w:t>
      </w:r>
      <w:r w:rsidR="00BC1B3F">
        <w:t xml:space="preserve">2018. godine za ključne kompanije sustava Agrokor. U ovom mjesečnom izvješću izvještavanje se odnosi na 16 ključnih kompanija. Financijski rezultati pojedinačnih kompanija prikazani u ovom poglavlju su nerevidirani te su preliminarni. Realizirani rezultati uspoređuju se s </w:t>
      </w:r>
      <w:r w:rsidR="00BC1B3F" w:rsidRPr="00470C42">
        <w:t>Planovima održivosti.</w:t>
      </w:r>
    </w:p>
    <w:p w:rsidRDefault="00BC1B3F" w:rsidP="001312FE" w:rsidR="00BC1B3F">
      <w:pPr>
        <w:pStyle w:val="Tijeloteksta"/>
        <w:spacing w:lineRule="auto" w:line="276" w:before="219"/>
        <w:ind w:left="258"/>
        <w:jc w:val="both"/>
      </w:pPr>
      <w:r>
        <w:t xml:space="preserve">     </w:t>
      </w:r>
    </w:p>
    <w:tbl>
      <w:tblPr>
        <w:tblpPr w:tblpY="4" w:tblpXSpec="center" w:horzAnchor="margin" w:vertAnchor="text" w:rightFromText="180" w:leftFromText="180"/>
        <w:tblW w:type="dxa" w:w="7824"/>
        <w:tblCellMar>
          <w:left w:type="dxa" w:w="0"/>
          <w:right w:type="dxa" w:w="0"/>
        </w:tblCellMar>
        <w:tblLook w:val="0420" w:noVBand="1" w:noHBand="0" w:lastColumn="0" w:firstColumn="0" w:lastRow="0" w:firstRow="1"/>
      </w:tblPr>
      <w:tblGrid>
        <w:gridCol w:w="2575"/>
        <w:gridCol w:w="1831"/>
        <w:gridCol w:w="1709"/>
        <w:gridCol w:w="1709"/>
      </w:tblGrid>
      <w:tr w:rsidTr="00036492" w:rsidR="00BC1B3F" w:rsidRPr="009675AD">
        <w:trPr>
          <w:trHeight w:val="743"/>
        </w:trPr>
        <w:tc>
          <w:tcPr>
            <w:tcW w:type="dxa" w:w="2575"/>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hideMark/>
          </w:tcPr>
          <w:p w:rsidRDefault="00BC1B3F" w:rsidP="001312FE" w:rsidR="00BC1B3F">
            <w:pPr>
              <w:widowControl/>
              <w:autoSpaceDE/>
              <w:autoSpaceDN/>
              <w:rPr>
                <w:rFonts w:eastAsia="Times New Roman"/>
                <w:b/>
                <w:bCs/>
                <w:i/>
                <w:iCs/>
                <w:color w:themeColor="light1" w:val="FFFFFF"/>
                <w:kern w:val="24"/>
                <w:sz w:val="20"/>
                <w:szCs w:val="20"/>
                <w:lang w:bidi="ar-SA"/>
              </w:rPr>
            </w:pPr>
          </w:p>
          <w:p w:rsidRDefault="00BC1B3F" w:rsidP="001312FE" w:rsidR="00BC1B3F" w:rsidRPr="009675AD">
            <w:pPr>
              <w:widowControl/>
              <w:autoSpaceDE/>
              <w:autoSpaceDN/>
              <w:rPr>
                <w:rFonts w:eastAsia="Times New Roman"/>
                <w:sz w:val="36"/>
                <w:szCs w:val="36"/>
                <w:lang w:bidi="ar-SA"/>
              </w:rPr>
            </w:pPr>
            <w:r w:rsidRPr="009675AD">
              <w:rPr>
                <w:rFonts w:eastAsia="Times New Roman"/>
                <w:b/>
                <w:bCs/>
                <w:i/>
                <w:iCs/>
                <w:color w:themeColor="light1" w:val="FFFFFF"/>
                <w:kern w:val="24"/>
                <w:sz w:val="20"/>
                <w:szCs w:val="20"/>
                <w:lang w:bidi="ar-SA"/>
              </w:rPr>
              <w:t>Milijuna kn</w:t>
            </w:r>
          </w:p>
        </w:tc>
        <w:tc>
          <w:tcPr>
            <w:tcW w:type="dxa" w:w="1831"/>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Maloprodaja i veleprodaja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Prehrana</w:t>
            </w:r>
          </w:p>
        </w:tc>
        <w:tc>
          <w:tcPr>
            <w:tcW w:type="dxa" w:w="1709"/>
            <w:tcBorders>
              <w:top w:space="0" w:sz="8" w:color="FFFFFF" w:val="single"/>
              <w:left w:space="0" w:sz="8" w:color="FFFFFF" w:val="single"/>
              <w:bottom w:space="0" w:sz="8" w:color="000000" w:val="dotted"/>
              <w:right w:space="0" w:sz="8" w:color="FFFFFF" w:val="single"/>
            </w:tcBorders>
            <w:shd w:fill="00234C" w:color="auto" w:val="clear"/>
            <w:tcMar>
              <w:top w:type="dxa" w:w="72"/>
              <w:left w:type="dxa" w:w="144"/>
              <w:bottom w:type="dxa" w:w="72"/>
              <w:right w:type="dxa" w:w="144"/>
            </w:tcMar>
            <w:vAlign w:val="center"/>
            <w:hideMark/>
          </w:tcPr>
          <w:p w:rsidRDefault="00BC1B3F" w:rsidP="001312FE" w:rsidR="00BC1B3F" w:rsidRPr="009675AD">
            <w:pPr>
              <w:widowControl/>
              <w:autoSpaceDE/>
              <w:autoSpaceDN/>
              <w:jc w:val="right"/>
              <w:rPr>
                <w:rFonts w:eastAsia="Times New Roman"/>
                <w:sz w:val="36"/>
                <w:szCs w:val="36"/>
                <w:lang w:bidi="ar-SA"/>
              </w:rPr>
            </w:pPr>
            <w:r w:rsidRPr="009675AD">
              <w:rPr>
                <w:rFonts w:eastAsia="Times New Roman"/>
                <w:b/>
                <w:bCs/>
                <w:color w:themeColor="light1" w:val="FFFFFF"/>
                <w:kern w:val="24"/>
                <w:sz w:val="20"/>
                <w:szCs w:val="20"/>
                <w:lang w:bidi="ar-SA"/>
              </w:rPr>
              <w:t>Poljoprivreda</w:t>
            </w:r>
          </w:p>
        </w:tc>
      </w:tr>
    </w:tbl>
    <w:p w:rsidRDefault="00BC1B3F" w:rsidP="001312FE" w:rsidR="00BC1B3F">
      <w:pPr>
        <w:pStyle w:val="Tijeloteksta"/>
        <w:spacing w:lineRule="auto" w:line="276" w:before="219"/>
        <w:ind w:left="258"/>
        <w:jc w:val="center"/>
      </w:pPr>
    </w:p>
    <w:p w:rsidRDefault="00BC1B3F" w:rsidP="001312FE" w:rsidR="00BC1B3F">
      <w:pPr>
        <w:pStyle w:val="Tijeloteksta"/>
        <w:spacing w:before="8"/>
        <w:rPr>
          <w:sz w:val="16"/>
        </w:rPr>
      </w:pPr>
    </w:p>
    <w:tbl>
      <w:tblPr>
        <w:tblpPr w:tblpY="191" w:tblpXSpec="center" w:horzAnchor="margin" w:vertAnchor="text" w:rightFromText="180" w:leftFromText="180"/>
        <w:tblW w:type="dxa" w:w="7789"/>
        <w:tblCellMar>
          <w:left w:type="dxa" w:w="0"/>
          <w:right w:type="dxa" w:w="0"/>
        </w:tblCellMar>
        <w:tblLook w:val="0420" w:noVBand="1" w:noHBand="0" w:lastColumn="0" w:firstColumn="0" w:lastRow="0" w:firstRow="1"/>
      </w:tblPr>
      <w:tblGrid>
        <w:gridCol w:w="2557"/>
        <w:gridCol w:w="1838"/>
        <w:gridCol w:w="1697"/>
        <w:gridCol w:w="1697"/>
      </w:tblGrid>
      <w:tr w:rsidTr="00036492" w:rsidR="00BC1B3F" w:rsidRPr="002436AE">
        <w:trPr>
          <w:trHeight w:val="537"/>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24"/>
                <w:szCs w:val="24"/>
                <w:lang w:bidi="ar-SA"/>
              </w:rPr>
              <w:t>Prihod</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AB1309" w:rsidP="001312FE" w:rsidR="00BC1B3F" w:rsidRPr="00977026">
            <w:pPr>
              <w:widowControl/>
              <w:autoSpaceDE/>
              <w:autoSpaceDN/>
              <w:jc w:val="right"/>
              <w:rPr>
                <w:rFonts w:eastAsia="Times New Roman"/>
                <w:sz w:val="24"/>
                <w:szCs w:val="36"/>
                <w:lang w:bidi="ar-SA"/>
              </w:rPr>
            </w:pPr>
            <w:r>
              <w:rPr>
                <w:rFonts w:eastAsia="Times New Roman"/>
                <w:sz w:val="24"/>
                <w:szCs w:val="36"/>
                <w:lang w:bidi="ar-SA"/>
              </w:rPr>
              <w:t>7.</w:t>
            </w:r>
            <w:r w:rsidR="00BC1B3F" w:rsidRPr="00977026">
              <w:rPr>
                <w:rFonts w:eastAsia="Times New Roman"/>
                <w:sz w:val="24"/>
                <w:szCs w:val="36"/>
                <w:lang w:bidi="ar-SA"/>
              </w:rPr>
              <w:t>534m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0262A5" w:rsidP="001312FE" w:rsidR="001E0E13" w:rsidRPr="002436AE">
            <w:pPr>
              <w:widowControl/>
              <w:autoSpaceDE/>
              <w:autoSpaceDN/>
              <w:jc w:val="right"/>
              <w:rPr>
                <w:rFonts w:eastAsia="Times New Roman"/>
                <w:sz w:val="24"/>
                <w:szCs w:val="24"/>
                <w:lang w:bidi="ar-SA"/>
              </w:rPr>
            </w:pPr>
            <w:r>
              <w:rPr>
                <w:rFonts w:eastAsia="Times New Roman"/>
                <w:sz w:val="24"/>
                <w:szCs w:val="24"/>
                <w:lang w:bidi="ar-SA"/>
              </w:rPr>
              <w:t>4.733</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0262A5" w:rsidP="001312FE" w:rsidR="001E0E13" w:rsidRPr="002436AE">
            <w:pPr>
              <w:widowControl/>
              <w:autoSpaceDE/>
              <w:autoSpaceDN/>
              <w:jc w:val="right"/>
              <w:rPr>
                <w:rFonts w:eastAsia="Times New Roman"/>
                <w:sz w:val="24"/>
                <w:szCs w:val="24"/>
                <w:lang w:bidi="ar-SA"/>
              </w:rPr>
            </w:pPr>
            <w:r>
              <w:rPr>
                <w:rFonts w:eastAsia="Times New Roman"/>
                <w:sz w:val="24"/>
                <w:szCs w:val="24"/>
                <w:lang w:bidi="ar-SA"/>
              </w:rPr>
              <w:t>1.193</w:t>
            </w:r>
            <w:r w:rsidR="001E0E13" w:rsidRPr="002436AE">
              <w:rPr>
                <w:rFonts w:eastAsia="Times New Roman"/>
                <w:sz w:val="24"/>
                <w:szCs w:val="24"/>
                <w:lang w:bidi="ar-SA"/>
              </w:rPr>
              <w:t>m</w:t>
            </w:r>
          </w:p>
          <w:p w:rsidRDefault="00BC1B3F" w:rsidP="001312FE" w:rsidR="00BC1B3F" w:rsidRPr="002436AE">
            <w:pPr>
              <w:widowControl/>
              <w:autoSpaceDE/>
              <w:autoSpaceDN/>
              <w:jc w:val="right"/>
              <w:rPr>
                <w:rFonts w:eastAsia="Times New Roman"/>
                <w:sz w:val="24"/>
                <w:szCs w:val="24"/>
                <w:lang w:bidi="ar-SA"/>
              </w:rPr>
            </w:pPr>
          </w:p>
        </w:tc>
      </w:tr>
      <w:tr w:rsidTr="00036492" w:rsidR="00BC1B3F" w:rsidRPr="002436AE">
        <w:trPr>
          <w:trHeight w:val="520"/>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6B3CE0">
              <w:rPr>
                <w:rFonts w:eastAsia="Times New Roman"/>
                <w:color w:themeColor="text1" w:val="000000"/>
                <w:kern w:val="24"/>
                <w:sz w:val="24"/>
                <w:szCs w:val="24"/>
                <w:lang w:bidi="ar-SA" w:val="de-DE"/>
              </w:rPr>
              <w:t>EBITDA</w:t>
            </w:r>
            <w:r w:rsidRPr="009675AD">
              <w:rPr>
                <w:rFonts w:eastAsia="Times New Roman"/>
                <w:color w:themeColor="text1" w:val="000000"/>
                <w:kern w:val="24"/>
                <w:sz w:val="24"/>
                <w:szCs w:val="24"/>
                <w:lang w:bidi="ar-SA"/>
              </w:rPr>
              <w:t xml:space="preserve"> </w:t>
            </w:r>
          </w:p>
          <w:p w:rsidRDefault="00BC1B3F" w:rsidP="001312FE" w:rsidR="00BC1B3F" w:rsidRPr="009675AD">
            <w:pPr>
              <w:widowControl/>
              <w:autoSpaceDE/>
              <w:autoSpaceDN/>
              <w:rPr>
                <w:rFonts w:eastAsia="Times New Roman"/>
                <w:sz w:val="36"/>
                <w:szCs w:val="36"/>
                <w:lang w:bidi="ar-SA"/>
              </w:rPr>
            </w:pPr>
            <w:r w:rsidRPr="009675AD">
              <w:rPr>
                <w:rFonts w:eastAsia="Times New Roman"/>
                <w:color w:themeColor="text1" w:val="000000"/>
                <w:kern w:val="24"/>
                <w:sz w:val="18"/>
                <w:szCs w:val="18"/>
                <w:lang w:bidi="ar-SA"/>
              </w:rPr>
              <w:t>(prije naknade za upravljanje)</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BC1B3F" w:rsidP="001312FE" w:rsidR="00BC1B3F" w:rsidRPr="00977026">
            <w:pPr>
              <w:widowControl/>
              <w:autoSpaceDE/>
              <w:autoSpaceDN/>
              <w:jc w:val="right"/>
              <w:rPr>
                <w:rFonts w:eastAsia="Times New Roman"/>
                <w:sz w:val="24"/>
                <w:szCs w:val="36"/>
                <w:lang w:bidi="ar-SA"/>
              </w:rPr>
            </w:pPr>
            <w:r w:rsidRPr="00977026">
              <w:rPr>
                <w:rFonts w:eastAsia="Times New Roman"/>
                <w:sz w:val="24"/>
                <w:szCs w:val="36"/>
                <w:lang w:bidi="ar-SA"/>
              </w:rPr>
              <w:t>223.5m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1E0E13" w:rsidP="001312FE" w:rsidR="00BC1B3F" w:rsidRPr="002436AE">
            <w:pPr>
              <w:widowControl/>
              <w:tabs>
                <w:tab w:pos="195" w:val="left"/>
              </w:tabs>
              <w:autoSpaceDE/>
              <w:autoSpaceDN/>
              <w:jc w:val="right"/>
              <w:rPr>
                <w:rFonts w:eastAsia="Times New Roman"/>
                <w:sz w:val="24"/>
                <w:szCs w:val="24"/>
                <w:lang w:bidi="ar-SA"/>
              </w:rPr>
            </w:pPr>
            <w:r w:rsidRPr="002436AE">
              <w:rPr>
                <w:rFonts w:eastAsia="Times New Roman"/>
                <w:sz w:val="24"/>
                <w:szCs w:val="24"/>
                <w:lang w:bidi="ar-SA"/>
              </w:rPr>
              <w:tab/>
              <w:t>792.5m</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1E0E13" w:rsidP="001312FE" w:rsidR="001E0E13" w:rsidRPr="002436AE">
            <w:pPr>
              <w:widowControl/>
              <w:autoSpaceDE/>
              <w:autoSpaceDN/>
              <w:jc w:val="right"/>
              <w:rPr>
                <w:rFonts w:eastAsia="Times New Roman"/>
                <w:sz w:val="24"/>
                <w:szCs w:val="24"/>
                <w:lang w:bidi="ar-SA"/>
              </w:rPr>
            </w:pPr>
          </w:p>
          <w:p w:rsidRDefault="000262A5" w:rsidP="001312FE" w:rsidR="00BC1B3F" w:rsidRPr="002436AE">
            <w:pPr>
              <w:widowControl/>
              <w:autoSpaceDE/>
              <w:autoSpaceDN/>
              <w:jc w:val="right"/>
              <w:rPr>
                <w:rFonts w:eastAsia="Times New Roman"/>
                <w:sz w:val="24"/>
                <w:szCs w:val="24"/>
                <w:lang w:bidi="ar-SA"/>
              </w:rPr>
            </w:pPr>
            <w:r>
              <w:rPr>
                <w:rFonts w:eastAsia="Times New Roman"/>
                <w:sz w:val="24"/>
                <w:szCs w:val="24"/>
                <w:lang w:bidi="ar-SA"/>
              </w:rPr>
              <w:t>88,0</w:t>
            </w:r>
            <w:r w:rsidR="001E0E13" w:rsidRPr="002436AE">
              <w:rPr>
                <w:rFonts w:eastAsia="Times New Roman"/>
                <w:sz w:val="24"/>
                <w:szCs w:val="24"/>
                <w:lang w:bidi="ar-SA"/>
              </w:rPr>
              <w:t>m</w:t>
            </w:r>
          </w:p>
        </w:tc>
      </w:tr>
      <w:tr w:rsidTr="00036492" w:rsidR="00BC1B3F" w:rsidRPr="002436AE">
        <w:trPr>
          <w:trHeight w:val="486"/>
        </w:trPr>
        <w:tc>
          <w:tcPr>
            <w:tcW w:type="dxa" w:w="255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hideMark/>
          </w:tcPr>
          <w:p w:rsidRDefault="00BC1B3F" w:rsidP="001312FE" w:rsidR="00BC1B3F" w:rsidRPr="009675AD">
            <w:pPr>
              <w:widowControl/>
              <w:autoSpaceDE/>
              <w:autoSpaceDN/>
              <w:rPr>
                <w:rFonts w:eastAsia="Times New Roman"/>
                <w:sz w:val="36"/>
                <w:szCs w:val="36"/>
                <w:lang w:bidi="ar-SA"/>
              </w:rPr>
            </w:pPr>
            <w:r w:rsidRPr="009675AD">
              <w:rPr>
                <w:rFonts w:eastAsia="Times New Roman"/>
                <w:i/>
                <w:iCs/>
                <w:color w:themeColor="text1" w:val="000000"/>
                <w:kern w:val="24"/>
                <w:sz w:val="24"/>
                <w:szCs w:val="24"/>
                <w:lang w:bidi="ar-SA" w:val="en-GB"/>
              </w:rPr>
              <w:t>EBITDA %</w:t>
            </w:r>
          </w:p>
        </w:tc>
        <w:tc>
          <w:tcPr>
            <w:tcW w:type="dxa" w:w="1838"/>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vAlign w:val="center"/>
            <w:hideMark/>
          </w:tcPr>
          <w:p w:rsidRDefault="008043EF" w:rsidP="001312FE" w:rsidR="008043EF">
            <w:pPr>
              <w:widowControl/>
              <w:autoSpaceDE/>
              <w:autoSpaceDN/>
              <w:jc w:val="right"/>
              <w:rPr>
                <w:rFonts w:eastAsia="Times New Roman"/>
                <w:sz w:val="24"/>
                <w:szCs w:val="36"/>
                <w:lang w:bidi="ar-SA"/>
              </w:rPr>
            </w:pPr>
          </w:p>
          <w:p w:rsidRDefault="00BC1B3F" w:rsidP="001312FE" w:rsidR="00BC1B3F" w:rsidRPr="00977026">
            <w:pPr>
              <w:widowControl/>
              <w:autoSpaceDE/>
              <w:autoSpaceDN/>
              <w:jc w:val="right"/>
              <w:rPr>
                <w:rFonts w:eastAsia="Times New Roman"/>
                <w:sz w:val="24"/>
                <w:szCs w:val="36"/>
                <w:lang w:bidi="ar-SA"/>
              </w:rPr>
            </w:pPr>
            <w:r w:rsidRPr="00977026">
              <w:rPr>
                <w:rFonts w:eastAsia="Times New Roman"/>
                <w:sz w:val="24"/>
                <w:szCs w:val="36"/>
                <w:lang w:bidi="ar-SA"/>
              </w:rPr>
              <w:t>3</w:t>
            </w:r>
            <w:r w:rsidR="00AB1309">
              <w:rPr>
                <w:rFonts w:eastAsia="Times New Roman"/>
                <w:sz w:val="24"/>
                <w:szCs w:val="36"/>
                <w:lang w:bidi="ar-SA"/>
              </w:rPr>
              <w:t>,</w:t>
            </w:r>
            <w:r w:rsidRPr="00977026">
              <w:rPr>
                <w:rFonts w:eastAsia="Times New Roman"/>
                <w:sz w:val="24"/>
                <w:szCs w:val="36"/>
                <w:lang w:bidi="ar-SA"/>
              </w:rPr>
              <w:t>0%</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2436AE" w:rsidP="001312FE" w:rsidR="00BC1B3F" w:rsidRPr="002436AE">
            <w:pPr>
              <w:widowControl/>
              <w:autoSpaceDE/>
              <w:autoSpaceDN/>
              <w:jc w:val="right"/>
              <w:rPr>
                <w:rFonts w:eastAsia="Times New Roman"/>
                <w:sz w:val="24"/>
                <w:szCs w:val="24"/>
                <w:lang w:bidi="ar-SA"/>
              </w:rPr>
            </w:pPr>
            <w:r w:rsidRPr="002436AE">
              <w:rPr>
                <w:rFonts w:eastAsia="Times New Roman"/>
                <w:sz w:val="24"/>
                <w:szCs w:val="24"/>
                <w:lang w:bidi="ar-SA"/>
              </w:rPr>
              <w:t>16</w:t>
            </w:r>
            <w:r w:rsidR="009640BB">
              <w:rPr>
                <w:rFonts w:eastAsia="Times New Roman"/>
                <w:sz w:val="24"/>
                <w:szCs w:val="24"/>
                <w:lang w:bidi="ar-SA"/>
              </w:rPr>
              <w:t>,</w:t>
            </w:r>
            <w:r w:rsidRPr="002436AE">
              <w:rPr>
                <w:rFonts w:eastAsia="Times New Roman"/>
                <w:sz w:val="24"/>
                <w:szCs w:val="24"/>
                <w:lang w:bidi="ar-SA"/>
              </w:rPr>
              <w:t>7%</w:t>
            </w:r>
          </w:p>
        </w:tc>
        <w:tc>
          <w:tcPr>
            <w:tcW w:type="dxa" w:w="1697"/>
            <w:tcBorders>
              <w:top w:space="0" w:sz="8" w:color="000000" w:val="dotted"/>
              <w:left w:space="0" w:sz="8" w:color="000000" w:val="dotted"/>
              <w:bottom w:space="0" w:sz="8" w:color="000000" w:val="dotted"/>
              <w:right w:space="0" w:sz="8" w:color="000000" w:val="dotted"/>
            </w:tcBorders>
            <w:shd w:fill="auto" w:color="auto" w:val="clear"/>
            <w:tcMar>
              <w:top w:type="dxa" w:w="72"/>
              <w:left w:type="dxa" w:w="144"/>
              <w:bottom w:type="dxa" w:w="72"/>
              <w:right w:type="dxa" w:w="144"/>
            </w:tcMar>
          </w:tcPr>
          <w:p w:rsidRDefault="008043EF" w:rsidP="001312FE" w:rsidR="008043EF">
            <w:pPr>
              <w:widowControl/>
              <w:autoSpaceDE/>
              <w:autoSpaceDN/>
              <w:jc w:val="right"/>
              <w:rPr>
                <w:rFonts w:eastAsia="Times New Roman"/>
                <w:sz w:val="24"/>
                <w:szCs w:val="24"/>
                <w:lang w:bidi="ar-SA"/>
              </w:rPr>
            </w:pPr>
          </w:p>
          <w:p w:rsidRDefault="002436AE" w:rsidP="001312FE" w:rsidR="00BC1B3F" w:rsidRPr="002436AE">
            <w:pPr>
              <w:widowControl/>
              <w:autoSpaceDE/>
              <w:autoSpaceDN/>
              <w:jc w:val="right"/>
              <w:rPr>
                <w:rFonts w:eastAsia="Times New Roman"/>
                <w:sz w:val="24"/>
                <w:szCs w:val="24"/>
                <w:lang w:bidi="ar-SA"/>
              </w:rPr>
            </w:pPr>
            <w:r w:rsidRPr="002436AE">
              <w:rPr>
                <w:rFonts w:eastAsia="Times New Roman"/>
                <w:sz w:val="24"/>
                <w:szCs w:val="24"/>
                <w:lang w:bidi="ar-SA"/>
              </w:rPr>
              <w:t>7,4%</w:t>
            </w:r>
          </w:p>
        </w:tc>
      </w:tr>
    </w:tbl>
    <w:p w:rsidRDefault="00BC1B3F" w:rsidP="001312FE" w:rsidR="00BC1B3F">
      <w:pPr>
        <w:pStyle w:val="Tijeloteksta"/>
        <w:rPr>
          <w:sz w:val="26"/>
        </w:rPr>
      </w:pPr>
      <w:r>
        <w:rPr>
          <w:sz w:val="26"/>
        </w:rPr>
        <w:t xml:space="preserve">    </w:t>
      </w:r>
    </w:p>
    <w:p w:rsidRDefault="00BC1B3F" w:rsidP="001312FE" w:rsidR="00BC1B3F">
      <w:pPr>
        <w:pStyle w:val="Tijeloteksta"/>
        <w:rPr>
          <w:sz w:val="26"/>
        </w:rPr>
      </w:pPr>
      <w:r>
        <w:rPr>
          <w:sz w:val="26"/>
        </w:rPr>
        <w:t xml:space="preserve">    </w:t>
      </w:r>
    </w:p>
    <w:p w:rsidRDefault="00BC1B3F" w:rsidP="001312FE" w:rsidR="00BC1B3F">
      <w:pPr>
        <w:pStyle w:val="Tijeloteksta"/>
        <w:rPr>
          <w:sz w:val="26"/>
        </w:rPr>
      </w:pPr>
    </w:p>
    <w:p w:rsidRDefault="00BC1B3F" w:rsidP="001312FE" w:rsidR="00BC1B3F">
      <w:pPr>
        <w:pStyle w:val="Tijeloteksta"/>
        <w:rPr>
          <w:sz w:val="26"/>
        </w:rPr>
      </w:pPr>
    </w:p>
    <w:p w:rsidRDefault="00BC1B3F" w:rsidP="001312FE" w:rsidR="00BC1B3F">
      <w:pPr>
        <w:ind w:left="258"/>
        <w:rPr>
          <w:b/>
          <w:i/>
          <w:sz w:val="16"/>
        </w:rPr>
      </w:pPr>
      <w:r>
        <w:rPr>
          <w:sz w:val="16"/>
        </w:rPr>
        <w:t>*</w:t>
      </w:r>
      <w:r>
        <w:rPr>
          <w:b/>
          <w:i/>
          <w:sz w:val="16"/>
        </w:rPr>
        <w:t>NAPOMENA: Preliminarni rezultati</w:t>
      </w:r>
    </w:p>
    <w:p w:rsidRDefault="001D4987" w:rsidP="001312FE" w:rsidR="00BC1B3F">
      <w:pPr>
        <w:ind w:left="258"/>
        <w:rPr>
          <w:b/>
          <w:i/>
          <w:sz w:val="16"/>
        </w:rPr>
      </w:pPr>
      <w:r>
        <w:rPr>
          <w:noProof/>
          <w:lang w:bidi="ar-SA"/>
        </w:rPr>
        <w:pict>
          <v:rect o:bwmode="grayScale" fillcolor="window" strokeweight="2pt" strokecolor="#a6a6a6" o:spid="_x0000_s1027" id="Rectangle 6" style="position:absolute;left:0;text-align:left;margin-left:-6pt;margin-top:3.95pt;width:506.3pt;height:141.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v:textbox inset="2mm,1mm,2mm,1mm">
              <w:txbxContent>
                <w:p w:rsidRDefault="00CC3F8B" w:rsidP="00BC1B3F" w:rsidR="00CC3F8B" w:rsidRPr="009675AD">
                  <w:pPr>
                    <w:jc w:val="both"/>
                    <w:rPr>
                      <w:i/>
                    </w:rPr>
                  </w:pPr>
                  <w:r w:rsidRPr="009675AD">
                    <w:rPr>
                      <w:rFonts w:eastAsia="SimSun"/>
                      <w:i/>
                      <w:color w:val="000000"/>
                      <w:kern w:val="24"/>
                      <w:sz w:val="18"/>
                      <w:szCs w:val="18"/>
                    </w:rPr>
                    <w:t>Zbrojeni rezultati razdoblja (bez eliminacija međukompanijskih transakcija i konsolidacijskih usklada)</w:t>
                  </w:r>
                </w:p>
                <w:p w:rsidRDefault="00CC3F8B" w:rsidP="00BC1B3F" w:rsidR="00CC3F8B" w:rsidRPr="009675AD">
                  <w:pPr>
                    <w:jc w:val="both"/>
                    <w:rPr>
                      <w:i/>
                    </w:rPr>
                  </w:pPr>
                  <w:r w:rsidRPr="009675AD">
                    <w:rPr>
                      <w:rFonts w:eastAsia="SimSun"/>
                      <w:i/>
                      <w:color w:val="000000"/>
                      <w:kern w:val="24"/>
                      <w:sz w:val="18"/>
                      <w:szCs w:val="18"/>
                    </w:rPr>
                    <w:t>Prihodi uključuju prodaju roba i usluga (na domaćem i ino tržištu</w:t>
                  </w:r>
                  <w:r w:rsidRPr="009675AD">
                    <w:rPr>
                      <w:rFonts w:eastAsia="SimSun"/>
                      <w:i/>
                      <w:color w:themeColor="text1" w:val="000000"/>
                      <w:kern w:val="24"/>
                      <w:sz w:val="18"/>
                      <w:szCs w:val="18"/>
                    </w:rPr>
                    <w:t>); isključuj</w:t>
                  </w:r>
                  <w:r>
                    <w:rPr>
                      <w:rFonts w:eastAsia="SimSun"/>
                      <w:i/>
                      <w:color w:themeColor="text1" w:val="000000"/>
                      <w:kern w:val="24"/>
                      <w:sz w:val="18"/>
                      <w:szCs w:val="18"/>
                    </w:rPr>
                    <w:t>u</w:t>
                  </w:r>
                  <w:r w:rsidRPr="009675AD">
                    <w:rPr>
                      <w:rFonts w:eastAsia="SimSun"/>
                      <w:i/>
                      <w:color w:themeColor="text1" w:val="000000"/>
                      <w:kern w:val="24"/>
                      <w:sz w:val="18"/>
                      <w:szCs w:val="18"/>
                    </w:rPr>
                    <w:t xml:space="preserve"> prihode od usluga koje se ne odnose na redovne operativne aktivnosti</w:t>
                  </w:r>
                  <w:r>
                    <w:rPr>
                      <w:rFonts w:eastAsia="SimSun"/>
                      <w:i/>
                      <w:color w:themeColor="text1" w:val="000000"/>
                      <w:kern w:val="24"/>
                      <w:sz w:val="18"/>
                      <w:szCs w:val="18"/>
                    </w:rPr>
                    <w:t>.</w:t>
                  </w:r>
                </w:p>
                <w:p w:rsidRDefault="00CC3F8B" w:rsidP="00BC1B3F" w:rsidR="00CC3F8B" w:rsidRPr="009675AD">
                  <w:pPr>
                    <w:jc w:val="both"/>
                    <w:rPr>
                      <w:i/>
                    </w:rPr>
                  </w:pPr>
                  <w:r w:rsidRPr="009675AD">
                    <w:rPr>
                      <w:rFonts w:eastAsia="SimSun"/>
                      <w:i/>
                      <w:color w:themeColor="text1" w:val="000000"/>
                      <w:kern w:val="24"/>
                      <w:sz w:val="18"/>
                      <w:szCs w:val="18"/>
                    </w:rPr>
                    <w:t>EBITDA = EBIT + amortizacija+ ispravci i umanjenja vrijednosti + rezerviranja + naknade za upravljanje i restrukturiranje</w:t>
                  </w:r>
                </w:p>
                <w:p w:rsidRDefault="00CC3F8B" w:rsidP="00BC1B3F" w:rsidR="00CC3F8B">
                  <w:pPr>
                    <w:jc w:val="both"/>
                    <w:rPr>
                      <w:rFonts w:eastAsia="SimSun"/>
                      <w:i/>
                      <w:color w:themeColor="text1" w:val="000000"/>
                      <w:kern w:val="24"/>
                      <w:sz w:val="18"/>
                      <w:szCs w:val="18"/>
                    </w:rPr>
                  </w:pPr>
                  <w:r>
                    <w:rPr>
                      <w:rFonts w:eastAsia="SimSun"/>
                      <w:i/>
                      <w:color w:themeColor="text1" w:val="000000"/>
                      <w:kern w:val="24"/>
                      <w:sz w:val="18"/>
                      <w:szCs w:val="18"/>
                    </w:rPr>
                    <w:t>Izvor - izvještaji uprave</w:t>
                  </w:r>
                </w:p>
                <w:p w:rsidRDefault="00CC3F8B" w:rsidP="00BC1B3F" w:rsidR="00CC3F8B" w:rsidRPr="006123D6">
                  <w:pPr>
                    <w:jc w:val="both"/>
                    <w:rPr>
                      <w:rFonts w:eastAsia="SimSun"/>
                      <w:i/>
                      <w:color w:themeColor="text1" w:val="000000"/>
                      <w:kern w:val="24"/>
                      <w:sz w:val="18"/>
                      <w:szCs w:val="18"/>
                    </w:rPr>
                  </w:pPr>
                  <w:r w:rsidRPr="006123D6">
                    <w:rPr>
                      <w:rFonts w:eastAsia="SimSun"/>
                      <w:i/>
                      <w:color w:themeColor="text1" w:val="000000"/>
                      <w:kern w:val="24"/>
                      <w:sz w:val="18"/>
                      <w:szCs w:val="18"/>
                    </w:rPr>
                    <w:t>Preliminarni rezultati od početka godine do sada; rezultati za 2017. još nisu zaključeni – moguće su izmjene u bilančnim iznosima koji su korišteni za izračun ključnih financijski pokazatelja (KPI).</w:t>
                  </w:r>
                </w:p>
                <w:p w:rsidRDefault="00CC3F8B" w:rsidP="00BC1B3F" w:rsidR="00CC3F8B">
                  <w:pPr>
                    <w:jc w:val="both"/>
                    <w:rPr>
                      <w:rFonts w:eastAsia="SimSun"/>
                      <w:i/>
                      <w:color w:themeColor="text1" w:val="000000"/>
                      <w:kern w:val="24"/>
                      <w:sz w:val="18"/>
                      <w:szCs w:val="18"/>
                    </w:rPr>
                  </w:pPr>
                  <w:r w:rsidRPr="006123D6">
                    <w:rPr>
                      <w:rFonts w:eastAsia="SimSun"/>
                      <w:i/>
                      <w:color w:themeColor="text1" w:val="000000"/>
                      <w:kern w:val="24"/>
                      <w:sz w:val="18"/>
                      <w:szCs w:val="18"/>
                    </w:rPr>
                    <w:t>Prikazani podaci za 2017.nisu prepravljeni</w:t>
                  </w:r>
                  <w:r>
                    <w:rPr>
                      <w:rFonts w:eastAsia="SimSun"/>
                      <w:i/>
                      <w:color w:themeColor="text1" w:val="000000"/>
                      <w:kern w:val="24"/>
                      <w:sz w:val="18"/>
                      <w:szCs w:val="18"/>
                    </w:rPr>
                    <w:t>.</w:t>
                  </w:r>
                </w:p>
                <w:p w:rsidRDefault="00CC3F8B" w:rsidP="00BC1B3F" w:rsidR="00CC3F8B" w:rsidRPr="009675AD">
                  <w:pPr>
                    <w:jc w:val="both"/>
                    <w:rPr>
                      <w:i/>
                    </w:rPr>
                  </w:pPr>
                  <w:r w:rsidRPr="009675AD">
                    <w:rPr>
                      <w:rFonts w:eastAsia="SimSun"/>
                      <w:i/>
                      <w:color w:val="000000"/>
                      <w:kern w:val="24"/>
                      <w:sz w:val="18"/>
                      <w:szCs w:val="18"/>
                    </w:rPr>
                    <w:t>Prezentirani podaci o budžetu odnose se na:</w:t>
                  </w:r>
                </w:p>
                <w:p w:rsidRDefault="00CC3F8B" w:rsidP="00BC1B3F" w:rsidR="00CC3F8B"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zadnje odobrene budžete za 2018. godinu za kompanije iz Poslovne grupe Hrana</w:t>
                  </w:r>
                </w:p>
                <w:p w:rsidRDefault="00CC3F8B" w:rsidP="00BC1B3F" w:rsidR="00CC3F8B" w:rsidRPr="009675AD">
                  <w:pPr>
                    <w:widowControl/>
                    <w:numPr>
                      <w:ilvl w:val="0"/>
                      <w:numId w:val="36"/>
                    </w:numPr>
                    <w:autoSpaceDE/>
                    <w:autoSpaceDN/>
                    <w:contextualSpacing/>
                    <w:jc w:val="both"/>
                    <w:rPr>
                      <w:rFonts w:eastAsia="Times New Roman"/>
                      <w:i/>
                      <w:sz w:val="18"/>
                    </w:rPr>
                  </w:pPr>
                  <w:r w:rsidRPr="009675AD">
                    <w:rPr>
                      <w:rFonts w:eastAsia="SimSun"/>
                      <w:i/>
                      <w:color w:val="000000"/>
                      <w:kern w:val="24"/>
                      <w:sz w:val="18"/>
                      <w:szCs w:val="18"/>
                    </w:rPr>
                    <w:t xml:space="preserve">odobrene planove održivosti za 2018. godinu za kompanije iz Poslovne grupe Maloprodaja i veleprodaja te Poljoprivreda </w:t>
                  </w:r>
                </w:p>
                <w:p w:rsidRDefault="00CC3F8B" w:rsidP="00BC1B3F" w:rsidR="00CC3F8B" w:rsidRPr="009675AD">
                  <w:pPr>
                    <w:jc w:val="both"/>
                    <w:rPr>
                      <w:i/>
                    </w:rPr>
                  </w:pPr>
                  <w:r w:rsidRPr="009675AD">
                    <w:rPr>
                      <w:rFonts w:eastAsia="SimSun"/>
                      <w:i/>
                      <w:color w:val="000000"/>
                      <w:kern w:val="24"/>
                      <w:sz w:val="18"/>
                      <w:szCs w:val="18"/>
                    </w:rPr>
                    <w:t xml:space="preserve">Pripremljena je mjesečna alokacija budžeta za 2018. </w:t>
                  </w:r>
                  <w:r>
                    <w:rPr>
                      <w:rFonts w:eastAsia="SimSun"/>
                      <w:i/>
                      <w:color w:val="000000"/>
                      <w:kern w:val="24"/>
                      <w:sz w:val="18"/>
                      <w:szCs w:val="18"/>
                    </w:rPr>
                    <w:t>g</w:t>
                  </w:r>
                  <w:r w:rsidRPr="009675AD">
                    <w:rPr>
                      <w:rFonts w:eastAsia="SimSun"/>
                      <w:i/>
                      <w:color w:val="000000"/>
                      <w:kern w:val="24"/>
                      <w:sz w:val="18"/>
                      <w:szCs w:val="18"/>
                    </w:rPr>
                    <w:t>odinu</w:t>
                  </w:r>
                  <w:r>
                    <w:rPr>
                      <w:rFonts w:eastAsia="SimSun"/>
                      <w:i/>
                      <w:color w:val="000000"/>
                      <w:kern w:val="24"/>
                      <w:sz w:val="18"/>
                      <w:szCs w:val="18"/>
                    </w:rPr>
                    <w:t>.</w:t>
                  </w:r>
                </w:p>
              </w:txbxContent>
            </v:textbox>
          </v:rect>
        </w:pict>
      </w:r>
    </w:p>
    <w:p w:rsidRDefault="00BC1B3F" w:rsidP="001312FE" w:rsidR="00BC1B3F">
      <w:pPr>
        <w:ind w:left="258"/>
        <w:rPr>
          <w:b/>
          <w:i/>
          <w:sz w:val="16"/>
        </w:rPr>
      </w:pPr>
    </w:p>
    <w:p w:rsidRDefault="001D4987" w:rsidP="001312FE" w:rsidR="00BC1B3F">
      <w:pPr>
        <w:spacing w:before="1"/>
        <w:rPr>
          <w:sz w:val="16"/>
        </w:rPr>
        <w:sectPr w:rsidSect="001312FE" w:rsidR="00BC1B3F">
          <w:headerReference w:type="default" r:id="rId12"/>
          <w:footerReference w:type="default" r:id="rId13"/>
          <w:pgSz w:code="9" w:h="16840" w:w="11910"/>
          <w:pgMar w:gutter="0" w:footer="1316" w:header="709" w:left="1160" w:bottom="1560" w:right="860" w:top="1680"/>
          <w:cols w:space="720"/>
        </w:sectPr>
      </w:pPr>
      <w:r>
        <w:rPr>
          <w:noProof/>
          <w:sz w:val="26"/>
          <w:lang w:bidi="ar-SA"/>
        </w:rPr>
        <w:pict>
          <v:shape filled="f" strokeweight="2pt" strokecolor="#a6a6a6" o:spid="_x0000_s1028" id="Text Box 42" style="position:absolute;margin-left:-5.45pt;margin-top:141.75pt;width:505.8pt;height:156.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
            <v:textbox inset="0,0,0,0">
              <w:txbxContent>
                <w:p w:rsidRDefault="00CC3F8B" w:rsidP="00BC1B3F" w:rsidR="00CC3F8B">
                  <w:pPr>
                    <w:spacing w:before="8"/>
                    <w:rPr>
                      <w:sz w:val="23"/>
                    </w:rPr>
                  </w:pPr>
                </w:p>
                <w:p w:rsidRDefault="00CC3F8B" w:rsidP="00BC1B3F" w:rsidR="00CC3F8B">
                  <w:pPr>
                    <w:numPr>
                      <w:ilvl w:val="0"/>
                      <w:numId w:val="35"/>
                    </w:numPr>
                    <w:tabs>
                      <w:tab w:pos="832" w:val="left"/>
                      <w:tab w:pos="833" w:val="left"/>
                    </w:tabs>
                    <w:rPr>
                      <w:sz w:val="20"/>
                    </w:rPr>
                  </w:pPr>
                  <w:r>
                    <w:rPr>
                      <w:b/>
                      <w:sz w:val="20"/>
                      <w:u w:val="thick"/>
                    </w:rPr>
                    <w:t>Maloprodaja i veleprodaja</w:t>
                  </w:r>
                  <w:r>
                    <w:rPr>
                      <w:b/>
                      <w:sz w:val="20"/>
                    </w:rPr>
                    <w:t xml:space="preserve"> </w:t>
                  </w:r>
                  <w:r>
                    <w:rPr>
                      <w:sz w:val="20"/>
                    </w:rPr>
                    <w:t>uključuje zbrojene rezultate</w:t>
                  </w:r>
                  <w:r>
                    <w:rPr>
                      <w:spacing w:val="-4"/>
                      <w:sz w:val="20"/>
                    </w:rPr>
                    <w:t xml:space="preserve"> </w:t>
                  </w:r>
                  <w:r>
                    <w:rPr>
                      <w:sz w:val="20"/>
                    </w:rPr>
                    <w:t>četiri kompanije:</w:t>
                  </w:r>
                </w:p>
                <w:p w:rsidRDefault="00CC3F8B" w:rsidP="00BC1B3F" w:rsidR="00CC3F8B">
                  <w:pPr>
                    <w:numPr>
                      <w:ilvl w:val="1"/>
                      <w:numId w:val="35"/>
                    </w:numPr>
                    <w:tabs>
                      <w:tab w:pos="1552" w:val="left"/>
                      <w:tab w:pos="1553" w:val="left"/>
                    </w:tabs>
                    <w:spacing w:before="3"/>
                    <w:rPr>
                      <w:sz w:val="20"/>
                    </w:rPr>
                  </w:pPr>
                  <w:r>
                    <w:rPr>
                      <w:sz w:val="20"/>
                    </w:rPr>
                    <w:t>Maloprodaja: Konzum Hrvatska, Tisak, Konzum</w:t>
                  </w:r>
                  <w:r>
                    <w:rPr>
                      <w:spacing w:val="3"/>
                      <w:sz w:val="20"/>
                    </w:rPr>
                    <w:t xml:space="preserve"> </w:t>
                  </w:r>
                  <w:r>
                    <w:rPr>
                      <w:sz w:val="20"/>
                    </w:rPr>
                    <w:t>BiH</w:t>
                  </w:r>
                </w:p>
                <w:p w:rsidRDefault="00CC3F8B" w:rsidP="00BC1B3F" w:rsidR="00CC3F8B">
                  <w:pPr>
                    <w:numPr>
                      <w:ilvl w:val="1"/>
                      <w:numId w:val="35"/>
                    </w:numPr>
                    <w:tabs>
                      <w:tab w:pos="1552" w:val="left"/>
                      <w:tab w:pos="1553" w:val="left"/>
                    </w:tabs>
                    <w:spacing w:lineRule="exact" w:line="229"/>
                    <w:rPr>
                      <w:sz w:val="20"/>
                    </w:rPr>
                  </w:pPr>
                  <w:r>
                    <w:rPr>
                      <w:sz w:val="20"/>
                    </w:rPr>
                    <w:t>Veleprodaja: Velpro</w:t>
                  </w:r>
                  <w:r>
                    <w:rPr>
                      <w:spacing w:val="-1"/>
                      <w:sz w:val="20"/>
                    </w:rPr>
                    <w:t xml:space="preserve"> </w:t>
                  </w:r>
                  <w:r>
                    <w:rPr>
                      <w:sz w:val="20"/>
                    </w:rPr>
                    <w:t>centar</w:t>
                  </w:r>
                </w:p>
                <w:p w:rsidRDefault="00CC3F8B" w:rsidP="00BC1B3F" w:rsidR="00CC3F8B">
                  <w:pPr>
                    <w:tabs>
                      <w:tab w:pos="1552" w:val="left"/>
                      <w:tab w:pos="1553" w:val="left"/>
                    </w:tabs>
                    <w:spacing w:lineRule="exact" w:line="229"/>
                    <w:ind w:left="1552"/>
                    <w:rPr>
                      <w:sz w:val="20"/>
                    </w:rPr>
                  </w:pPr>
                </w:p>
                <w:p w:rsidRDefault="00CC3F8B" w:rsidP="00BC1B3F" w:rsidR="00CC3F8B">
                  <w:pPr>
                    <w:numPr>
                      <w:ilvl w:val="0"/>
                      <w:numId w:val="35"/>
                    </w:numPr>
                    <w:tabs>
                      <w:tab w:pos="832" w:val="left"/>
                      <w:tab w:pos="833" w:val="left"/>
                    </w:tabs>
                    <w:spacing w:lineRule="exact" w:line="229"/>
                    <w:rPr>
                      <w:sz w:val="20"/>
                    </w:rPr>
                  </w:pPr>
                  <w:r>
                    <w:rPr>
                      <w:b/>
                      <w:sz w:val="20"/>
                      <w:u w:val="thick"/>
                    </w:rPr>
                    <w:t>Prehrana</w:t>
                  </w:r>
                  <w:r>
                    <w:rPr>
                      <w:b/>
                      <w:sz w:val="20"/>
                    </w:rPr>
                    <w:t xml:space="preserve"> </w:t>
                  </w:r>
                  <w:r>
                    <w:rPr>
                      <w:sz w:val="20"/>
                    </w:rPr>
                    <w:t>uključuje zbrojene rezultate</w:t>
                  </w:r>
                  <w:r>
                    <w:rPr>
                      <w:spacing w:val="2"/>
                      <w:sz w:val="20"/>
                    </w:rPr>
                    <w:t xml:space="preserve"> </w:t>
                  </w:r>
                  <w:r>
                    <w:rPr>
                      <w:sz w:val="20"/>
                    </w:rPr>
                    <w:t>devet kompanija:</w:t>
                  </w:r>
                </w:p>
                <w:p w:rsidRDefault="00CC3F8B" w:rsidP="00BC1B3F" w:rsidR="00CC3F8B">
                  <w:pPr>
                    <w:numPr>
                      <w:ilvl w:val="1"/>
                      <w:numId w:val="35"/>
                    </w:numPr>
                    <w:tabs>
                      <w:tab w:pos="1552" w:val="left"/>
                      <w:tab w:pos="1553" w:val="left"/>
                    </w:tabs>
                    <w:spacing w:before="1"/>
                    <w:rPr>
                      <w:sz w:val="20"/>
                    </w:rPr>
                  </w:pPr>
                  <w:r>
                    <w:rPr>
                      <w:sz w:val="20"/>
                    </w:rPr>
                    <w:t>Pića – Jamnica, Roto dinamic, Sarajevski</w:t>
                  </w:r>
                  <w:r>
                    <w:rPr>
                      <w:spacing w:val="-6"/>
                      <w:sz w:val="20"/>
                    </w:rPr>
                    <w:t xml:space="preserve"> </w:t>
                  </w:r>
                  <w:r>
                    <w:rPr>
                      <w:sz w:val="20"/>
                    </w:rPr>
                    <w:t>kiseljak</w:t>
                  </w:r>
                </w:p>
                <w:p w:rsidRDefault="00CC3F8B" w:rsidP="00BC1B3F" w:rsidR="00CC3F8B">
                  <w:pPr>
                    <w:numPr>
                      <w:ilvl w:val="1"/>
                      <w:numId w:val="35"/>
                    </w:numPr>
                    <w:tabs>
                      <w:tab w:pos="1552" w:val="left"/>
                      <w:tab w:pos="1553" w:val="left"/>
                    </w:tabs>
                    <w:rPr>
                      <w:sz w:val="20"/>
                    </w:rPr>
                  </w:pPr>
                  <w:r>
                    <w:rPr>
                      <w:sz w:val="20"/>
                    </w:rPr>
                    <w:t>Sladoled i smrznuta hrana – Ledo, Frikom, Ledo</w:t>
                  </w:r>
                  <w:r>
                    <w:rPr>
                      <w:spacing w:val="-6"/>
                      <w:sz w:val="20"/>
                    </w:rPr>
                    <w:t xml:space="preserve"> </w:t>
                  </w:r>
                  <w:r>
                    <w:rPr>
                      <w:sz w:val="20"/>
                    </w:rPr>
                    <w:t>Čitluk</w:t>
                  </w:r>
                </w:p>
                <w:p w:rsidRDefault="00CC3F8B" w:rsidP="00BC1B3F" w:rsidR="00CC3F8B">
                  <w:pPr>
                    <w:numPr>
                      <w:ilvl w:val="1"/>
                      <w:numId w:val="35"/>
                    </w:numPr>
                    <w:tabs>
                      <w:tab w:pos="1552" w:val="left"/>
                      <w:tab w:pos="1553" w:val="left"/>
                    </w:tabs>
                    <w:spacing w:before="1"/>
                    <w:rPr>
                      <w:sz w:val="20"/>
                    </w:rPr>
                  </w:pPr>
                  <w:r>
                    <w:rPr>
                      <w:sz w:val="20"/>
                    </w:rPr>
                    <w:t>Ulje – Zvijezda,</w:t>
                  </w:r>
                  <w:r>
                    <w:rPr>
                      <w:spacing w:val="-4"/>
                      <w:sz w:val="20"/>
                    </w:rPr>
                    <w:t xml:space="preserve"> </w:t>
                  </w:r>
                  <w:r>
                    <w:rPr>
                      <w:sz w:val="20"/>
                    </w:rPr>
                    <w:t>Dijamant</w:t>
                  </w:r>
                </w:p>
                <w:p w:rsidRDefault="00CC3F8B" w:rsidP="00BC1B3F" w:rsidR="00CC3F8B">
                  <w:pPr>
                    <w:numPr>
                      <w:ilvl w:val="1"/>
                      <w:numId w:val="35"/>
                    </w:numPr>
                    <w:tabs>
                      <w:tab w:pos="1552" w:val="left"/>
                      <w:tab w:pos="1553" w:val="left"/>
                    </w:tabs>
                    <w:spacing w:lineRule="exact" w:line="229" w:before="1"/>
                    <w:rPr>
                      <w:sz w:val="20"/>
                    </w:rPr>
                  </w:pPr>
                  <w:r>
                    <w:rPr>
                      <w:sz w:val="20"/>
                    </w:rPr>
                    <w:t>Meso – PIK Vrbovec</w:t>
                  </w:r>
                </w:p>
                <w:p w:rsidRDefault="00CC3F8B" w:rsidP="00BC1B3F" w:rsidR="00CC3F8B">
                  <w:pPr>
                    <w:tabs>
                      <w:tab w:pos="1552" w:val="left"/>
                      <w:tab w:pos="1553" w:val="left"/>
                    </w:tabs>
                    <w:spacing w:lineRule="exact" w:line="229" w:before="1"/>
                    <w:ind w:left="1552"/>
                    <w:rPr>
                      <w:sz w:val="20"/>
                    </w:rPr>
                  </w:pPr>
                </w:p>
                <w:p w:rsidRDefault="00CC3F8B" w:rsidP="00BC1B3F" w:rsidR="00CC3F8B">
                  <w:pPr>
                    <w:numPr>
                      <w:ilvl w:val="0"/>
                      <w:numId w:val="35"/>
                    </w:numPr>
                    <w:tabs>
                      <w:tab w:pos="832" w:val="left"/>
                      <w:tab w:pos="833" w:val="left"/>
                    </w:tabs>
                    <w:spacing w:lineRule="exact" w:line="229"/>
                    <w:rPr>
                      <w:sz w:val="20"/>
                    </w:rPr>
                  </w:pPr>
                  <w:r>
                    <w:rPr>
                      <w:b/>
                      <w:sz w:val="20"/>
                      <w:u w:val="thick"/>
                    </w:rPr>
                    <w:t>Poljoprivreda</w:t>
                  </w:r>
                  <w:r>
                    <w:rPr>
                      <w:b/>
                      <w:sz w:val="20"/>
                    </w:rPr>
                    <w:t xml:space="preserve"> </w:t>
                  </w:r>
                  <w:r>
                    <w:rPr>
                      <w:sz w:val="20"/>
                    </w:rPr>
                    <w:t>uključuje zbrojene rezultate tri kompanije:</w:t>
                  </w:r>
                </w:p>
                <w:p w:rsidRDefault="00CC3F8B" w:rsidP="00BC1B3F" w:rsidR="00CC3F8B">
                  <w:pPr>
                    <w:numPr>
                      <w:ilvl w:val="1"/>
                      <w:numId w:val="35"/>
                    </w:numPr>
                    <w:tabs>
                      <w:tab w:pos="1552" w:val="left"/>
                      <w:tab w:pos="1553" w:val="left"/>
                    </w:tabs>
                    <w:spacing w:before="3"/>
                    <w:rPr>
                      <w:sz w:val="20"/>
                    </w:rPr>
                  </w:pPr>
                  <w:r>
                    <w:rPr>
                      <w:sz w:val="20"/>
                    </w:rPr>
                    <w:t xml:space="preserve">Belje, PIK Vinkovci i Vupik </w:t>
                  </w:r>
                </w:p>
              </w:txbxContent>
            </v:textbox>
            <w10:wrap type="topAndBottom"/>
          </v:shape>
        </w:pict>
      </w:r>
    </w:p>
    <w:p w:rsidRDefault="00BC1B3F" w:rsidP="001312FE" w:rsidR="00BC1B3F">
      <w:pPr>
        <w:pStyle w:val="Tijeloteksta"/>
        <w:spacing w:before="4"/>
        <w:rPr>
          <w:sz w:val="12"/>
        </w:rPr>
      </w:pPr>
    </w:p>
    <w:p w:rsidRDefault="00BC1B3F" w:rsidP="001312FE" w:rsidR="00BC1B3F">
      <w:pPr>
        <w:spacing w:lineRule="auto" w:line="278"/>
        <w:ind w:left="255"/>
        <w:jc w:val="both"/>
        <w:rPr>
          <w:sz w:val="24"/>
          <w:szCs w:val="24"/>
        </w:rPr>
      </w:pPr>
    </w:p>
    <w:p w:rsidRDefault="002F5638" w:rsidP="001312FE" w:rsidR="006B3CB0">
      <w:pPr>
        <w:spacing w:lineRule="auto" w:line="278"/>
        <w:ind w:left="255"/>
        <w:jc w:val="both"/>
        <w:rPr>
          <w:sz w:val="24"/>
          <w:szCs w:val="24"/>
        </w:rPr>
      </w:pPr>
      <w:r w:rsidRPr="002F5638">
        <w:rPr>
          <w:sz w:val="24"/>
          <w:szCs w:val="24"/>
        </w:rPr>
        <w:t>Grupa Agrokor u sklopu ovog izvještaja uključuje 16 kompanija u tri poslovna segmenta; Maloprodaja i veleprodaja</w:t>
      </w:r>
      <w:r>
        <w:rPr>
          <w:sz w:val="24"/>
          <w:szCs w:val="24"/>
        </w:rPr>
        <w:t xml:space="preserve">, </w:t>
      </w:r>
      <w:r w:rsidR="000262A5">
        <w:rPr>
          <w:sz w:val="24"/>
          <w:szCs w:val="24"/>
        </w:rPr>
        <w:t>Preh</w:t>
      </w:r>
      <w:r>
        <w:rPr>
          <w:sz w:val="24"/>
          <w:szCs w:val="24"/>
        </w:rPr>
        <w:t>rana i Poljoprivreda.</w:t>
      </w:r>
      <w:r w:rsidRPr="002F5638">
        <w:rPr>
          <w:sz w:val="24"/>
          <w:szCs w:val="24"/>
        </w:rPr>
        <w:t xml:space="preserve"> </w:t>
      </w:r>
      <w:r w:rsidR="006B3CB0">
        <w:rPr>
          <w:sz w:val="24"/>
          <w:szCs w:val="24"/>
        </w:rPr>
        <w:t>Iako se na nivou Grupe Agrok</w:t>
      </w:r>
      <w:r>
        <w:rPr>
          <w:sz w:val="24"/>
          <w:szCs w:val="24"/>
        </w:rPr>
        <w:t>or</w:t>
      </w:r>
      <w:r w:rsidR="006B3CB0">
        <w:rPr>
          <w:sz w:val="24"/>
          <w:szCs w:val="24"/>
        </w:rPr>
        <w:t xml:space="preserve"> bilježe </w:t>
      </w:r>
      <w:r>
        <w:rPr>
          <w:sz w:val="24"/>
          <w:szCs w:val="24"/>
        </w:rPr>
        <w:t xml:space="preserve">6% manji prihodi od planiranih, EBITDA je veća za 21 milijuna kuna u odnosu na plan čemu je najvećim dijelom doprinjelo povećanje profitabilnosti maloprodaje u odnosu na zadane planove. </w:t>
      </w:r>
    </w:p>
    <w:p w:rsidRDefault="002F5638" w:rsidP="001312FE" w:rsidR="002F5638">
      <w:pPr>
        <w:spacing w:lineRule="auto" w:line="278"/>
        <w:ind w:left="255"/>
        <w:jc w:val="both"/>
        <w:rPr>
          <w:sz w:val="24"/>
          <w:szCs w:val="24"/>
        </w:rPr>
      </w:pPr>
    </w:p>
    <w:p w:rsidRDefault="00BC1B3F" w:rsidP="001312FE" w:rsidR="00BC1B3F">
      <w:pPr>
        <w:spacing w:lineRule="auto" w:line="278"/>
        <w:ind w:left="255"/>
        <w:jc w:val="both"/>
        <w:rPr>
          <w:sz w:val="24"/>
          <w:szCs w:val="24"/>
        </w:rPr>
      </w:pPr>
      <w:r w:rsidRPr="00A36FF9">
        <w:rPr>
          <w:sz w:val="24"/>
          <w:szCs w:val="24"/>
        </w:rPr>
        <w:t xml:space="preserve">Poslovna grupa </w:t>
      </w:r>
      <w:r>
        <w:rPr>
          <w:sz w:val="24"/>
          <w:szCs w:val="24"/>
        </w:rPr>
        <w:t>M</w:t>
      </w:r>
      <w:r w:rsidRPr="00A36FF9">
        <w:rPr>
          <w:sz w:val="24"/>
          <w:szCs w:val="24"/>
        </w:rPr>
        <w:t>aloprodaj</w:t>
      </w:r>
      <w:r>
        <w:rPr>
          <w:sz w:val="24"/>
          <w:szCs w:val="24"/>
        </w:rPr>
        <w:t>a i veleprodaja</w:t>
      </w:r>
      <w:r w:rsidRPr="00A36FF9">
        <w:rPr>
          <w:sz w:val="24"/>
          <w:szCs w:val="24"/>
        </w:rPr>
        <w:t xml:space="preserve"> </w:t>
      </w:r>
      <w:r>
        <w:rPr>
          <w:sz w:val="24"/>
          <w:szCs w:val="24"/>
        </w:rPr>
        <w:t xml:space="preserve">iz mjeseca u mjesec </w:t>
      </w:r>
      <w:r w:rsidRPr="00A36FF9">
        <w:rPr>
          <w:sz w:val="24"/>
          <w:szCs w:val="24"/>
        </w:rPr>
        <w:t xml:space="preserve">pokazuje </w:t>
      </w:r>
      <w:r>
        <w:rPr>
          <w:sz w:val="24"/>
          <w:szCs w:val="24"/>
        </w:rPr>
        <w:t xml:space="preserve">poboljšanje poslovnih </w:t>
      </w:r>
      <w:r w:rsidRPr="00A36FF9">
        <w:rPr>
          <w:sz w:val="24"/>
          <w:szCs w:val="24"/>
        </w:rPr>
        <w:t>rezultat</w:t>
      </w:r>
      <w:r>
        <w:rPr>
          <w:sz w:val="24"/>
          <w:szCs w:val="24"/>
        </w:rPr>
        <w:t>a.</w:t>
      </w:r>
      <w:r w:rsidRPr="00603423">
        <w:t xml:space="preserve"> </w:t>
      </w:r>
      <w:r>
        <w:t>U</w:t>
      </w:r>
      <w:r w:rsidRPr="00603423">
        <w:rPr>
          <w:sz w:val="24"/>
          <w:szCs w:val="24"/>
        </w:rPr>
        <w:t xml:space="preserve">činci procesa restrukturiranja i </w:t>
      </w:r>
      <w:r>
        <w:rPr>
          <w:sz w:val="24"/>
          <w:szCs w:val="24"/>
        </w:rPr>
        <w:t xml:space="preserve">fokusa na </w:t>
      </w:r>
      <w:r w:rsidRPr="00603423">
        <w:rPr>
          <w:sz w:val="24"/>
          <w:szCs w:val="24"/>
        </w:rPr>
        <w:t>povećanj</w:t>
      </w:r>
      <w:r>
        <w:rPr>
          <w:sz w:val="24"/>
          <w:szCs w:val="24"/>
        </w:rPr>
        <w:t xml:space="preserve">e profitabilnosti vidljivi su kroz smanjenje operativnih troškova. </w:t>
      </w:r>
      <w:r w:rsidRPr="00A36FF9">
        <w:rPr>
          <w:sz w:val="24"/>
          <w:szCs w:val="24"/>
        </w:rPr>
        <w:t>Sve tvrtke u poslovnoj skupini</w:t>
      </w:r>
      <w:r>
        <w:rPr>
          <w:sz w:val="24"/>
          <w:szCs w:val="24"/>
        </w:rPr>
        <w:t xml:space="preserve"> m</w:t>
      </w:r>
      <w:r w:rsidRPr="00977026">
        <w:rPr>
          <w:sz w:val="24"/>
          <w:szCs w:val="24"/>
        </w:rPr>
        <w:t>aloprodaja i veleprodaja</w:t>
      </w:r>
      <w:r w:rsidRPr="00A36FF9">
        <w:rPr>
          <w:sz w:val="24"/>
          <w:szCs w:val="24"/>
        </w:rPr>
        <w:t xml:space="preserve"> </w:t>
      </w:r>
      <w:r w:rsidR="00A40807" w:rsidRPr="00A40807">
        <w:rPr>
          <w:sz w:val="24"/>
          <w:szCs w:val="24"/>
        </w:rPr>
        <w:t xml:space="preserve">u srpnju </w:t>
      </w:r>
      <w:r w:rsidR="00A40807">
        <w:rPr>
          <w:sz w:val="24"/>
          <w:szCs w:val="24"/>
        </w:rPr>
        <w:t xml:space="preserve">su </w:t>
      </w:r>
      <w:r>
        <w:rPr>
          <w:sz w:val="24"/>
          <w:szCs w:val="24"/>
        </w:rPr>
        <w:t>realizirale pozitivnu</w:t>
      </w:r>
      <w:r w:rsidR="00A40807">
        <w:rPr>
          <w:sz w:val="24"/>
          <w:szCs w:val="24"/>
        </w:rPr>
        <w:t>,</w:t>
      </w:r>
      <w:r>
        <w:rPr>
          <w:sz w:val="24"/>
          <w:szCs w:val="24"/>
        </w:rPr>
        <w:t xml:space="preserve"> </w:t>
      </w:r>
      <w:r w:rsidR="00A40807" w:rsidRPr="00A40807">
        <w:rPr>
          <w:sz w:val="24"/>
          <w:szCs w:val="24"/>
        </w:rPr>
        <w:t>a većina i</w:t>
      </w:r>
      <w:r w:rsidR="00A40807" w:rsidRPr="00A40807">
        <w:t xml:space="preserve"> </w:t>
      </w:r>
      <w:r w:rsidR="00A40807" w:rsidRPr="00A40807">
        <w:rPr>
          <w:sz w:val="24"/>
          <w:szCs w:val="24"/>
        </w:rPr>
        <w:t>EBITDA iznad plana</w:t>
      </w:r>
      <w:r w:rsidRPr="00A36FF9">
        <w:rPr>
          <w:sz w:val="24"/>
          <w:szCs w:val="24"/>
        </w:rPr>
        <w:t xml:space="preserve">. </w:t>
      </w:r>
      <w:r>
        <w:rPr>
          <w:sz w:val="24"/>
          <w:szCs w:val="24"/>
        </w:rPr>
        <w:t>Prihodi ostvareni u</w:t>
      </w:r>
      <w:r w:rsidRPr="00A36FF9">
        <w:rPr>
          <w:sz w:val="24"/>
          <w:szCs w:val="24"/>
        </w:rPr>
        <w:t xml:space="preserve"> kumulativnom razdoblju su nešto niži </w:t>
      </w:r>
      <w:r>
        <w:rPr>
          <w:sz w:val="24"/>
          <w:szCs w:val="24"/>
        </w:rPr>
        <w:t>od plana.</w:t>
      </w:r>
      <w:r w:rsidRPr="00A36FF9">
        <w:rPr>
          <w:sz w:val="24"/>
          <w:szCs w:val="24"/>
        </w:rPr>
        <w:t xml:space="preserve"> </w:t>
      </w:r>
      <w:r>
        <w:rPr>
          <w:sz w:val="24"/>
          <w:szCs w:val="24"/>
        </w:rPr>
        <w:t>Iako su ostvareni p</w:t>
      </w:r>
      <w:r w:rsidRPr="00A36FF9">
        <w:rPr>
          <w:sz w:val="24"/>
          <w:szCs w:val="24"/>
        </w:rPr>
        <w:t>rihodi niži od planiranih</w:t>
      </w:r>
      <w:r>
        <w:rPr>
          <w:sz w:val="24"/>
          <w:szCs w:val="24"/>
        </w:rPr>
        <w:t xml:space="preserve">, </w:t>
      </w:r>
      <w:r w:rsidRPr="0051334E">
        <w:rPr>
          <w:sz w:val="24"/>
          <w:szCs w:val="24"/>
        </w:rPr>
        <w:t>kontinuirano smanjenj</w:t>
      </w:r>
      <w:r>
        <w:rPr>
          <w:sz w:val="24"/>
          <w:szCs w:val="24"/>
        </w:rPr>
        <w:t>e</w:t>
      </w:r>
      <w:r w:rsidRPr="0051334E">
        <w:rPr>
          <w:sz w:val="24"/>
          <w:szCs w:val="24"/>
        </w:rPr>
        <w:t xml:space="preserve"> operativnih troškova</w:t>
      </w:r>
      <w:r>
        <w:rPr>
          <w:sz w:val="24"/>
          <w:szCs w:val="24"/>
        </w:rPr>
        <w:t xml:space="preserve"> rezultiralo je EBITDA-om koja je na razini poslovn</w:t>
      </w:r>
      <w:r w:rsidR="00A76210">
        <w:rPr>
          <w:sz w:val="24"/>
          <w:szCs w:val="24"/>
        </w:rPr>
        <w:t>e</w:t>
      </w:r>
      <w:r>
        <w:rPr>
          <w:sz w:val="24"/>
          <w:szCs w:val="24"/>
        </w:rPr>
        <w:t xml:space="preserve"> grupa m</w:t>
      </w:r>
      <w:r w:rsidRPr="00977026">
        <w:rPr>
          <w:sz w:val="24"/>
          <w:szCs w:val="24"/>
        </w:rPr>
        <w:t xml:space="preserve">aloprodaja i veleprodaja </w:t>
      </w:r>
      <w:r>
        <w:rPr>
          <w:sz w:val="24"/>
          <w:szCs w:val="24"/>
        </w:rPr>
        <w:t>iznad plana</w:t>
      </w:r>
      <w:r w:rsidRPr="00A36FF9">
        <w:rPr>
          <w:sz w:val="24"/>
          <w:szCs w:val="24"/>
        </w:rPr>
        <w:t>.</w:t>
      </w:r>
    </w:p>
    <w:p w:rsidRDefault="00183192" w:rsidP="001312FE" w:rsidR="00183192">
      <w:pPr>
        <w:spacing w:lineRule="auto" w:line="278"/>
        <w:ind w:left="255"/>
        <w:jc w:val="both"/>
        <w:rPr>
          <w:sz w:val="24"/>
          <w:szCs w:val="24"/>
        </w:rPr>
      </w:pPr>
    </w:p>
    <w:p w:rsidRDefault="00A40807" w:rsidP="001312FE" w:rsidR="00183192">
      <w:pPr>
        <w:spacing w:lineRule="auto" w:line="278"/>
        <w:ind w:left="255"/>
        <w:jc w:val="both"/>
        <w:rPr>
          <w:sz w:val="24"/>
          <w:szCs w:val="24"/>
        </w:rPr>
      </w:pPr>
      <w:r>
        <w:rPr>
          <w:sz w:val="24"/>
          <w:szCs w:val="24"/>
        </w:rPr>
        <w:t>U</w:t>
      </w:r>
      <w:r w:rsidRPr="00A40807">
        <w:rPr>
          <w:sz w:val="24"/>
          <w:szCs w:val="24"/>
        </w:rPr>
        <w:t xml:space="preserve"> srpnju </w:t>
      </w:r>
      <w:r>
        <w:rPr>
          <w:sz w:val="24"/>
          <w:szCs w:val="24"/>
        </w:rPr>
        <w:t>su n</w:t>
      </w:r>
      <w:r w:rsidR="00183192" w:rsidRPr="00183192">
        <w:rPr>
          <w:sz w:val="24"/>
          <w:szCs w:val="24"/>
        </w:rPr>
        <w:t xml:space="preserve">epovoljne vremenske prilike utjecale na rezultate poslovne grupe </w:t>
      </w:r>
      <w:r w:rsidR="000262A5">
        <w:rPr>
          <w:sz w:val="24"/>
          <w:szCs w:val="24"/>
        </w:rPr>
        <w:t>Preh</w:t>
      </w:r>
      <w:r w:rsidR="00183192" w:rsidRPr="00183192">
        <w:rPr>
          <w:sz w:val="24"/>
          <w:szCs w:val="24"/>
        </w:rPr>
        <w:t>rana koji su ispod planiranih, što je posebno izraženo kod segmenata Pića i Smrznuta hrana gdje je sezonalnost velika, a utjecaj vremenskih prilika značajan. Ostvareni prihodi od prodaje segmenta Ulje su iznad planiranih, dok je EBITDA ispod plana kao rezultat povećanih fiksnih troškova zbog godišnjeg remonta tvornice Dijamanta. Mjesec srpanj je po prihodu i EBITDA izrazito uspješan mjesec za Zvijezdu. Segment Meso nastavlja trend ostvarenja boljih operativnih rezultata (EBITDA) od plana zbog povećanja operativne efikasno</w:t>
      </w:r>
      <w:r w:rsidR="004C2571">
        <w:rPr>
          <w:sz w:val="24"/>
          <w:szCs w:val="24"/>
        </w:rPr>
        <w:t>s</w:t>
      </w:r>
      <w:r w:rsidR="00183192" w:rsidRPr="00183192">
        <w:rPr>
          <w:sz w:val="24"/>
          <w:szCs w:val="24"/>
        </w:rPr>
        <w:t xml:space="preserve">ti, bolje strukture prodanih proizvoda te niže cijene sirovine koja je utjecala na formiranje nižih prodajnih cijena te rezultirala nižim ostvarenim prihodima od prodaje. Kumulativna EBITDA grupe </w:t>
      </w:r>
      <w:r w:rsidR="000262A5">
        <w:rPr>
          <w:sz w:val="24"/>
          <w:szCs w:val="24"/>
        </w:rPr>
        <w:t>Preh</w:t>
      </w:r>
      <w:r w:rsidR="00183192" w:rsidRPr="00183192">
        <w:rPr>
          <w:sz w:val="24"/>
          <w:szCs w:val="24"/>
        </w:rPr>
        <w:t>rana od početka godine do kraja izv</w:t>
      </w:r>
      <w:r>
        <w:rPr>
          <w:sz w:val="24"/>
          <w:szCs w:val="24"/>
        </w:rPr>
        <w:t>j</w:t>
      </w:r>
      <w:r w:rsidR="00183192" w:rsidRPr="00183192">
        <w:rPr>
          <w:sz w:val="24"/>
          <w:szCs w:val="24"/>
        </w:rPr>
        <w:t>eštajnog perioda je iznad plana.</w:t>
      </w:r>
    </w:p>
    <w:p w:rsidRDefault="00BC1B3F" w:rsidP="001312FE" w:rsidR="00BC1B3F">
      <w:pPr>
        <w:spacing w:lineRule="auto" w:line="278"/>
        <w:ind w:left="255"/>
        <w:jc w:val="both"/>
        <w:rPr>
          <w:sz w:val="24"/>
          <w:szCs w:val="24"/>
        </w:rPr>
      </w:pPr>
    </w:p>
    <w:p w:rsidRDefault="00A76210" w:rsidP="001312FE" w:rsidR="00A76210" w:rsidRPr="00A76210">
      <w:pPr>
        <w:spacing w:lineRule="auto" w:line="278"/>
        <w:ind w:left="255"/>
        <w:jc w:val="both"/>
        <w:rPr>
          <w:sz w:val="24"/>
          <w:szCs w:val="24"/>
        </w:rPr>
      </w:pPr>
      <w:r w:rsidRPr="00A76210">
        <w:rPr>
          <w:sz w:val="24"/>
          <w:szCs w:val="24"/>
        </w:rPr>
        <w:t>Poslovna grupa Poljoprivreda za mjesec srpanj bilježi pad prihoda u odnosu na plan uslijed nastavka trenda pada cijena sv</w:t>
      </w:r>
      <w:r>
        <w:rPr>
          <w:sz w:val="24"/>
          <w:szCs w:val="24"/>
        </w:rPr>
        <w:t>injskog mesa na europskoj burzi</w:t>
      </w:r>
      <w:r w:rsidRPr="00A76210">
        <w:rPr>
          <w:sz w:val="24"/>
          <w:szCs w:val="24"/>
        </w:rPr>
        <w:t xml:space="preserve"> te nast</w:t>
      </w:r>
      <w:r>
        <w:rPr>
          <w:sz w:val="24"/>
          <w:szCs w:val="24"/>
        </w:rPr>
        <w:t>avka pada cijena polu</w:t>
      </w:r>
      <w:r w:rsidRPr="00A76210">
        <w:rPr>
          <w:sz w:val="24"/>
          <w:szCs w:val="24"/>
        </w:rPr>
        <w:t>tvrdog sira. Povećanjem drugih aktivnosti uspje</w:t>
      </w:r>
      <w:r>
        <w:rPr>
          <w:sz w:val="24"/>
          <w:szCs w:val="24"/>
        </w:rPr>
        <w:t>šno je</w:t>
      </w:r>
      <w:r w:rsidRPr="00A76210">
        <w:rPr>
          <w:sz w:val="24"/>
          <w:szCs w:val="24"/>
        </w:rPr>
        <w:t xml:space="preserve"> smanj</w:t>
      </w:r>
      <w:r>
        <w:rPr>
          <w:sz w:val="24"/>
          <w:szCs w:val="24"/>
        </w:rPr>
        <w:t xml:space="preserve">en </w:t>
      </w:r>
      <w:r w:rsidRPr="00A76210">
        <w:rPr>
          <w:sz w:val="24"/>
          <w:szCs w:val="24"/>
        </w:rPr>
        <w:t>utjeca</w:t>
      </w:r>
      <w:r>
        <w:rPr>
          <w:sz w:val="24"/>
          <w:szCs w:val="24"/>
        </w:rPr>
        <w:t>j</w:t>
      </w:r>
      <w:r w:rsidRPr="00A76210">
        <w:rPr>
          <w:sz w:val="24"/>
          <w:szCs w:val="24"/>
        </w:rPr>
        <w:t xml:space="preserve"> pada cijena na poslovne prihode, ali je </w:t>
      </w:r>
      <w:r>
        <w:rPr>
          <w:sz w:val="24"/>
          <w:szCs w:val="24"/>
        </w:rPr>
        <w:t>i</w:t>
      </w:r>
      <w:r w:rsidRPr="00A76210">
        <w:rPr>
          <w:sz w:val="24"/>
          <w:szCs w:val="24"/>
        </w:rPr>
        <w:t xml:space="preserve"> dalje prisutan pad operativne dobiti u odnosu na plan. S obzirom na dobre naturalne pokazatelje u primarnoj proizvodnji u narednom periodu planira</w:t>
      </w:r>
      <w:r>
        <w:rPr>
          <w:sz w:val="24"/>
          <w:szCs w:val="24"/>
        </w:rPr>
        <w:t xml:space="preserve"> se </w:t>
      </w:r>
      <w:r w:rsidRPr="00A76210">
        <w:rPr>
          <w:sz w:val="24"/>
          <w:szCs w:val="24"/>
        </w:rPr>
        <w:t xml:space="preserve"> umanj</w:t>
      </w:r>
      <w:r>
        <w:rPr>
          <w:sz w:val="24"/>
          <w:szCs w:val="24"/>
        </w:rPr>
        <w:t>enje</w:t>
      </w:r>
      <w:r w:rsidRPr="00A76210">
        <w:rPr>
          <w:sz w:val="24"/>
          <w:szCs w:val="24"/>
        </w:rPr>
        <w:t xml:space="preserve"> utjecaj</w:t>
      </w:r>
      <w:r>
        <w:rPr>
          <w:sz w:val="24"/>
          <w:szCs w:val="24"/>
        </w:rPr>
        <w:t>a</w:t>
      </w:r>
      <w:r w:rsidRPr="00A76210">
        <w:rPr>
          <w:sz w:val="24"/>
          <w:szCs w:val="24"/>
        </w:rPr>
        <w:t xml:space="preserve"> pada cijena na europskim burzama.</w:t>
      </w:r>
    </w:p>
    <w:p w:rsidRDefault="00A76210" w:rsidP="001312FE" w:rsidR="00A76210" w:rsidRPr="0057075E">
      <w:pPr>
        <w:spacing w:lineRule="auto" w:line="278"/>
        <w:jc w:val="both"/>
        <w:rPr>
          <w:sz w:val="24"/>
          <w:szCs w:val="24"/>
        </w:rPr>
        <w:sectPr w:rsidSect="001312FE" w:rsidR="00A76210" w:rsidRPr="0057075E">
          <w:pgSz w:code="9" w:h="16840" w:w="11910"/>
          <w:pgMar w:gutter="0" w:footer="1316" w:header="709" w:left="1160" w:bottom="1560" w:right="860" w:top="1680"/>
          <w:cols w:space="720"/>
        </w:sectPr>
      </w:pPr>
    </w:p>
    <w:p w:rsidRDefault="00BC1B3F" w:rsidP="001312FE" w:rsidR="00BC1B3F">
      <w:pPr>
        <w:pStyle w:val="Tijeloteksta"/>
        <w:spacing w:before="1"/>
        <w:rPr>
          <w:sz w:val="12"/>
        </w:rPr>
      </w:pPr>
    </w:p>
    <w:p w:rsidRDefault="00A40807" w:rsidP="001312FE" w:rsidR="00BC1B3F" w:rsidRPr="00A40807">
      <w:pPr>
        <w:tabs>
          <w:tab w:pos="1051" w:val="left"/>
        </w:tabs>
        <w:spacing w:before="93"/>
        <w:ind w:hanging="250" w:left="360"/>
        <w:outlineLvl w:val="1"/>
        <w:rPr>
          <w:b/>
          <w:sz w:val="24"/>
          <w:szCs w:val="24"/>
        </w:rPr>
      </w:pPr>
      <w:bookmarkStart w:name="_Toc523299347" w:id="4"/>
      <w:r>
        <w:rPr>
          <w:b/>
          <w:sz w:val="24"/>
          <w:szCs w:val="24"/>
        </w:rPr>
        <w:t xml:space="preserve">2.1. </w:t>
      </w:r>
      <w:r w:rsidR="00BC1B3F" w:rsidRPr="00A40807">
        <w:rPr>
          <w:b/>
          <w:sz w:val="24"/>
          <w:szCs w:val="24"/>
        </w:rPr>
        <w:t xml:space="preserve"> </w:t>
      </w:r>
      <w:bookmarkStart w:name="_Toc516483203" w:id="5"/>
      <w:r w:rsidR="00BC1B3F" w:rsidRPr="00A40807">
        <w:rPr>
          <w:b/>
          <w:sz w:val="24"/>
          <w:szCs w:val="24"/>
        </w:rPr>
        <w:t>Grupa Agrokor</w:t>
      </w:r>
      <w:bookmarkEnd w:id="4"/>
      <w:bookmarkEnd w:id="5"/>
    </w:p>
    <w:p w:rsidRDefault="00BC1B3F" w:rsidP="001312FE" w:rsidR="00BC1B3F">
      <w:pPr>
        <w:spacing w:lineRule="auto" w:line="278"/>
        <w:ind w:left="360"/>
        <w:jc w:val="both"/>
        <w:rPr>
          <w:sz w:val="24"/>
        </w:rPr>
      </w:pPr>
      <w:r>
        <w:rPr>
          <w:sz w:val="24"/>
        </w:rPr>
        <w:t>Grupa Agrokor u sklopu ovog izvještaja uključuje 16 kompanija u tri poslovna segmenta; Maloprodaja i veleprodaja (</w:t>
      </w:r>
      <w:r w:rsidRPr="00B92816">
        <w:rPr>
          <w:sz w:val="24"/>
        </w:rPr>
        <w:t>Konzum Hrvatska, Tisak, Konzum BiH</w:t>
      </w:r>
      <w:r w:rsidRPr="00B92816">
        <w:t xml:space="preserve"> </w:t>
      </w:r>
      <w:r>
        <w:t xml:space="preserve">i </w:t>
      </w:r>
      <w:r w:rsidRPr="00B92816">
        <w:rPr>
          <w:sz w:val="24"/>
        </w:rPr>
        <w:t>Velpro centar</w:t>
      </w:r>
      <w:r>
        <w:rPr>
          <w:sz w:val="24"/>
        </w:rPr>
        <w:t>), Prehrana (</w:t>
      </w:r>
      <w:r w:rsidRPr="00BD79AD">
        <w:rPr>
          <w:i/>
          <w:sz w:val="24"/>
        </w:rPr>
        <w:t>Pića</w:t>
      </w:r>
      <w:r w:rsidRPr="00BD79AD">
        <w:rPr>
          <w:sz w:val="24"/>
        </w:rPr>
        <w:t xml:space="preserve"> – Jamnica, Roto dinamic, Sarajevski kiseljak</w:t>
      </w:r>
      <w:r>
        <w:rPr>
          <w:sz w:val="24"/>
        </w:rPr>
        <w:t>,</w:t>
      </w:r>
      <w:r w:rsidRPr="00BD79AD">
        <w:t xml:space="preserve"> </w:t>
      </w:r>
      <w:r w:rsidRPr="00BD79AD">
        <w:rPr>
          <w:i/>
          <w:sz w:val="24"/>
        </w:rPr>
        <w:t>Sladoled i smrznuta hrana</w:t>
      </w:r>
      <w:r w:rsidRPr="00BD79AD">
        <w:rPr>
          <w:sz w:val="24"/>
        </w:rPr>
        <w:t xml:space="preserve"> – Ledo, Frikom, Ledo Čitluk</w:t>
      </w:r>
      <w:r>
        <w:t xml:space="preserve">, </w:t>
      </w:r>
      <w:r w:rsidRPr="00BD79AD">
        <w:rPr>
          <w:i/>
          <w:sz w:val="24"/>
        </w:rPr>
        <w:t>Ulje</w:t>
      </w:r>
      <w:r w:rsidRPr="00BD79AD">
        <w:rPr>
          <w:sz w:val="24"/>
        </w:rPr>
        <w:t xml:space="preserve"> – Zvijezda, Dijamant</w:t>
      </w:r>
      <w:r>
        <w:rPr>
          <w:sz w:val="24"/>
        </w:rPr>
        <w:t xml:space="preserve"> i </w:t>
      </w:r>
      <w:r w:rsidRPr="00BD79AD">
        <w:rPr>
          <w:i/>
          <w:sz w:val="24"/>
        </w:rPr>
        <w:t>Meso</w:t>
      </w:r>
      <w:r w:rsidRPr="00BD79AD">
        <w:rPr>
          <w:sz w:val="24"/>
        </w:rPr>
        <w:t xml:space="preserve"> – PIK Vrbovec</w:t>
      </w:r>
      <w:r>
        <w:rPr>
          <w:sz w:val="24"/>
        </w:rPr>
        <w:t>) i Poljoprivreda (</w:t>
      </w:r>
      <w:r w:rsidRPr="00B92816">
        <w:rPr>
          <w:sz w:val="24"/>
        </w:rPr>
        <w:t>Belje, PIK Vinkovci i Vupik</w:t>
      </w:r>
      <w:r>
        <w:rPr>
          <w:sz w:val="24"/>
        </w:rPr>
        <w:t>).</w:t>
      </w:r>
      <w:r w:rsidR="008C0AA5">
        <w:rPr>
          <w:sz w:val="24"/>
        </w:rPr>
        <w:t xml:space="preserve"> </w:t>
      </w:r>
    </w:p>
    <w:p w:rsidRDefault="001D4987" w:rsidP="001312FE" w:rsidR="00BC1B3F">
      <w:pPr>
        <w:spacing w:lineRule="auto" w:line="278"/>
        <w:ind w:left="360"/>
        <w:rPr>
          <w:sz w:val="24"/>
        </w:rPr>
      </w:pPr>
      <w:r>
        <w:rPr>
          <w:noProof/>
          <w:lang w:bidi="ar-SA"/>
        </w:rPr>
        <w:pict>
          <v:shape fillcolor="#c00" stroked="f" id="_x0000_s1029" style="position:absolute;left:0;text-align:left;margin-left:104.25pt;margin-top:58.95pt;width:391.5pt;height:66pt;z-index:-251639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">
            <v:textbox inset="0,0,0,0">
              <w:txbxContent>
                <w:p w:rsidRDefault="00CC3F8B" w:rsidP="00BC1B3F" w:rsidR="00CC3F8B">
                  <w:pPr>
                    <w:spacing w:lineRule="auto" w:line="247" w:before="259"/>
                    <w:ind w:hanging="1921" w:left="2393"/>
                    <w:rPr>
                      <w:b/>
                      <w:sz w:val="30"/>
                    </w:rPr>
                  </w:pPr>
                  <w:r>
                    <w:rPr>
                      <w:b/>
                      <w:color w:val="FFFFFF"/>
                      <w:sz w:val="30"/>
                    </w:rPr>
                    <w:t>Kumulativni prihod i EBITDA po mjesecima, 2018. (mil. HRK)*</w:t>
                  </w:r>
                </w:p>
              </w:txbxContent>
            </v:textbox>
            <w10:wrap anchorx="page" type="topAndBottom"/>
          </v:shape>
        </w:pict>
      </w:r>
      <w:r w:rsidR="00BC1B3F" w:rsidRPr="00B92816">
        <w:rPr>
          <w:sz w:val="24"/>
        </w:rPr>
        <w:t>Tab</w:t>
      </w:r>
      <w:r w:rsidR="00BC1B3F">
        <w:rPr>
          <w:sz w:val="24"/>
        </w:rPr>
        <w:t>lica prikazuje zbirne</w:t>
      </w:r>
      <w:r w:rsidR="00BC1B3F" w:rsidRPr="00BD79AD">
        <w:rPr>
          <w:sz w:val="24"/>
        </w:rPr>
        <w:t xml:space="preserve"> rezultat</w:t>
      </w:r>
      <w:r w:rsidR="00BC1B3F">
        <w:rPr>
          <w:sz w:val="24"/>
        </w:rPr>
        <w:t>e</w:t>
      </w:r>
      <w:r w:rsidR="00BC1B3F" w:rsidRPr="00BD79AD">
        <w:rPr>
          <w:sz w:val="24"/>
        </w:rPr>
        <w:t xml:space="preserve"> </w:t>
      </w:r>
      <w:r w:rsidR="00BC1B3F">
        <w:rPr>
          <w:sz w:val="24"/>
        </w:rPr>
        <w:t xml:space="preserve">kumulativnog prihoda i EBITDA po mjesecima za sve </w:t>
      </w:r>
      <w:r w:rsidR="002F5638">
        <w:rPr>
          <w:sz w:val="24"/>
        </w:rPr>
        <w:t>k</w:t>
      </w:r>
      <w:r w:rsidR="00BC1B3F">
        <w:rPr>
          <w:sz w:val="24"/>
        </w:rPr>
        <w:t xml:space="preserve">ompanije Grupe obuhvaćene ovim izvještajem, dok su rezultati za pojedine poslovne </w:t>
      </w:r>
      <w:r w:rsidR="00453D97">
        <w:rPr>
          <w:sz w:val="24"/>
        </w:rPr>
        <w:t>s</w:t>
      </w:r>
      <w:r w:rsidR="00BC1B3F">
        <w:rPr>
          <w:sz w:val="24"/>
        </w:rPr>
        <w:t>egmente i kompanije izneseni kasnije u ovom poglavlju.</w:t>
      </w:r>
    </w:p>
    <w:p w:rsidRDefault="001D4987" w:rsidP="001312FE" w:rsidR="00BC1B3F">
      <w:pPr>
        <w:pStyle w:val="Odlomakpopisa"/>
        <w:tabs>
          <w:tab w:pos="1051" w:val="left"/>
        </w:tabs>
        <w:spacing w:before="93"/>
        <w:ind w:firstLine="0" w:left="792"/>
        <w:rPr>
          <w:b/>
          <w:sz w:val="24"/>
        </w:rPr>
      </w:pPr>
      <w:r>
        <w:rPr>
          <w:noProof/>
          <w:lang w:bidi="ar-SA"/>
        </w:rPr>
        <w:pict>
          <v:rect fillcolor="#00234c" strokecolor="windowText" o:spid="_x0000_s1030" id="Rectangle 15" style="position:absolute;left:0;text-align:left;margin-left:46.25pt;margin-top:71.75pt;width:391.5pt;height:21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CC3F8B" w:rsidP="00BC1B3F" w:rsidR="00CC3F8B">
                  <w:r>
                    <w:rPr>
                      <w:rFonts w:eastAsia="+mn-ea"/>
                      <w:b/>
                      <w:bCs/>
                      <w:color w:val="FFFFFF"/>
                      <w:kern w:val="24"/>
                    </w:rPr>
                    <w:t>Grupa Agrokor</w:t>
                  </w:r>
                </w:p>
              </w:txbxContent>
            </v:textbox>
          </v:rect>
        </w:pict>
      </w:r>
    </w:p>
    <w:p w:rsidRDefault="00BC1B3F" w:rsidP="001312FE" w:rsidR="00BC1B3F">
      <w:pPr>
        <w:rPr>
          <w:noProof/>
          <w:lang w:bidi="ar-SA"/>
        </w:rPr>
      </w:pPr>
    </w:p>
    <w:p w:rsidRDefault="00DA4A26" w:rsidP="001312FE" w:rsidR="00A76210">
      <w:pPr>
        <w:jc w:val="center"/>
        <w:rPr>
          <w:noProof/>
          <w:lang w:bidi="ar-SA"/>
        </w:rPr>
      </w:pPr>
      <w:r w:rsidRPr="00DA4A26">
        <w:rPr>
          <w:noProof/>
          <w:lang w:bidi="ar-SA"/>
        </w:rPr>
        <w:drawing>
          <wp:anchor allowOverlap="true" layoutInCell="true" locked="false" behindDoc="false" relativeHeight="251698688" simplePos="false" distR="114300" distL="114300" distB="0" distT="0">
            <wp:simplePos y="0" x="0"/>
            <wp:positionH relativeFrom="column">
              <wp:posOffset>3657600</wp:posOffset>
            </wp:positionH>
            <wp:positionV relativeFrom="paragraph">
              <wp:posOffset>2335530</wp:posOffset>
            </wp:positionV>
            <wp:extent cy="266065" cx="1355725"/>
            <wp:effectExtent b="635" r="0" t="0" l="0"/>
            <wp:wrapNone/>
            <wp:docPr name="Picture 36" id="36"/>
            <wp:cNvGraphicFramePr>
              <a:graphicFrameLocks noChangeAspect="true"/>
            </wp:cNvGraphicFramePr>
            <a:graphic>
              <a:graphicData uri="http://schemas.openxmlformats.org/drawingml/2006/picture">
                <pic:pic>
                  <pic:nvPicPr>
                    <pic:cNvPr name="" id="0"/>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66065" cx="1355725"/>
                    </a:xfrm>
                    <a:prstGeom prst="rect">
                      <a:avLst/>
                    </a:prstGeom>
                  </pic:spPr>
                </pic:pic>
              </a:graphicData>
            </a:graphic>
          </wp:anchor>
        </w:drawing>
      </w:r>
      <w:r w:rsidRPr="00DA4A26">
        <w:rPr>
          <w:noProof/>
          <w:lang w:bidi="ar-SA"/>
        </w:rPr>
        <w:drawing>
          <wp:anchor allowOverlap="true" layoutInCell="true" locked="false" behindDoc="false" relativeHeight="251697664" simplePos="false" distR="114300" distL="114300" distB="0" distT="0">
            <wp:simplePos y="0" x="0"/>
            <wp:positionH relativeFrom="column">
              <wp:posOffset>1610805</wp:posOffset>
            </wp:positionH>
            <wp:positionV relativeFrom="paragraph">
              <wp:posOffset>2362845</wp:posOffset>
            </wp:positionV>
            <wp:extent cy="238760" cx="1344295"/>
            <wp:effectExtent b="8890" r="8255" t="0" l="0"/>
            <wp:wrapNone/>
            <wp:docPr name="Picture 35" id="35"/>
            <wp:cNvGraphicFramePr>
              <a:graphicFrameLocks noChangeAspect="true"/>
            </wp:cNvGraphicFramePr>
            <a:graphic>
              <a:graphicData uri="http://schemas.openxmlformats.org/drawingml/2006/picture">
                <pic:pic>
                  <pic:nvPicPr>
                    <pic:cNvPr name="" id="0"/>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38760" cx="1344295"/>
                    </a:xfrm>
                    <a:prstGeom prst="rect">
                      <a:avLst/>
                    </a:prstGeom>
                  </pic:spPr>
                </pic:pic>
              </a:graphicData>
            </a:graphic>
          </wp:anchor>
        </w:drawing>
      </w:r>
      <w:r w:rsidR="00A40807">
        <w:rPr>
          <w:noProof/>
          <w:lang w:bidi="ar-SA"/>
        </w:rPr>
        <w:drawing>
          <wp:inline distR="0" distL="0" distB="0" distT="0">
            <wp:extent cy="2620370" cx="2040340"/>
            <wp:effectExtent b="27940" r="17145" t="0" l="0"/>
            <wp:docPr name="Chart 8" id="8"/>
            <wp:cNvGraphicFramePr/>
            <a:graphic>
              <a:graphicData uri="http://schemas.openxmlformats.org/drawingml/2006/chart">
                <c:chart r:id="rId16"/>
              </a:graphicData>
            </a:graphic>
          </wp:inline>
        </w:drawing>
      </w:r>
      <w:r w:rsidR="00A40807">
        <w:rPr>
          <w:noProof/>
          <w:lang w:bidi="ar-SA"/>
        </w:rPr>
        <w:drawing>
          <wp:inline distR="0" distL="0" distB="0" distT="0">
            <wp:extent cy="2628900" cx="1971675"/>
            <wp:effectExtent b="19050" r="9525" t="0" l="0"/>
            <wp:docPr name="Chart 9" id="9"/>
            <wp:cNvGraphicFramePr/>
            <a:graphic>
              <a:graphicData uri="http://schemas.openxmlformats.org/drawingml/2006/chart">
                <c:chart r:id="rId17"/>
              </a:graphicData>
            </a:graphic>
          </wp:inline>
        </w:drawing>
      </w:r>
    </w:p>
    <w:p w:rsidRDefault="001D4987" w:rsidP="001312FE" w:rsidR="00A76210" w:rsidRPr="00AA2679">
      <w:pPr>
        <w:rPr>
          <w:b/>
          <w:i/>
          <w:noProof/>
          <w:sz w:val="20"/>
          <w:szCs w:val="20"/>
          <w:lang w:bidi="ar-SA"/>
        </w:rPr>
      </w:pPr>
      <w:r>
        <w:rPr>
          <w:b/>
          <w:i/>
          <w:noProof/>
          <w:sz w:val="20"/>
          <w:szCs w:val="20"/>
          <w:lang w:bidi="ar-SA"/>
        </w:rPr>
        <w:pict>
          <v:shape filled="f" strokeweight="2pt" strokecolor="#a6a6a6" id="_x0000_s1031" style="position:absolute;margin-left:46.15pt;margin-top:5.85pt;width:396.75pt;height:127.2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">
            <v:textbox inset="0,0,0,0">
              <w:txbxContent>
                <w:p w:rsidRDefault="00CC3F8B" w:rsidP="00A40807" w:rsidR="00CC3F8B" w:rsidRPr="00EC261B">
                  <w:pPr>
                    <w:tabs>
                      <w:tab w:pos="832" w:val="left"/>
                      <w:tab w:pos="833" w:val="left"/>
                    </w:tabs>
                    <w:spacing w:before="3"/>
                    <w:rPr>
                      <w:u w:val="single"/>
                    </w:rPr>
                  </w:pPr>
                  <w:r w:rsidRPr="00EC261B">
                    <w:rPr>
                      <w:b/>
                      <w:u w:val="single"/>
                    </w:rPr>
                    <w:t>Grupa Agrokor uključuje zbrojene rezultate</w:t>
                  </w:r>
                  <w:r w:rsidRPr="00EC261B">
                    <w:rPr>
                      <w:b/>
                      <w:spacing w:val="-4"/>
                      <w:u w:val="single"/>
                    </w:rPr>
                    <w:t xml:space="preserve"> šestnaest</w:t>
                  </w:r>
                  <w:r w:rsidRPr="00EC261B">
                    <w:rPr>
                      <w:b/>
                      <w:u w:val="single"/>
                    </w:rPr>
                    <w:t xml:space="preserve"> kompanija:</w:t>
                  </w:r>
                </w:p>
                <w:p w:rsidRDefault="00CC3F8B" w:rsidP="00BC1B3F" w:rsidR="00CC3F8B" w:rsidRPr="00EC261B">
                  <w:pPr>
                    <w:tabs>
                      <w:tab w:pos="832" w:val="left"/>
                      <w:tab w:pos="833" w:val="left"/>
                    </w:tabs>
                    <w:spacing w:before="3"/>
                    <w:ind w:left="1552"/>
                    <w:rPr>
                      <w:sz w:val="20"/>
                    </w:rPr>
                  </w:pPr>
                </w:p>
                <w:p w:rsidRDefault="00CC3F8B" w:rsidP="00BC1B3F" w:rsidR="00CC3F8B">
                  <w:pPr>
                    <w:numPr>
                      <w:ilvl w:val="1"/>
                      <w:numId w:val="35"/>
                    </w:numPr>
                    <w:tabs>
                      <w:tab w:pos="832" w:val="left"/>
                      <w:tab w:pos="833" w:val="left"/>
                    </w:tabs>
                    <w:spacing w:before="3"/>
                    <w:rPr>
                      <w:sz w:val="20"/>
                    </w:rPr>
                  </w:pPr>
                  <w:r w:rsidRPr="00EC261B">
                    <w:rPr>
                      <w:sz w:val="20"/>
                    </w:rPr>
                    <w:t>Maloprodaja i veleprodaja(četiri kompanije) : Konzum Hrvatska, Tisak, Konzum</w:t>
                  </w:r>
                  <w:r w:rsidRPr="00EC261B">
                    <w:rPr>
                      <w:spacing w:val="3"/>
                      <w:sz w:val="20"/>
                    </w:rPr>
                    <w:t xml:space="preserve"> </w:t>
                  </w:r>
                  <w:r w:rsidRPr="00EC261B">
                    <w:rPr>
                      <w:sz w:val="20"/>
                    </w:rPr>
                    <w:t>BiH i Velpro centar</w:t>
                  </w:r>
                </w:p>
                <w:p w:rsidRDefault="00CC3F8B" w:rsidP="00BC1B3F" w:rsidR="00CC3F8B" w:rsidRPr="00EC261B">
                  <w:pPr>
                    <w:rPr>
                      <w:sz w:val="20"/>
                    </w:rPr>
                  </w:pPr>
                </w:p>
                <w:p w:rsidRDefault="00CC3F8B" w:rsidP="00BC1B3F" w:rsidR="00CC3F8B">
                  <w:pPr>
                    <w:numPr>
                      <w:ilvl w:val="1"/>
                      <w:numId w:val="35"/>
                    </w:numPr>
                    <w:tabs>
                      <w:tab w:pos="832" w:val="left"/>
                      <w:tab w:pos="833" w:val="left"/>
                    </w:tabs>
                    <w:spacing w:lineRule="exact" w:line="229" w:before="1"/>
                    <w:rPr>
                      <w:sz w:val="20"/>
                    </w:rPr>
                  </w:pPr>
                  <w:r w:rsidRPr="00EC261B">
                    <w:rPr>
                      <w:sz w:val="20"/>
                    </w:rPr>
                    <w:t>Prehrana</w:t>
                  </w:r>
                  <w:r w:rsidRPr="00EC261B">
                    <w:rPr>
                      <w:b/>
                      <w:sz w:val="20"/>
                    </w:rPr>
                    <w:t xml:space="preserve"> (</w:t>
                  </w:r>
                  <w:r w:rsidRPr="00EC261B">
                    <w:rPr>
                      <w:sz w:val="20"/>
                    </w:rPr>
                    <w:t>devet kompanija): Pića – Jamnica, Roto dinamic, Sarajevski</w:t>
                  </w:r>
                  <w:r w:rsidRPr="00EC261B">
                    <w:rPr>
                      <w:spacing w:val="-6"/>
                      <w:sz w:val="20"/>
                    </w:rPr>
                    <w:t xml:space="preserve"> </w:t>
                  </w:r>
                  <w:r w:rsidRPr="00EC261B">
                    <w:rPr>
                      <w:sz w:val="20"/>
                    </w:rPr>
                    <w:t>kiseljak, Sladoled i smrznuta hrana – Ledo, Frikom, Ledo</w:t>
                  </w:r>
                  <w:r w:rsidRPr="00EC261B">
                    <w:rPr>
                      <w:spacing w:val="-6"/>
                      <w:sz w:val="20"/>
                    </w:rPr>
                    <w:t xml:space="preserve"> </w:t>
                  </w:r>
                  <w:r w:rsidRPr="00EC261B">
                    <w:rPr>
                      <w:sz w:val="20"/>
                    </w:rPr>
                    <w:t>Čitluk, Ulje – Zvijezda,</w:t>
                  </w:r>
                  <w:r w:rsidRPr="00EC261B">
                    <w:rPr>
                      <w:spacing w:val="-4"/>
                      <w:sz w:val="20"/>
                    </w:rPr>
                    <w:t xml:space="preserve"> </w:t>
                  </w:r>
                  <w:r w:rsidRPr="00EC261B">
                    <w:rPr>
                      <w:sz w:val="20"/>
                    </w:rPr>
                    <w:t>Dijamant i Meso – PIK Vrbovec</w:t>
                  </w:r>
                </w:p>
                <w:p w:rsidRDefault="00CC3F8B" w:rsidP="00BC1B3F" w:rsidR="00CC3F8B">
                  <w:pPr>
                    <w:rPr>
                      <w:sz w:val="20"/>
                    </w:rPr>
                  </w:pPr>
                </w:p>
                <w:p w:rsidRDefault="00CC3F8B" w:rsidP="00BC1B3F" w:rsidR="00CC3F8B" w:rsidRPr="00EC261B">
                  <w:pPr>
                    <w:numPr>
                      <w:ilvl w:val="1"/>
                      <w:numId w:val="35"/>
                    </w:numPr>
                    <w:tabs>
                      <w:tab w:pos="832" w:val="left"/>
                      <w:tab w:pos="833" w:val="left"/>
                    </w:tabs>
                    <w:spacing w:lineRule="exact" w:line="229" w:before="3"/>
                    <w:rPr>
                      <w:sz w:val="20"/>
                    </w:rPr>
                  </w:pPr>
                  <w:r w:rsidRPr="00EC261B">
                    <w:rPr>
                      <w:sz w:val="20"/>
                    </w:rPr>
                    <w:t xml:space="preserve">Poljoprivreda (tri kompanije): Belje, PIK Vinkovci i Vupik </w:t>
                  </w:r>
                </w:p>
              </w:txbxContent>
            </v:textbox>
            <w10:wrap type="topAndBottom"/>
          </v:shape>
        </w:pict>
      </w:r>
      <w:r w:rsidR="008C0AA5" w:rsidRPr="00AA2679">
        <w:rPr>
          <w:b/>
          <w:i/>
          <w:noProof/>
          <w:sz w:val="20"/>
          <w:szCs w:val="20"/>
          <w:lang w:bidi="ar-SA"/>
        </w:rPr>
        <w:t xml:space="preserve">                     </w:t>
      </w:r>
      <w:r w:rsidR="00AA2679" w:rsidRPr="00AA2679">
        <w:rPr>
          <w:b/>
          <w:i/>
          <w:noProof/>
          <w:sz w:val="20"/>
          <w:szCs w:val="20"/>
          <w:lang w:bidi="ar-SA"/>
        </w:rPr>
        <w:t xml:space="preserve">                    *NAPOMENA: Preliminarni rezultati</w:t>
      </w:r>
    </w:p>
    <w:p w:rsidRDefault="008C0AA5" w:rsidP="001312FE" w:rsidR="008C0AA5" w:rsidRPr="002F272C">
      <w:pPr>
        <w:jc w:val="center"/>
        <w:rPr>
          <w:b/>
          <w:i/>
          <w:sz w:val="20"/>
          <w:szCs w:val="20"/>
        </w:rPr>
      </w:pPr>
      <w:r>
        <w:rPr>
          <w:noProof/>
          <w:lang w:bidi="ar-SA"/>
        </w:rPr>
        <w:drawing>
          <wp:inline distR="0" distL="0" distB="0" distT="0">
            <wp:extent cy="447675" cx="3952875"/>
            <wp:effectExtent b="9525" r="9525" t="0" l="0"/>
            <wp:docPr name="Picture 22" id="22"/>
            <wp:cNvGraphicFramePr>
              <a:graphicFrameLocks noChangeAspect="true"/>
            </wp:cNvGraphicFramePr>
            <a:graphic>
              <a:graphicData uri="http://schemas.openxmlformats.org/drawingml/2006/picture">
                <pic:pic>
                  <pic:nvPicPr>
                    <pic:cNvPr name="" id="0"/>
                    <pic:cNvPicPr/>
                  </pic:nvPicPr>
                  <pic:blipFill>
                    <a:blip r:embed="rId18"/>
                    <a:stretch>
                      <a:fillRect/>
                    </a:stretch>
                  </pic:blipFill>
                  <pic:spPr>
                    <a:xfrm>
                      <a:off y="0" x="0"/>
                      <a:ext cy="447675" cx="3952875"/>
                    </a:xfrm>
                    <a:prstGeom prst="rect">
                      <a:avLst/>
                    </a:prstGeom>
                  </pic:spPr>
                </pic:pic>
              </a:graphicData>
            </a:graphic>
          </wp:inline>
        </w:drawing>
      </w:r>
    </w:p>
    <w:p w:rsidRDefault="00BC1B3F" w:rsidP="001312FE" w:rsidR="00BC1B3F">
      <w:pPr>
        <w:rPr>
          <w:b/>
          <w:sz w:val="20"/>
          <w:szCs w:val="20"/>
        </w:rPr>
      </w:pPr>
    </w:p>
    <w:p w:rsidRDefault="00AA2679" w:rsidP="001312FE" w:rsidR="00AA2679" w:rsidRPr="002F272C">
      <w:pPr>
        <w:rPr>
          <w:b/>
          <w:sz w:val="20"/>
          <w:szCs w:val="20"/>
        </w:rPr>
      </w:pPr>
    </w:p>
    <w:p w:rsidRDefault="00387338" w:rsidP="001312FE" w:rsidR="00BC1B3F" w:rsidRPr="00387338">
      <w:pPr>
        <w:tabs>
          <w:tab w:pos="1051" w:val="left"/>
        </w:tabs>
        <w:spacing w:before="93"/>
        <w:ind w:hanging="250" w:left="360"/>
        <w:outlineLvl w:val="1"/>
        <w:rPr>
          <w:b/>
          <w:sz w:val="24"/>
        </w:rPr>
      </w:pPr>
      <w:bookmarkStart w:name="_Toc516483204" w:id="6"/>
      <w:bookmarkStart w:name="_Toc523299348" w:id="7"/>
      <w:r>
        <w:rPr>
          <w:b/>
          <w:sz w:val="24"/>
        </w:rPr>
        <w:lastRenderedPageBreak/>
        <w:t xml:space="preserve">2.2. </w:t>
      </w:r>
      <w:r w:rsidR="00BC1B3F" w:rsidRPr="00387338">
        <w:rPr>
          <w:b/>
          <w:sz w:val="24"/>
        </w:rPr>
        <w:t>Kompanije u poslovnoj grupi Maloprodaja i</w:t>
      </w:r>
      <w:r w:rsidR="00BC1B3F" w:rsidRPr="00387338">
        <w:rPr>
          <w:b/>
          <w:spacing w:val="-5"/>
          <w:sz w:val="24"/>
        </w:rPr>
        <w:t xml:space="preserve"> </w:t>
      </w:r>
      <w:r w:rsidR="00BC1B3F" w:rsidRPr="00387338">
        <w:rPr>
          <w:b/>
          <w:sz w:val="24"/>
        </w:rPr>
        <w:t>veleprodaja</w:t>
      </w:r>
      <w:bookmarkEnd w:id="6"/>
      <w:bookmarkEnd w:id="7"/>
    </w:p>
    <w:p w:rsidRDefault="00BC1B3F" w:rsidP="001312FE" w:rsidR="00BC1B3F">
      <w:pPr>
        <w:pStyle w:val="Tijeloteksta"/>
        <w:spacing w:before="2"/>
        <w:rPr>
          <w:b/>
          <w:sz w:val="23"/>
        </w:rPr>
      </w:pPr>
    </w:p>
    <w:p w:rsidRDefault="00BC1B3F" w:rsidP="001312FE" w:rsidR="00BC1B3F">
      <w:pPr>
        <w:pStyle w:val="Tijeloteksta"/>
        <w:spacing w:lineRule="auto" w:line="276"/>
        <w:ind w:left="255"/>
        <w:jc w:val="both"/>
      </w:pPr>
      <w:r>
        <w:t>Kompanije u poslovnoj grupi Maloprodaja i veleprodaja su: Konzum, Konzum BiH, Tisak i Velpro centar. Tablica prikazuje kumulativni prihod i EBITDA-u po mjesecima za poslovnu grupu, dok su rezultati za pojedine kompanije unutar poslovne grupe izneseni kasnije u ovom poglavlju.</w:t>
      </w:r>
    </w:p>
    <w:p w:rsidRDefault="00BC1B3F" w:rsidP="001312FE" w:rsidR="00BC1B3F">
      <w:pPr>
        <w:pStyle w:val="Tijeloteksta"/>
        <w:rPr>
          <w:sz w:val="20"/>
        </w:rPr>
      </w:pPr>
    </w:p>
    <w:p w:rsidRDefault="001D4987" w:rsidP="001312FE" w:rsidR="00BC1B3F">
      <w:pPr>
        <w:pStyle w:val="Tijeloteksta"/>
        <w:spacing w:before="3"/>
        <w:rPr>
          <w:sz w:val="15"/>
        </w:rPr>
      </w:pPr>
      <w:r>
        <w:rPr>
          <w:noProof/>
          <w:lang w:bidi="ar-SA"/>
        </w:rPr>
        <w:pict>
          <v:shape fillcolor="#c00" stroked="f" id="_x0000_s1032" style="position:absolute;margin-left:130.45pt;margin-top:15.85pt;width:347.4pt;height:66pt;z-index:-251643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">
            <v:textbox inset="0,0,0,0">
              <w:txbxContent>
                <w:p w:rsidRDefault="00CC3F8B" w:rsidP="00BC1B3F" w:rsidR="00CC3F8B">
                  <w:pPr>
                    <w:spacing w:lineRule="auto" w:line="247" w:before="259"/>
                    <w:ind w:hanging="1921" w:left="2393"/>
                    <w:rPr>
                      <w:b/>
                      <w:sz w:val="30"/>
                    </w:rPr>
                  </w:pPr>
                  <w:r>
                    <w:rPr>
                      <w:b/>
                      <w:color w:val="FFFFFF"/>
                      <w:sz w:val="30"/>
                    </w:rPr>
                    <w:t>Kumulativni prihod i EBITDA po mjesecima, 2018. (mil. HRK)*</w:t>
                  </w:r>
                </w:p>
              </w:txbxContent>
            </v:textbox>
            <w10:wrap anchorx="page" type="topAndBottom"/>
          </v:shape>
        </w:pict>
      </w:r>
    </w:p>
    <w:p w:rsidRDefault="00BC1B3F" w:rsidP="001312FE" w:rsidR="00BC1B3F">
      <w:pPr>
        <w:pStyle w:val="Tijeloteksta"/>
        <w:spacing w:before="9"/>
        <w:jc w:val="center"/>
        <w:rPr>
          <w:sz w:val="6"/>
        </w:rPr>
      </w:pPr>
      <w:r>
        <w:rPr>
          <w:noProof/>
          <w:sz w:val="20"/>
          <w:lang w:bidi="ar-SA"/>
        </w:rPr>
        <w:drawing>
          <wp:inline distR="0" distL="0" distB="0" distT="0">
            <wp:extent cy="448652" cx="4512734"/>
            <wp:effectExtent b="0" r="2540" t="0" l="0"/>
            <wp:docPr name="Picture 11" id="11"/>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1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451049" cx="4536847"/>
                    </a:xfrm>
                    <a:prstGeom prst="rect">
                      <a:avLst/>
                    </a:prstGeom>
                    <a:noFill/>
                  </pic:spPr>
                </pic:pic>
              </a:graphicData>
            </a:graphic>
          </wp:inline>
        </w:drawing>
      </w:r>
    </w:p>
    <w:p w:rsidRDefault="00BC1B3F" w:rsidP="001312FE" w:rsidR="00BC1B3F">
      <w:pPr>
        <w:pStyle w:val="Tijeloteksta"/>
        <w:spacing w:before="9"/>
        <w:jc w:val="center"/>
        <w:rPr>
          <w:sz w:val="6"/>
        </w:rPr>
      </w:pPr>
    </w:p>
    <w:p w:rsidRDefault="00DA4A26" w:rsidP="001312FE" w:rsidR="00BC1B3F">
      <w:pPr>
        <w:pStyle w:val="Tijeloteksta"/>
        <w:ind w:left="1304"/>
        <w:rPr>
          <w:sz w:val="20"/>
        </w:rPr>
      </w:pPr>
      <w:r w:rsidRPr="00DA4A26">
        <w:rPr>
          <w:noProof/>
          <w:sz w:val="20"/>
          <w:lang w:bidi="ar-SA"/>
        </w:rPr>
        <w:drawing>
          <wp:anchor allowOverlap="true" layoutInCell="true" locked="false" behindDoc="false" relativeHeight="251695616" simplePos="false" distR="114300" distL="114300" distB="0" distT="0">
            <wp:simplePos y="0" x="0"/>
            <wp:positionH relativeFrom="column">
              <wp:posOffset>3639185</wp:posOffset>
            </wp:positionH>
            <wp:positionV relativeFrom="paragraph">
              <wp:posOffset>2230120</wp:posOffset>
            </wp:positionV>
            <wp:extent cy="266065" cx="1555750"/>
            <wp:effectExtent b="635" r="6350" t="0" l="0"/>
            <wp:wrapNone/>
            <wp:docPr name="Picture 32" id="32"/>
            <wp:cNvGraphicFramePr>
              <a:graphicFrameLocks noChangeAspect="true"/>
            </wp:cNvGraphicFramePr>
            <a:graphic>
              <a:graphicData uri="http://schemas.openxmlformats.org/drawingml/2006/picture">
                <pic:pic>
                  <pic:nvPicPr>
                    <pic:cNvPr name="" id="0"/>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66065" cx="1555750"/>
                    </a:xfrm>
                    <a:prstGeom prst="rect">
                      <a:avLst/>
                    </a:prstGeom>
                  </pic:spPr>
                </pic:pic>
              </a:graphicData>
            </a:graphic>
          </wp:anchor>
        </w:drawing>
      </w:r>
      <w:r w:rsidRPr="00DA4A26">
        <w:rPr>
          <w:noProof/>
          <w:sz w:val="20"/>
          <w:lang w:bidi="ar-SA"/>
        </w:rPr>
        <w:drawing>
          <wp:anchor allowOverlap="true" layoutInCell="true" locked="false" behindDoc="false" relativeHeight="251694592" simplePos="false" distR="114300" distL="114300" distB="0" distT="0">
            <wp:simplePos y="0" x="0"/>
            <wp:positionH relativeFrom="column">
              <wp:posOffset>1366520</wp:posOffset>
            </wp:positionH>
            <wp:positionV relativeFrom="paragraph">
              <wp:posOffset>2257425</wp:posOffset>
            </wp:positionV>
            <wp:extent cy="238760" cx="1541780"/>
            <wp:effectExtent b="8890" r="1270" t="0" l="0"/>
            <wp:wrapNone/>
            <wp:docPr name="Picture 31" id="31"/>
            <wp:cNvGraphicFramePr>
              <a:graphicFrameLocks noChangeAspect="true"/>
            </wp:cNvGraphicFramePr>
            <a:graphic>
              <a:graphicData uri="http://schemas.openxmlformats.org/drawingml/2006/picture">
                <pic:pic>
                  <pic:nvPicPr>
                    <pic:cNvPr name="" id="0"/>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38760" cx="1541780"/>
                    </a:xfrm>
                    <a:prstGeom prst="rect">
                      <a:avLst/>
                    </a:prstGeom>
                  </pic:spPr>
                </pic:pic>
              </a:graphicData>
            </a:graphic>
          </wp:anchor>
        </w:drawing>
      </w:r>
      <w:r w:rsidR="00BC1B3F">
        <w:rPr>
          <w:sz w:val="20"/>
        </w:rPr>
        <w:t xml:space="preserve"> </w:t>
      </w:r>
      <w:r w:rsidR="00BC1B3F" w:rsidRPr="004F19DB">
        <w:rPr>
          <w:noProof/>
          <w:sz w:val="20"/>
          <w:lang w:bidi="ar-SA"/>
        </w:rPr>
        <w:drawing>
          <wp:inline distR="0" distL="0" distB="0" distT="0">
            <wp:extent cy="2538484" cx="2306472"/>
            <wp:effectExtent b="14605" r="17780" t="0" l="0"/>
            <wp:docPr name="Chart 12" id="12"/>
            <wp:cNvGraphicFramePr/>
            <a:graphic>
              <a:graphicData uri="http://schemas.openxmlformats.org/drawingml/2006/chart">
                <c:chart r:id="rId20"/>
              </a:graphicData>
            </a:graphic>
          </wp:inline>
        </w:drawing>
      </w:r>
      <w:r w:rsidR="00BC1B3F" w:rsidRPr="004F19DB">
        <w:rPr>
          <w:noProof/>
          <w:sz w:val="20"/>
          <w:lang w:bidi="ar-SA"/>
        </w:rPr>
        <w:drawing>
          <wp:inline distR="0" distL="0" distB="0" distT="0">
            <wp:extent cy="2538122" cx="2230625"/>
            <wp:effectExtent b="14605" r="17780" t="0" l="0"/>
            <wp:docPr name="Chart 13" id="13"/>
            <wp:cNvGraphicFramePr/>
            <a:graphic>
              <a:graphicData uri="http://schemas.openxmlformats.org/drawingml/2006/chart">
                <c:chart r:id="rId21"/>
              </a:graphicData>
            </a:graphic>
          </wp:inline>
        </w:drawing>
      </w:r>
    </w:p>
    <w:p w:rsidRDefault="00BC1B3F" w:rsidP="001312FE" w:rsidR="00BC1B3F">
      <w:pPr>
        <w:pStyle w:val="Tijeloteksta"/>
        <w:ind w:left="1304"/>
        <w:rPr>
          <w:sz w:val="20"/>
        </w:rPr>
      </w:pPr>
    </w:p>
    <w:p w:rsidRDefault="001D4987" w:rsidP="001312FE" w:rsidR="00BC1B3F">
      <w:pPr>
        <w:pStyle w:val="Tijeloteksta"/>
        <w:ind w:left="1304"/>
        <w:rPr>
          <w:sz w:val="20"/>
        </w:rPr>
      </w:pPr>
      <w:r>
        <w:rPr>
          <w:noProof/>
          <w:lang w:bidi="ar-SA"/>
        </w:rPr>
        <w:pict>
          <v:shape filled="f" strokeweight="2pt" strokecolor="gray" o:spid="_x0000_s1033" id="Text Box 35" style="position:absolute;left:0;text-align:left;margin-left:128pt;margin-top:7.1pt;width:351.2pt;height:58.85pt;z-index:-251642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">
            <v:textbox inset="0,0,0,0">
              <w:txbxContent>
                <w:p w:rsidRDefault="00CC3F8B" w:rsidP="00BC1B3F" w:rsidR="00CC3F8B">
                  <w:pPr>
                    <w:spacing w:lineRule="exact" w:line="239" w:before="35"/>
                    <w:ind w:left="833"/>
                  </w:pPr>
                  <w:r>
                    <w:t>Uključuje zbrojene rezultate četiri kompanije :</w:t>
                  </w:r>
                </w:p>
                <w:p w:rsidRDefault="00CC3F8B" w:rsidP="00BC1B3F" w:rsidR="00CC3F8B">
                  <w:pPr>
                    <w:numPr>
                      <w:ilvl w:val="0"/>
                      <w:numId w:val="34"/>
                    </w:numPr>
                    <w:tabs>
                      <w:tab w:pos="1554" w:val="left"/>
                      <w:tab w:pos="1555" w:val="left"/>
                    </w:tabs>
                    <w:spacing w:lineRule="exact" w:line="228"/>
                  </w:pPr>
                  <w:r>
                    <w:t>Maloprodaja: Konzum Hrvatska, Konzum BiH,</w:t>
                  </w:r>
                  <w:r>
                    <w:rPr>
                      <w:spacing w:val="-6"/>
                    </w:rPr>
                    <w:t xml:space="preserve"> </w:t>
                  </w:r>
                  <w:r>
                    <w:t>Tisak</w:t>
                  </w:r>
                </w:p>
                <w:p w:rsidRDefault="00CC3F8B" w:rsidP="00BC1B3F" w:rsidR="00CC3F8B">
                  <w:pPr>
                    <w:numPr>
                      <w:ilvl w:val="0"/>
                      <w:numId w:val="34"/>
                    </w:numPr>
                    <w:tabs>
                      <w:tab w:pos="1554" w:val="left"/>
                      <w:tab w:pos="1555" w:val="left"/>
                    </w:tabs>
                    <w:spacing w:lineRule="exact" w:line="242"/>
                  </w:pPr>
                  <w:r>
                    <w:t>Veleprodaja: Velpro</w:t>
                  </w:r>
                  <w:r>
                    <w:rPr>
                      <w:spacing w:val="-1"/>
                    </w:rPr>
                    <w:t xml:space="preserve"> </w:t>
                  </w:r>
                  <w:r>
                    <w:t>centar</w:t>
                  </w:r>
                </w:p>
              </w:txbxContent>
            </v:textbox>
            <w10:wrap anchorx="page" type="topAndBottom"/>
          </v:shape>
        </w:pict>
      </w:r>
    </w:p>
    <w:p w:rsidRDefault="00BC1B3F" w:rsidP="001312FE" w:rsidR="00BC1B3F">
      <w:pPr>
        <w:pStyle w:val="Tijeloteksta"/>
        <w:ind w:left="1304"/>
        <w:rPr>
          <w:sz w:val="20"/>
        </w:rPr>
      </w:pPr>
    </w:p>
    <w:p w:rsidRDefault="00BC1B3F" w:rsidP="001312FE" w:rsidR="00BC1B3F">
      <w:pPr>
        <w:pStyle w:val="Tijeloteksta"/>
        <w:spacing w:before="11"/>
        <w:rPr>
          <w:sz w:val="8"/>
        </w:rPr>
      </w:pPr>
    </w:p>
    <w:p w:rsidRDefault="00BC1B3F" w:rsidP="001312FE" w:rsidR="00BC1B3F">
      <w:pPr>
        <w:pStyle w:val="Tijeloteksta"/>
        <w:spacing w:before="11"/>
        <w:rPr>
          <w:b/>
          <w:i/>
          <w:sz w:val="20"/>
        </w:rPr>
      </w:pPr>
      <w:r>
        <w:rPr>
          <w:noProof/>
          <w:lang w:bidi="ar-SA"/>
        </w:rPr>
        <w:t xml:space="preserve">                    </w:t>
      </w:r>
      <w:r>
        <w:rPr>
          <w:sz w:val="20"/>
        </w:rPr>
        <w:t>*</w:t>
      </w:r>
      <w:r>
        <w:rPr>
          <w:b/>
          <w:i/>
          <w:sz w:val="20"/>
        </w:rPr>
        <w:t>NAPOMENA: Preliminarni rezultati</w:t>
      </w:r>
    </w:p>
    <w:p w:rsidRDefault="00BC1B3F" w:rsidP="001312FE" w:rsidR="00BC1B3F">
      <w:pPr>
        <w:pStyle w:val="Tijeloteksta"/>
        <w:spacing w:before="11"/>
        <w:rPr>
          <w:b/>
          <w:i/>
          <w:sz w:val="20"/>
        </w:rPr>
      </w:pPr>
    </w:p>
    <w:p w:rsidRDefault="00BC1B3F" w:rsidP="001312FE" w:rsidR="00BC1B3F">
      <w:pPr>
        <w:pStyle w:val="Tijeloteksta"/>
        <w:spacing w:before="11"/>
        <w:rPr>
          <w:b/>
          <w:i/>
          <w:sz w:val="20"/>
        </w:rPr>
      </w:pPr>
    </w:p>
    <w:p w:rsidRDefault="00BC1B3F" w:rsidP="001312FE" w:rsidR="00BC1B3F">
      <w:pPr>
        <w:pStyle w:val="Tijeloteksta"/>
        <w:spacing w:before="11"/>
        <w:rPr>
          <w:b/>
          <w:i/>
          <w:sz w:val="20"/>
        </w:rPr>
      </w:pPr>
      <w:r>
        <w:rPr>
          <w:b/>
          <w:i/>
          <w:sz w:val="20"/>
        </w:rPr>
        <w:tab/>
        <w:t xml:space="preserve">           </w:t>
      </w:r>
    </w:p>
    <w:p w:rsidRDefault="00BC1B3F" w:rsidP="001312FE" w:rsidR="00BC1B3F">
      <w:pPr>
        <w:pStyle w:val="Tijeloteksta"/>
        <w:spacing w:before="11"/>
        <w:rPr>
          <w:b/>
          <w:i/>
          <w:sz w:val="20"/>
        </w:rPr>
      </w:pPr>
      <w:r>
        <w:rPr>
          <w:b/>
          <w:i/>
          <w:sz w:val="20"/>
        </w:rPr>
        <w:tab/>
      </w:r>
      <w:r>
        <w:rPr>
          <w:b/>
          <w:i/>
          <w:sz w:val="20"/>
        </w:rPr>
        <w:tab/>
      </w:r>
    </w:p>
    <w:p w:rsidRDefault="00BC1B3F" w:rsidP="001312FE" w:rsidR="00BC1B3F">
      <w:pPr>
        <w:jc w:val="both"/>
        <w:rPr>
          <w:b/>
          <w:i/>
          <w:sz w:val="20"/>
        </w:rPr>
      </w:pPr>
      <w:r>
        <w:rPr>
          <w:b/>
          <w:i/>
          <w:sz w:val="20"/>
        </w:rPr>
        <w:tab/>
      </w:r>
      <w:r>
        <w:rPr>
          <w:b/>
          <w:i/>
          <w:sz w:val="20"/>
        </w:rPr>
        <w:tab/>
      </w:r>
      <w:r w:rsidR="008C0AA5">
        <w:rPr>
          <w:noProof/>
          <w:lang w:bidi="ar-SA"/>
        </w:rPr>
        <w:drawing>
          <wp:inline distR="0" distL="0" distB="0" distT="0">
            <wp:extent cy="447675" cx="3952875"/>
            <wp:effectExtent b="9525" r="9525" t="0" l="0"/>
            <wp:docPr name="Picture 23" id="23"/>
            <wp:cNvGraphicFramePr>
              <a:graphicFrameLocks noChangeAspect="true"/>
            </wp:cNvGraphicFramePr>
            <a:graphic>
              <a:graphicData uri="http://schemas.openxmlformats.org/drawingml/2006/picture">
                <pic:pic>
                  <pic:nvPicPr>
                    <pic:cNvPr name="" id="0"/>
                    <pic:cNvPicPr/>
                  </pic:nvPicPr>
                  <pic:blipFill>
                    <a:blip r:embed="rId18"/>
                    <a:stretch>
                      <a:fillRect/>
                    </a:stretch>
                  </pic:blipFill>
                  <pic:spPr>
                    <a:xfrm>
                      <a:off y="0" x="0"/>
                      <a:ext cy="447675" cx="3952875"/>
                    </a:xfrm>
                    <a:prstGeom prst="rect">
                      <a:avLst/>
                    </a:prstGeom>
                  </pic:spPr>
                </pic:pic>
              </a:graphicData>
            </a:graphic>
          </wp:inline>
        </w:drawing>
      </w:r>
    </w:p>
    <w:p w:rsidRDefault="00BC1B3F" w:rsidP="001312FE" w:rsidR="00BC1B3F">
      <w:pPr>
        <w:rPr>
          <w:sz w:val="20"/>
        </w:rPr>
      </w:pPr>
    </w:p>
    <w:p w:rsidRDefault="00BC1B3F" w:rsidP="001312FE" w:rsidR="00BC1B3F">
      <w:pPr>
        <w:rPr>
          <w:sz w:val="20"/>
        </w:rPr>
      </w:pPr>
      <w:r>
        <w:rPr>
          <w:sz w:val="20"/>
        </w:rPr>
        <w:tab/>
      </w:r>
      <w:r>
        <w:rPr>
          <w:sz w:val="20"/>
        </w:rPr>
        <w:tab/>
      </w:r>
    </w:p>
    <w:p w:rsidRDefault="00BC1B3F" w:rsidP="001312FE" w:rsidR="00BC1B3F">
      <w:pPr>
        <w:rPr>
          <w:sz w:val="20"/>
        </w:rPr>
        <w:sectPr w:rsidSect="001312FE" w:rsidR="00BC1B3F">
          <w:pgSz w:code="9" w:h="16840" w:w="11910"/>
          <w:pgMar w:gutter="0" w:footer="1316" w:header="709" w:left="1160" w:bottom="1560" w:right="860" w:top="1680"/>
          <w:cols w:space="720"/>
        </w:sectPr>
      </w:pPr>
    </w:p>
    <w:p w:rsidRDefault="00BC1B3F" w:rsidP="001312FE" w:rsidR="00BC1B3F">
      <w:pPr>
        <w:pStyle w:val="Tijeloteksta"/>
        <w:spacing w:before="4"/>
        <w:rPr>
          <w:b/>
          <w:i/>
          <w:sz w:val="12"/>
        </w:rPr>
      </w:pPr>
    </w:p>
    <w:p w:rsidRDefault="002B2805" w:rsidP="001312FE" w:rsidR="00BC1B3F" w:rsidRPr="002B2805">
      <w:pPr>
        <w:tabs>
          <w:tab w:pos="929" w:val="left"/>
        </w:tabs>
        <w:spacing w:before="92"/>
        <w:ind w:left="720"/>
        <w:outlineLvl w:val="1"/>
        <w:rPr>
          <w:b/>
          <w:sz w:val="24"/>
        </w:rPr>
      </w:pPr>
      <w:bookmarkStart w:name="_Toc516483205" w:id="8"/>
      <w:bookmarkStart w:name="_Toc523299349" w:id="9"/>
      <w:r>
        <w:rPr>
          <w:b/>
          <w:sz w:val="24"/>
        </w:rPr>
        <w:t>2.2.1.</w:t>
      </w:r>
      <w:r w:rsidR="00BC1B3F" w:rsidRPr="002B2805">
        <w:rPr>
          <w:b/>
          <w:sz w:val="24"/>
        </w:rPr>
        <w:t>Kompanije u poslovnoj grupi Maloprodaja i veleprodaja: Konzum</w:t>
      </w:r>
      <w:r w:rsidR="00BC1B3F" w:rsidRPr="002B2805">
        <w:rPr>
          <w:b/>
          <w:spacing w:val="-9"/>
          <w:sz w:val="24"/>
        </w:rPr>
        <w:t xml:space="preserve"> </w:t>
      </w:r>
      <w:r w:rsidR="00BC1B3F" w:rsidRPr="002B2805">
        <w:rPr>
          <w:b/>
          <w:sz w:val="24"/>
        </w:rPr>
        <w:t>d.d.</w:t>
      </w:r>
      <w:bookmarkEnd w:id="8"/>
      <w:bookmarkEnd w:id="9"/>
    </w:p>
    <w:p w:rsidRDefault="00BC1B3F" w:rsidP="001312FE" w:rsidR="00BC1B3F">
      <w:pPr>
        <w:pStyle w:val="Tijeloteksta"/>
        <w:spacing w:before="1"/>
        <w:rPr>
          <w:b/>
          <w:sz w:val="21"/>
        </w:rPr>
      </w:pPr>
    </w:p>
    <w:p w:rsidRDefault="002B2805" w:rsidP="001312FE" w:rsidR="00BC1B3F" w:rsidRPr="002B2805">
      <w:pPr>
        <w:tabs>
          <w:tab w:pos="1958" w:val="left"/>
        </w:tabs>
        <w:spacing w:lineRule="auto" w:line="276"/>
        <w:ind w:left="1080"/>
        <w:rPr>
          <w:b/>
          <w:sz w:val="24"/>
        </w:rPr>
      </w:pPr>
      <w:r>
        <w:rPr>
          <w:b/>
          <w:sz w:val="24"/>
        </w:rPr>
        <w:t>2.2.1.1.</w:t>
      </w:r>
      <w:r w:rsidR="00BC1B3F" w:rsidRPr="002B2805">
        <w:rPr>
          <w:b/>
          <w:sz w:val="24"/>
        </w:rPr>
        <w:t>Financijski rezultati od početka godine i ključni financijski pokazatelji</w:t>
      </w:r>
      <w:r w:rsidR="00BC1B3F" w:rsidRPr="002B2805">
        <w:rPr>
          <w:b/>
          <w:spacing w:val="-1"/>
          <w:sz w:val="24"/>
        </w:rPr>
        <w:t xml:space="preserve"> </w:t>
      </w:r>
      <w:r w:rsidR="00BC1B3F" w:rsidRPr="002B2805">
        <w:rPr>
          <w:b/>
          <w:sz w:val="24"/>
        </w:rPr>
        <w:t>učinka</w:t>
      </w:r>
    </w:p>
    <w:p w:rsidRDefault="00BC1B3F" w:rsidP="001312FE" w:rsidR="00BC1B3F">
      <w:pPr>
        <w:pStyle w:val="Tijeloteksta"/>
        <w:spacing w:before="7"/>
        <w:rPr>
          <w:b/>
          <w:sz w:val="17"/>
        </w:rPr>
      </w:pPr>
    </w:p>
    <w:tbl>
      <w:tblPr>
        <w:tblpPr w:tblpY="162" w:tblpXSpec="center" w:horzAnchor="margin" w:vertAnchor="text" w:rightFromText="180" w:leftFromText="180"/>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24"/>
        <w:gridCol w:w="2268"/>
        <w:gridCol w:w="2126"/>
      </w:tblGrid>
      <w:tr w:rsidTr="003C02CF" w:rsidR="00BC1B3F">
        <w:trPr>
          <w:trHeight w:val="445"/>
        </w:trPr>
        <w:tc>
          <w:tcPr>
            <w:tcW w:type="dxa" w:w="3124"/>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8"/>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xml:space="preserve">- VII. 2018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126"/>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VII.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402"/>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5.045</w:t>
            </w:r>
          </w:p>
        </w:tc>
        <w:tc>
          <w:tcPr>
            <w:tcW w:type="dxa" w:w="2126"/>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5.02</w:t>
            </w:r>
            <w:r w:rsidR="001F652C">
              <w:t>6</w:t>
            </w:r>
          </w:p>
        </w:tc>
      </w:tr>
      <w:tr w:rsidTr="003C02CF" w:rsidR="00BC1B3F">
        <w:trPr>
          <w:trHeight w:val="275"/>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231,4</w:t>
            </w:r>
          </w:p>
        </w:tc>
        <w:tc>
          <w:tcPr>
            <w:tcW w:type="dxa" w:w="2126"/>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135,7</w:t>
            </w:r>
          </w:p>
        </w:tc>
      </w:tr>
      <w:tr w:rsidTr="003C02CF" w:rsidR="00BC1B3F">
        <w:trPr>
          <w:trHeight w:val="268"/>
        </w:trPr>
        <w:tc>
          <w:tcPr>
            <w:tcW w:type="dxa" w:w="3124"/>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4,6%</w:t>
            </w:r>
          </w:p>
        </w:tc>
        <w:tc>
          <w:tcPr>
            <w:tcW w:type="dxa" w:w="2126"/>
            <w:tcBorders>
              <w:top w:space="0" w:sz="4" w:color="000000" w:val="single"/>
              <w:left w:space="0" w:sz="4" w:color="000000" w:val="single"/>
              <w:bottom w:space="0" w:sz="4" w:color="000000" w:val="single"/>
              <w:right w:space="0" w:sz="4" w:color="000000" w:val="single"/>
            </w:tcBorders>
          </w:tcPr>
          <w:p w:rsidRDefault="00BC1B3F" w:rsidP="001312FE" w:rsidR="00BC1B3F" w:rsidRPr="00BE7D3E">
            <w:pPr>
              <w:jc w:val="center"/>
            </w:pPr>
            <w:r w:rsidRPr="00BE7D3E">
              <w:t>2,7%</w:t>
            </w:r>
          </w:p>
        </w:tc>
      </w:tr>
    </w:tbl>
    <w:p w:rsidRDefault="00BC1B3F" w:rsidP="001312FE" w:rsidR="00BC1B3F">
      <w:pPr>
        <w:ind w:left="966"/>
        <w:rPr>
          <w:sz w:val="20"/>
        </w:rPr>
      </w:pPr>
    </w:p>
    <w:p w:rsidRDefault="00BC1B3F" w:rsidP="001312FE" w:rsidR="00BC1B3F">
      <w:pPr>
        <w:ind w:left="966"/>
        <w:rPr>
          <w:sz w:val="20"/>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pStyle w:val="Tijeloteksta"/>
        <w:rPr>
          <w:b/>
          <w:i/>
          <w:sz w:val="22"/>
        </w:rPr>
      </w:pPr>
    </w:p>
    <w:p w:rsidRDefault="00BC1B3F" w:rsidP="001312FE" w:rsidR="00BC1B3F">
      <w:pPr>
        <w:ind w:left="966"/>
        <w:rPr>
          <w:sz w:val="20"/>
        </w:rPr>
      </w:pPr>
    </w:p>
    <w:p w:rsidRDefault="00BC1B3F" w:rsidP="001312FE" w:rsidR="00BC1B3F">
      <w:pPr>
        <w:ind w:left="1359"/>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10"/>
        <w:rPr>
          <w:b/>
          <w:i/>
          <w:sz w:val="25"/>
        </w:rPr>
      </w:pPr>
    </w:p>
    <w:p w:rsidRDefault="00913E38" w:rsidP="001312FE" w:rsidR="00BC1B3F" w:rsidRPr="00913E38">
      <w:pPr>
        <w:tabs>
          <w:tab w:pos="1834" w:val="left"/>
        </w:tabs>
        <w:ind w:left="1080"/>
        <w:rPr>
          <w:b/>
          <w:sz w:val="24"/>
        </w:rPr>
      </w:pPr>
      <w:r>
        <w:rPr>
          <w:b/>
          <w:sz w:val="24"/>
        </w:rPr>
        <w:t xml:space="preserve">2.2.1.2. </w:t>
      </w:r>
      <w:r w:rsidR="00BC1B3F" w:rsidRPr="00913E38">
        <w:rPr>
          <w:b/>
          <w:sz w:val="24"/>
        </w:rPr>
        <w:t>Komentari na tekuće</w:t>
      </w:r>
      <w:r w:rsidR="00BC1B3F" w:rsidRPr="00913E38">
        <w:rPr>
          <w:b/>
          <w:spacing w:val="-20"/>
          <w:sz w:val="24"/>
        </w:rPr>
        <w:t xml:space="preserve"> </w:t>
      </w:r>
      <w:r w:rsidR="00BC1B3F" w:rsidRPr="00913E38">
        <w:rPr>
          <w:b/>
          <w:sz w:val="24"/>
        </w:rPr>
        <w:t>poslovanje</w:t>
      </w:r>
    </w:p>
    <w:p w:rsidRDefault="00BC1B3F" w:rsidP="001312FE" w:rsidR="00BC1B3F">
      <w:pPr>
        <w:pStyle w:val="Tijeloteksta"/>
        <w:rPr>
          <w:b/>
        </w:rPr>
      </w:pPr>
    </w:p>
    <w:p w:rsidRDefault="00BC1B3F" w:rsidP="009B28A5" w:rsidR="00BC1B3F" w:rsidRPr="002E4FDF">
      <w:pPr>
        <w:pStyle w:val="Tijeloteksta"/>
        <w:numPr>
          <w:ilvl w:val="0"/>
          <w:numId w:val="38"/>
        </w:numPr>
        <w:spacing w:lineRule="auto" w:line="276" w:after="240" w:before="1"/>
        <w:ind w:hanging="709" w:left="2127"/>
        <w:jc w:val="both"/>
      </w:pPr>
      <w:r>
        <w:t xml:space="preserve">Povratak kupaca kao pozitivan trend, koji je započeo početkom godine, nastavio se i u srpnju s većim brojem transakcija od </w:t>
      </w:r>
      <w:r w:rsidR="00384CBA">
        <w:t>planiranog</w:t>
      </w:r>
      <w:r>
        <w:t>. Kvalitetna ponuda i asortiman uz jake</w:t>
      </w:r>
      <w:r w:rsidRPr="002E4FDF">
        <w:t xml:space="preserve"> promotivne aktivnosti utjecale su na veću prosječnu košaricu od </w:t>
      </w:r>
      <w:r w:rsidR="00384CBA">
        <w:t xml:space="preserve">plana </w:t>
      </w:r>
      <w:r w:rsidRPr="002E4FDF">
        <w:t xml:space="preserve">u </w:t>
      </w:r>
      <w:r>
        <w:t>srpnju</w:t>
      </w:r>
      <w:r w:rsidRPr="002E4FDF">
        <w:t>, kao i u kumulativu godine.</w:t>
      </w:r>
    </w:p>
    <w:p w:rsidRDefault="00BC1B3F" w:rsidP="009B28A5" w:rsidR="00BC1B3F" w:rsidRPr="002E4FDF">
      <w:pPr>
        <w:pStyle w:val="Tijeloteksta"/>
        <w:numPr>
          <w:ilvl w:val="0"/>
          <w:numId w:val="38"/>
        </w:numPr>
        <w:spacing w:lineRule="auto" w:line="276" w:after="240" w:before="1"/>
        <w:ind w:hanging="709" w:left="2127"/>
        <w:jc w:val="both"/>
      </w:pPr>
      <w:r>
        <w:t xml:space="preserve">Kontinuirani pozitivni rezultati </w:t>
      </w:r>
      <w:r w:rsidRPr="002E4FDF">
        <w:t>povećanja broja kupaca i prosječne košarice rezultira</w:t>
      </w:r>
      <w:r>
        <w:t>li</w:t>
      </w:r>
      <w:r w:rsidRPr="002E4FDF">
        <w:t xml:space="preserve"> </w:t>
      </w:r>
      <w:r>
        <w:t>su prihodom u maloprodaji u srpnju, kao i u kumulativu godine,</w:t>
      </w:r>
      <w:r w:rsidRPr="002E4FDF">
        <w:t xml:space="preserve"> većim od planiranog.</w:t>
      </w:r>
    </w:p>
    <w:p w:rsidRDefault="00BC1B3F" w:rsidP="009B28A5" w:rsidR="00BC1B3F" w:rsidRPr="002E4FDF">
      <w:pPr>
        <w:pStyle w:val="Tijeloteksta"/>
        <w:numPr>
          <w:ilvl w:val="0"/>
          <w:numId w:val="38"/>
        </w:numPr>
        <w:spacing w:lineRule="auto" w:line="276" w:after="240" w:before="1"/>
        <w:ind w:hanging="709" w:left="2127"/>
        <w:jc w:val="both"/>
      </w:pPr>
      <w:r w:rsidRPr="002E4FDF">
        <w:t>Prihod od</w:t>
      </w:r>
      <w:r>
        <w:t xml:space="preserve"> prodaje u maloprodaji u prvih </w:t>
      </w:r>
      <w:r w:rsidR="002732EF">
        <w:t>sedam</w:t>
      </w:r>
      <w:r w:rsidRPr="002E4FDF">
        <w:t xml:space="preserve"> mjes</w:t>
      </w:r>
      <w:r>
        <w:t>eci godine iznad plana je za 4</w:t>
      </w:r>
      <w:r w:rsidRPr="002E4FDF">
        <w:t xml:space="preserve">% dok je u </w:t>
      </w:r>
      <w:r>
        <w:t>srpnju</w:t>
      </w:r>
      <w:r w:rsidRPr="002E4FDF">
        <w:t xml:space="preserve"> viši </w:t>
      </w:r>
      <w:r>
        <w:t>za 2</w:t>
      </w:r>
      <w:r w:rsidRPr="002E4FDF">
        <w:t>%.</w:t>
      </w:r>
    </w:p>
    <w:p w:rsidRDefault="00BC1B3F" w:rsidP="009B28A5" w:rsidR="00BC1B3F" w:rsidRPr="002E4FDF">
      <w:pPr>
        <w:pStyle w:val="Tijeloteksta"/>
        <w:numPr>
          <w:ilvl w:val="0"/>
          <w:numId w:val="38"/>
        </w:numPr>
        <w:spacing w:lineRule="auto" w:line="276" w:after="240" w:before="1"/>
        <w:ind w:hanging="709" w:left="2127"/>
        <w:jc w:val="both"/>
      </w:pPr>
      <w:r w:rsidRPr="002E4FDF">
        <w:t xml:space="preserve">Ukupna marža ostvarena u maloprodaji u </w:t>
      </w:r>
      <w:r>
        <w:t>srpnju je za 3,9</w:t>
      </w:r>
      <w:r w:rsidRPr="002E4FDF">
        <w:t xml:space="preserve">% veća od plana dok je na kumulativu </w:t>
      </w:r>
      <w:r>
        <w:t>godine iznad plana 4,2% što se može gledati kao rezultat većih prihoda u odnosu na plan</w:t>
      </w:r>
      <w:r w:rsidR="002732EF">
        <w:t>,</w:t>
      </w:r>
      <w:r>
        <w:t xml:space="preserve"> al</w:t>
      </w:r>
      <w:r w:rsidR="002732EF">
        <w:t>i</w:t>
      </w:r>
      <w:r>
        <w:t xml:space="preserve"> naravno i rezultatom bolje suradnje i komunikacije s dobavljačima</w:t>
      </w:r>
      <w:r w:rsidR="007E3B64">
        <w:t>.</w:t>
      </w:r>
    </w:p>
    <w:p w:rsidRDefault="00BC1B3F" w:rsidP="009B28A5" w:rsidR="00BC1B3F" w:rsidRPr="006040FC">
      <w:pPr>
        <w:pStyle w:val="Tijeloteksta"/>
        <w:numPr>
          <w:ilvl w:val="0"/>
          <w:numId w:val="38"/>
        </w:numPr>
        <w:spacing w:lineRule="auto" w:line="276" w:after="240" w:before="1"/>
        <w:ind w:hanging="709" w:left="2127"/>
        <w:jc w:val="both"/>
      </w:pPr>
      <w:r w:rsidRPr="006040FC">
        <w:t xml:space="preserve">Efekti raznih mjera ušteda i aktivnosti usmjerenih </w:t>
      </w:r>
      <w:r w:rsidR="002732EF">
        <w:t>prema</w:t>
      </w:r>
      <w:r w:rsidRPr="006040FC">
        <w:t xml:space="preserve"> povećanju profitabilnosti poduzeti krajem prošle i početkom ove godine vidljivi su kroz manje operativne troškove od planiranih koji su u srpnju i u kumulativu godine niži od planiranih</w:t>
      </w:r>
      <w:r w:rsidR="007E3B64">
        <w:t>.</w:t>
      </w:r>
    </w:p>
    <w:p w:rsidRDefault="00BC1B3F" w:rsidP="001312FE" w:rsidR="00AB1309" w:rsidRPr="009B28A5">
      <w:pPr>
        <w:pStyle w:val="Tijeloteksta"/>
        <w:numPr>
          <w:ilvl w:val="0"/>
          <w:numId w:val="38"/>
        </w:numPr>
        <w:spacing w:lineRule="auto" w:line="276" w:after="240" w:before="1"/>
        <w:ind w:hanging="709" w:left="2127"/>
        <w:jc w:val="both"/>
      </w:pPr>
      <w:r>
        <w:t>Uz kontrolirano smanjenje operativnih troškova,</w:t>
      </w:r>
      <w:r w:rsidR="004C2571">
        <w:t xml:space="preserve"> </w:t>
      </w:r>
      <w:r>
        <w:t>a istovremeno povećanje prihoda i marže u odnosu na plan realizirana je bolja EBITDA i EBITDA marža u srpnju kao i u svakom izvještajnom mjesecu ove godine.</w:t>
      </w:r>
      <w:r w:rsidR="00AB1309">
        <w:br w:type="page"/>
      </w:r>
    </w:p>
    <w:p w:rsidRDefault="008A4A4E" w:rsidP="001312FE" w:rsidR="008A4A4E">
      <w:pPr>
        <w:tabs>
          <w:tab w:pos="965" w:val="left"/>
        </w:tabs>
        <w:spacing w:before="92"/>
        <w:ind w:left="720"/>
        <w:outlineLvl w:val="1"/>
        <w:rPr>
          <w:b/>
          <w:spacing w:val="3"/>
          <w:sz w:val="24"/>
        </w:rPr>
      </w:pPr>
      <w:bookmarkStart w:name="_Toc516483206" w:id="10"/>
      <w:bookmarkStart w:name="_Toc523299350" w:id="11"/>
    </w:p>
    <w:p w:rsidRDefault="00FA4109" w:rsidP="001312FE" w:rsidR="00BC1B3F" w:rsidRPr="00FA4109">
      <w:pPr>
        <w:tabs>
          <w:tab w:pos="965" w:val="left"/>
        </w:tabs>
        <w:spacing w:before="92"/>
        <w:ind w:left="720"/>
        <w:outlineLvl w:val="1"/>
        <w:rPr>
          <w:b/>
          <w:sz w:val="24"/>
        </w:rPr>
      </w:pPr>
      <w:r>
        <w:rPr>
          <w:b/>
          <w:spacing w:val="3"/>
          <w:sz w:val="24"/>
        </w:rPr>
        <w:t xml:space="preserve">2.2.2. </w:t>
      </w:r>
      <w:r w:rsidR="00BC1B3F" w:rsidRPr="00FA4109">
        <w:rPr>
          <w:b/>
          <w:spacing w:val="3"/>
          <w:sz w:val="24"/>
        </w:rPr>
        <w:t xml:space="preserve">Kompanije </w:t>
      </w:r>
      <w:r w:rsidR="00BC1B3F" w:rsidRPr="00FA4109">
        <w:rPr>
          <w:b/>
          <w:sz w:val="24"/>
        </w:rPr>
        <w:t xml:space="preserve">u </w:t>
      </w:r>
      <w:r w:rsidR="00BC1B3F" w:rsidRPr="00FA4109">
        <w:rPr>
          <w:b/>
          <w:spacing w:val="3"/>
          <w:sz w:val="24"/>
        </w:rPr>
        <w:t xml:space="preserve">poslovnoj grupi Maloprodaja </w:t>
      </w:r>
      <w:r w:rsidR="00BC1B3F" w:rsidRPr="00FA4109">
        <w:rPr>
          <w:b/>
          <w:sz w:val="24"/>
        </w:rPr>
        <w:t xml:space="preserve">i </w:t>
      </w:r>
      <w:r w:rsidR="00BC1B3F" w:rsidRPr="00FA4109">
        <w:rPr>
          <w:b/>
          <w:spacing w:val="3"/>
          <w:sz w:val="24"/>
        </w:rPr>
        <w:t>veleprodaja: Konzum</w:t>
      </w:r>
      <w:r w:rsidR="00BC1B3F" w:rsidRPr="00FA4109">
        <w:rPr>
          <w:b/>
          <w:spacing w:val="70"/>
          <w:sz w:val="24"/>
        </w:rPr>
        <w:t xml:space="preserve"> </w:t>
      </w:r>
      <w:r w:rsidR="00BC1B3F" w:rsidRPr="00FA4109">
        <w:rPr>
          <w:b/>
          <w:spacing w:val="3"/>
          <w:sz w:val="24"/>
        </w:rPr>
        <w:t>BiH</w:t>
      </w:r>
      <w:bookmarkEnd w:id="10"/>
      <w:bookmarkEnd w:id="11"/>
    </w:p>
    <w:p w:rsidRDefault="00BC1B3F" w:rsidP="001312FE" w:rsidR="00BC1B3F">
      <w:pPr>
        <w:pStyle w:val="Tijeloteksta"/>
        <w:spacing w:before="10"/>
        <w:rPr>
          <w:b/>
          <w:sz w:val="20"/>
        </w:rPr>
      </w:pPr>
    </w:p>
    <w:p w:rsidRDefault="00FA4109" w:rsidP="001312FE" w:rsidR="00BC1B3F" w:rsidRPr="00FA4109">
      <w:pPr>
        <w:tabs>
          <w:tab w:pos="1882" w:val="left"/>
        </w:tabs>
        <w:ind w:left="1080"/>
        <w:rPr>
          <w:b/>
          <w:sz w:val="24"/>
        </w:rPr>
      </w:pPr>
      <w:r>
        <w:rPr>
          <w:b/>
          <w:spacing w:val="4"/>
          <w:sz w:val="24"/>
        </w:rPr>
        <w:t xml:space="preserve">2.2.2.1. </w:t>
      </w:r>
      <w:r w:rsidR="00BC1B3F" w:rsidRPr="00FA4109">
        <w:rPr>
          <w:b/>
          <w:spacing w:val="4"/>
          <w:sz w:val="24"/>
        </w:rPr>
        <w:t xml:space="preserve">Financijski </w:t>
      </w:r>
      <w:r w:rsidR="00BC1B3F" w:rsidRPr="00FA4109">
        <w:rPr>
          <w:b/>
          <w:spacing w:val="3"/>
          <w:sz w:val="24"/>
        </w:rPr>
        <w:t xml:space="preserve">rezultati </w:t>
      </w:r>
      <w:r w:rsidR="00BC1B3F" w:rsidRPr="00FA4109">
        <w:rPr>
          <w:b/>
          <w:sz w:val="24"/>
        </w:rPr>
        <w:t xml:space="preserve">od </w:t>
      </w:r>
      <w:r w:rsidR="00BC1B3F" w:rsidRPr="00FA4109">
        <w:rPr>
          <w:b/>
          <w:spacing w:val="3"/>
          <w:sz w:val="24"/>
        </w:rPr>
        <w:t xml:space="preserve">početka godine </w:t>
      </w:r>
      <w:r w:rsidR="00BC1B3F" w:rsidRPr="00FA4109">
        <w:rPr>
          <w:b/>
          <w:sz w:val="24"/>
        </w:rPr>
        <w:t xml:space="preserve">i </w:t>
      </w:r>
      <w:r w:rsidR="00BC1B3F" w:rsidRPr="00FA4109">
        <w:rPr>
          <w:b/>
          <w:spacing w:val="3"/>
          <w:sz w:val="24"/>
        </w:rPr>
        <w:t>ključni financijski pokazatelji</w:t>
      </w:r>
      <w:r w:rsidR="00BC1B3F" w:rsidRPr="00FA4109">
        <w:rPr>
          <w:b/>
          <w:spacing w:val="10"/>
          <w:sz w:val="24"/>
        </w:rPr>
        <w:t xml:space="preserve"> </w:t>
      </w:r>
      <w:r w:rsidR="00BC1B3F" w:rsidRPr="00FA4109">
        <w:rPr>
          <w:b/>
          <w:spacing w:val="3"/>
          <w:sz w:val="24"/>
        </w:rPr>
        <w:t>učinka</w:t>
      </w:r>
    </w:p>
    <w:p w:rsidRDefault="00BC1B3F" w:rsidP="001312FE" w:rsidR="00BC1B3F">
      <w:pPr>
        <w:pStyle w:val="Odlomakpopisa"/>
        <w:tabs>
          <w:tab w:pos="1882" w:val="left"/>
        </w:tabs>
        <w:ind w:firstLine="0" w:left="966"/>
        <w:rPr>
          <w:b/>
          <w:sz w:val="24"/>
        </w:rPr>
      </w:pPr>
    </w:p>
    <w:tbl>
      <w:tblPr>
        <w:tblW w:type="auto" w:w="0"/>
        <w:tblInd w:type="dxa" w:w="105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345"/>
        <w:gridCol w:w="2268"/>
        <w:gridCol w:w="2268"/>
      </w:tblGrid>
      <w:tr w:rsidTr="003C02CF" w:rsidR="00BC1B3F">
        <w:trPr>
          <w:trHeight w:val="445"/>
        </w:trPr>
        <w:tc>
          <w:tcPr>
            <w:tcW w:type="dxa" w:w="3345"/>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 xml:space="preserve">VII. 2018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68"/>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0262A5">
              <w:rPr>
                <w:b/>
                <w:color w:val="FFFFFF"/>
                <w:sz w:val="24"/>
                <w:lang w:eastAsia="en-US" w:val="en-US"/>
              </w:rPr>
              <w:t xml:space="preserve"> </w:t>
            </w:r>
            <w:r>
              <w:rPr>
                <w:b/>
                <w:color w:val="FFFFFF"/>
                <w:sz w:val="24"/>
                <w:lang w:eastAsia="en-US" w:val="en-US"/>
              </w:rPr>
              <w:t>- VII.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067F1C">
            <w:pPr>
              <w:jc w:val="center"/>
            </w:pPr>
            <w:r w:rsidRPr="00067F1C">
              <w:t>742</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067F1C">
            <w:pPr>
              <w:jc w:val="center"/>
            </w:pPr>
            <w:r w:rsidRPr="00067F1C">
              <w:t>804</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067F1C">
            <w:pPr>
              <w:jc w:val="center"/>
            </w:pPr>
            <w:r w:rsidRPr="00067F1C">
              <w:t>-7,9</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067F1C">
            <w:pPr>
              <w:jc w:val="center"/>
            </w:pPr>
            <w:r w:rsidRPr="00067F1C">
              <w:t>0,3</w:t>
            </w:r>
          </w:p>
        </w:tc>
      </w:tr>
      <w:tr w:rsidTr="003C02CF" w:rsidR="00BC1B3F">
        <w:trPr>
          <w:trHeight w:val="275"/>
        </w:trPr>
        <w:tc>
          <w:tcPr>
            <w:tcW w:type="dxa" w:w="3345"/>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1312FE" w:rsidR="00BC1B3F" w:rsidRPr="00067F1C">
            <w:pPr>
              <w:jc w:val="center"/>
            </w:pPr>
            <w:r w:rsidRPr="00067F1C">
              <w:t>-1,1%</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067F1C">
            <w:pPr>
              <w:jc w:val="center"/>
            </w:pPr>
            <w:r w:rsidRPr="00067F1C">
              <w:t>0,0%</w:t>
            </w:r>
          </w:p>
        </w:tc>
      </w:tr>
    </w:tbl>
    <w:p w:rsidRDefault="00BC1B3F" w:rsidP="001312FE" w:rsidR="00BC1B3F">
      <w:pPr>
        <w:ind w:left="966"/>
        <w:rPr>
          <w:b/>
          <w:i/>
          <w:sz w:val="20"/>
        </w:rPr>
      </w:pPr>
      <w:r>
        <w:rPr>
          <w:b/>
          <w:i/>
          <w:sz w:val="20"/>
        </w:rPr>
        <w:t>*NAPOMENA: Preliminarni rezultati</w:t>
      </w:r>
    </w:p>
    <w:p w:rsidRDefault="00BC1B3F" w:rsidP="001312FE" w:rsidR="00BC1B3F">
      <w:pPr>
        <w:pStyle w:val="Tijeloteksta"/>
        <w:rPr>
          <w:b/>
          <w:i/>
          <w:sz w:val="22"/>
        </w:rPr>
      </w:pPr>
    </w:p>
    <w:p w:rsidRDefault="00913E38" w:rsidP="001312FE" w:rsidR="00913E38">
      <w:pPr>
        <w:tabs>
          <w:tab w:pos="1882" w:val="left"/>
        </w:tabs>
        <w:ind w:left="1080"/>
        <w:rPr>
          <w:b/>
          <w:spacing w:val="3"/>
          <w:sz w:val="24"/>
        </w:rPr>
      </w:pPr>
    </w:p>
    <w:p w:rsidRDefault="00FA4109" w:rsidP="001312FE" w:rsidR="00BC1B3F" w:rsidRPr="00FA4109">
      <w:pPr>
        <w:tabs>
          <w:tab w:pos="1882" w:val="left"/>
        </w:tabs>
        <w:ind w:left="1080"/>
        <w:rPr>
          <w:b/>
          <w:sz w:val="24"/>
        </w:rPr>
      </w:pPr>
      <w:r>
        <w:rPr>
          <w:b/>
          <w:spacing w:val="3"/>
          <w:sz w:val="24"/>
        </w:rPr>
        <w:t xml:space="preserve">2.2.2.2. </w:t>
      </w:r>
      <w:r w:rsidR="00BC1B3F" w:rsidRPr="00FA4109">
        <w:rPr>
          <w:b/>
          <w:spacing w:val="3"/>
          <w:sz w:val="24"/>
        </w:rPr>
        <w:t xml:space="preserve">Komentari </w:t>
      </w:r>
      <w:r w:rsidR="00BC1B3F" w:rsidRPr="00FA4109">
        <w:rPr>
          <w:b/>
          <w:sz w:val="24"/>
        </w:rPr>
        <w:t xml:space="preserve">na </w:t>
      </w:r>
      <w:r w:rsidR="00BC1B3F" w:rsidRPr="00FA4109">
        <w:rPr>
          <w:b/>
          <w:spacing w:val="3"/>
          <w:sz w:val="24"/>
        </w:rPr>
        <w:t>tekuće</w:t>
      </w:r>
      <w:r w:rsidR="00BC1B3F" w:rsidRPr="00FA4109">
        <w:rPr>
          <w:b/>
          <w:spacing w:val="30"/>
          <w:sz w:val="24"/>
        </w:rPr>
        <w:t xml:space="preserve"> </w:t>
      </w:r>
      <w:r w:rsidR="00BC1B3F" w:rsidRPr="00FA4109">
        <w:rPr>
          <w:b/>
          <w:spacing w:val="3"/>
          <w:sz w:val="24"/>
        </w:rPr>
        <w:t>poslovanje</w:t>
      </w:r>
    </w:p>
    <w:p w:rsidRDefault="00BC1B3F" w:rsidP="001312FE" w:rsidR="00BC1B3F">
      <w:pPr>
        <w:pStyle w:val="Odlomakpopisa"/>
        <w:tabs>
          <w:tab w:pos="1882" w:val="left"/>
        </w:tabs>
        <w:ind w:firstLine="0" w:left="993"/>
        <w:rPr>
          <w:b/>
          <w:sz w:val="24"/>
        </w:rPr>
      </w:pPr>
    </w:p>
    <w:p w:rsidRDefault="00BC1B3F" w:rsidP="001312FE" w:rsidR="00BC1B3F">
      <w:pPr>
        <w:pStyle w:val="Tijeloteksta"/>
        <w:spacing w:before="11"/>
        <w:rPr>
          <w:b/>
          <w:sz w:val="20"/>
        </w:rPr>
      </w:pPr>
    </w:p>
    <w:p w:rsidRDefault="00BC1B3F" w:rsidP="009B28A5" w:rsidR="00BC1B3F">
      <w:pPr>
        <w:pStyle w:val="Tijeloteksta"/>
        <w:numPr>
          <w:ilvl w:val="0"/>
          <w:numId w:val="38"/>
        </w:numPr>
        <w:spacing w:lineRule="auto" w:line="276" w:after="240" w:before="1"/>
        <w:ind w:hanging="709" w:left="2127"/>
        <w:jc w:val="both"/>
      </w:pPr>
      <w:r>
        <w:t xml:space="preserve">Košarica i broj kupaca u srpnju bili su iznad </w:t>
      </w:r>
      <w:r w:rsidR="00384CBA">
        <w:t>plana</w:t>
      </w:r>
      <w:r>
        <w:t xml:space="preserve"> što je iznimno pozitivno jer ukazuje na povratak vjernih kupaca.</w:t>
      </w:r>
    </w:p>
    <w:p w:rsidRDefault="00BC1B3F" w:rsidP="009B28A5" w:rsidR="00BC1B3F">
      <w:pPr>
        <w:pStyle w:val="Tijeloteksta"/>
        <w:numPr>
          <w:ilvl w:val="0"/>
          <w:numId w:val="38"/>
        </w:numPr>
        <w:spacing w:lineRule="auto" w:line="276" w:after="240" w:before="1"/>
        <w:ind w:hanging="709" w:left="2127"/>
        <w:jc w:val="both"/>
      </w:pPr>
      <w:r>
        <w:t>Iako su ostvareni prihodi niži od planiranih, kontinuirano smanjenje operativnih troškova rezultiralo je pozitivnom EBITDA za srpanj.</w:t>
      </w:r>
    </w:p>
    <w:p w:rsidRDefault="00BC1B3F" w:rsidP="009B28A5" w:rsidR="00BC1B3F">
      <w:pPr>
        <w:pStyle w:val="Tijeloteksta"/>
        <w:numPr>
          <w:ilvl w:val="0"/>
          <w:numId w:val="38"/>
        </w:numPr>
        <w:spacing w:lineRule="auto" w:line="276" w:after="240" w:before="1"/>
        <w:ind w:hanging="709" w:left="2127"/>
        <w:jc w:val="both"/>
      </w:pPr>
      <w:r>
        <w:t xml:space="preserve">U </w:t>
      </w:r>
      <w:r w:rsidR="007E3B64">
        <w:t>srpnju je</w:t>
      </w:r>
      <w:r>
        <w:t xml:space="preserve"> došlo do promjene u konceptu akcija. Umjesto</w:t>
      </w:r>
      <w:r w:rsidR="002732EF">
        <w:t xml:space="preserve"> akcije</w:t>
      </w:r>
      <w:r>
        <w:t xml:space="preserve"> </w:t>
      </w:r>
      <w:r w:rsidR="002732EF">
        <w:t>„</w:t>
      </w:r>
      <w:r>
        <w:t>Cijene dana</w:t>
      </w:r>
      <w:r w:rsidR="002732EF">
        <w:t>“</w:t>
      </w:r>
      <w:r>
        <w:t xml:space="preserve"> koja se u prethodnim mjesecima implementirala od ponedjeljka do petka uvedena je </w:t>
      </w:r>
      <w:r w:rsidR="002732EF">
        <w:t>nova „</w:t>
      </w:r>
      <w:r w:rsidRPr="00686113">
        <w:t>Akcij</w:t>
      </w:r>
      <w:r w:rsidR="007E3B64">
        <w:t>a</w:t>
      </w:r>
      <w:r w:rsidRPr="00686113">
        <w:t xml:space="preserve"> za početak sedmice</w:t>
      </w:r>
      <w:r w:rsidR="002732EF">
        <w:t>“</w:t>
      </w:r>
      <w:r>
        <w:t xml:space="preserve"> koja se implementira od ponedjeljka do srijede. Promijenjen je koncept oglašavanja kataloga, ukinula se </w:t>
      </w:r>
      <w:r w:rsidR="002732EF">
        <w:t>„</w:t>
      </w:r>
      <w:r>
        <w:t>Top subota</w:t>
      </w:r>
      <w:r w:rsidR="002732EF">
        <w:t>“</w:t>
      </w:r>
      <w:r>
        <w:t xml:space="preserve"> te je na taj način ostvarena ušted</w:t>
      </w:r>
      <w:r w:rsidR="007E3B64">
        <w:t xml:space="preserve">a u budžetu oglašavanja </w:t>
      </w:r>
      <w:r>
        <w:t>u odnosu na plan za 34%.</w:t>
      </w:r>
    </w:p>
    <w:p w:rsidRDefault="00BC1B3F" w:rsidP="009B28A5" w:rsidR="00BC1B3F">
      <w:pPr>
        <w:pStyle w:val="Tijeloteksta"/>
        <w:numPr>
          <w:ilvl w:val="0"/>
          <w:numId w:val="38"/>
        </w:numPr>
        <w:spacing w:lineRule="auto" w:line="276" w:after="240" w:before="1"/>
        <w:ind w:hanging="709" w:left="2127"/>
        <w:jc w:val="both"/>
      </w:pPr>
      <w:r>
        <w:t xml:space="preserve">Fokus marketinških aktivnosti u </w:t>
      </w:r>
      <w:r w:rsidR="007E3B64">
        <w:t>srpnju,</w:t>
      </w:r>
      <w:r>
        <w:t xml:space="preserve"> bio je na redovnim akcijskim aktivnostima i pripremama novog vala kampanje koja se počinje emitirati u </w:t>
      </w:r>
      <w:r w:rsidR="007E3B64">
        <w:t>kolovozu</w:t>
      </w:r>
      <w:r>
        <w:t xml:space="preserve"> te pripremama tematskih </w:t>
      </w:r>
      <w:r w:rsidR="007E3B64">
        <w:t xml:space="preserve">akcija u povodu Kurban Bajrama, </w:t>
      </w:r>
      <w:r>
        <w:t>Sarajevo film festivala i Školice.</w:t>
      </w:r>
    </w:p>
    <w:p w:rsidRDefault="00BC1B3F" w:rsidP="001312FE" w:rsidR="00BC1B3F" w:rsidRPr="00E3017E">
      <w:pPr>
        <w:pStyle w:val="Tijeloteksta"/>
        <w:spacing w:before="11"/>
        <w:jc w:val="both"/>
      </w:pPr>
    </w:p>
    <w:p w:rsidRDefault="00BC1B3F" w:rsidP="001312FE" w:rsidR="00BC1B3F">
      <w:pPr>
        <w:pStyle w:val="Tijeloteksta"/>
        <w:spacing w:before="11"/>
        <w:ind w:left="720"/>
        <w:jc w:val="both"/>
        <w:rPr>
          <w:b/>
          <w:sz w:val="20"/>
        </w:rPr>
      </w:pPr>
    </w:p>
    <w:p w:rsidRDefault="00BC1B3F" w:rsidP="001312FE" w:rsidR="00BC1B3F">
      <w:pPr>
        <w:pStyle w:val="Tijeloteksta"/>
        <w:spacing w:before="11"/>
        <w:ind w:left="720"/>
        <w:jc w:val="both"/>
        <w:rPr>
          <w:b/>
          <w:sz w:val="20"/>
        </w:rPr>
      </w:pPr>
    </w:p>
    <w:p w:rsidRDefault="00BC1B3F" w:rsidP="001312FE" w:rsidR="00BC1B3F">
      <w:pPr>
        <w:rPr>
          <w:b/>
          <w:sz w:val="20"/>
          <w:szCs w:val="24"/>
        </w:rPr>
      </w:pPr>
      <w:r>
        <w:rPr>
          <w:b/>
          <w:sz w:val="20"/>
        </w:rPr>
        <w:br w:type="page"/>
      </w:r>
    </w:p>
    <w:p w:rsidRDefault="00BC1B3F" w:rsidP="001312FE" w:rsidR="00BC1B3F">
      <w:pPr>
        <w:pStyle w:val="Tijeloteksta"/>
        <w:spacing w:before="11"/>
        <w:ind w:left="720"/>
        <w:jc w:val="both"/>
        <w:rPr>
          <w:b/>
          <w:sz w:val="20"/>
        </w:rPr>
      </w:pPr>
    </w:p>
    <w:p w:rsidRDefault="00453D97" w:rsidP="001312FE" w:rsidR="00BC1B3F" w:rsidRPr="00453D97">
      <w:pPr>
        <w:tabs>
          <w:tab w:pos="929" w:val="left"/>
        </w:tabs>
        <w:spacing w:before="92"/>
        <w:ind w:left="720"/>
        <w:outlineLvl w:val="1"/>
        <w:rPr>
          <w:b/>
          <w:sz w:val="24"/>
        </w:rPr>
      </w:pPr>
      <w:bookmarkStart w:name="_Toc516483207" w:id="12"/>
      <w:bookmarkStart w:name="_Toc523299351" w:id="13"/>
      <w:r>
        <w:rPr>
          <w:b/>
          <w:sz w:val="24"/>
        </w:rPr>
        <w:t xml:space="preserve">2.2.3. </w:t>
      </w:r>
      <w:r w:rsidR="00BC1B3F" w:rsidRPr="00453D97">
        <w:rPr>
          <w:b/>
          <w:sz w:val="24"/>
        </w:rPr>
        <w:t>Kompanije u poslovnoj grupi Maloprodaja i veleprodaja: Tisak</w:t>
      </w:r>
      <w:r w:rsidR="00BC1B3F" w:rsidRPr="00453D97">
        <w:rPr>
          <w:b/>
          <w:spacing w:val="-9"/>
          <w:sz w:val="24"/>
        </w:rPr>
        <w:t xml:space="preserve"> </w:t>
      </w:r>
      <w:r w:rsidR="00BC1B3F" w:rsidRPr="00453D97">
        <w:rPr>
          <w:b/>
          <w:sz w:val="24"/>
        </w:rPr>
        <w:t>d.d.</w:t>
      </w:r>
      <w:bookmarkEnd w:id="12"/>
      <w:bookmarkEnd w:id="13"/>
    </w:p>
    <w:p w:rsidRDefault="00BC1B3F" w:rsidP="001312FE" w:rsidR="00BC1B3F" w:rsidRPr="009E5E2C">
      <w:pPr>
        <w:pStyle w:val="Tijeloteksta"/>
        <w:spacing w:before="1"/>
        <w:rPr>
          <w:b/>
          <w:sz w:val="21"/>
        </w:rPr>
      </w:pPr>
    </w:p>
    <w:p w:rsidRDefault="00453D97" w:rsidP="001312FE" w:rsidR="00BC1B3F" w:rsidRPr="00453D97">
      <w:pPr>
        <w:tabs>
          <w:tab w:pos="1946" w:val="left"/>
        </w:tabs>
        <w:spacing w:lineRule="auto" w:line="276"/>
        <w:ind w:left="1080"/>
        <w:rPr>
          <w:b/>
          <w:sz w:val="24"/>
        </w:rPr>
      </w:pPr>
      <w:r>
        <w:rPr>
          <w:b/>
          <w:sz w:val="24"/>
        </w:rPr>
        <w:t xml:space="preserve">2.2.3.1. </w:t>
      </w:r>
      <w:r w:rsidR="00BC1B3F" w:rsidRPr="00453D97">
        <w:rPr>
          <w:b/>
          <w:sz w:val="24"/>
        </w:rPr>
        <w:t>Financijski rezultati od početka godine i ključni financijski pokazatelji</w:t>
      </w:r>
      <w:r w:rsidR="00BC1B3F" w:rsidRPr="00453D97">
        <w:rPr>
          <w:b/>
          <w:spacing w:val="-1"/>
          <w:sz w:val="24"/>
        </w:rPr>
        <w:t xml:space="preserve"> </w:t>
      </w:r>
      <w:r w:rsidR="00BC1B3F" w:rsidRPr="00453D97">
        <w:rPr>
          <w:b/>
          <w:sz w:val="24"/>
        </w:rPr>
        <w:t>učinka</w:t>
      </w:r>
    </w:p>
    <w:tbl>
      <w:tblPr>
        <w:tblW w:type="auto" w:w="0"/>
        <w:tblInd w:type="dxa" w:w="107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83"/>
        <w:gridCol w:w="2268"/>
        <w:gridCol w:w="2126"/>
      </w:tblGrid>
      <w:tr w:rsidTr="003C02CF" w:rsidR="00BC1B3F">
        <w:trPr>
          <w:trHeight w:val="445"/>
        </w:trPr>
        <w:tc>
          <w:tcPr>
            <w:tcW w:type="dxa" w:w="3183"/>
            <w:shd w:fill="C00000" w:color="auto" w:val="clear"/>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BC1B3F">
              <w:rPr>
                <w:b/>
                <w:color w:val="FFFFFF"/>
                <w:sz w:val="24"/>
                <w:lang w:eastAsia="en-US" w:val="en-US"/>
              </w:rPr>
              <w:t xml:space="preserve">VII. 2018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126"/>
            <w:shd w:fill="C00000" w:color="auto" w:val="clear"/>
          </w:tcPr>
          <w:p w:rsidRDefault="008D7F7E"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BC1B3F">
              <w:rPr>
                <w:b/>
                <w:color w:val="FFFFFF"/>
                <w:sz w:val="24"/>
                <w:lang w:eastAsia="en-US" w:val="en-US"/>
              </w:rPr>
              <w:t>VII.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78"/>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Pr>
          <w:p w:rsidRDefault="00BC1B3F" w:rsidP="001312FE" w:rsidR="00BC1B3F" w:rsidRPr="00944D65">
            <w:pPr>
              <w:jc w:val="center"/>
            </w:pPr>
            <w:r w:rsidRPr="00944D65">
              <w:t>1.10</w:t>
            </w:r>
            <w:r w:rsidR="001F652C">
              <w:t>7</w:t>
            </w:r>
          </w:p>
        </w:tc>
        <w:tc>
          <w:tcPr>
            <w:tcW w:type="dxa" w:w="2126"/>
          </w:tcPr>
          <w:p w:rsidRDefault="00BC1B3F" w:rsidP="001312FE" w:rsidR="00BC1B3F" w:rsidRPr="00944D65">
            <w:pPr>
              <w:jc w:val="center"/>
            </w:pPr>
            <w:r w:rsidRPr="00944D65">
              <w:t>1.23</w:t>
            </w:r>
            <w:r w:rsidR="001F652C">
              <w:t>3</w:t>
            </w:r>
          </w:p>
        </w:tc>
      </w:tr>
      <w:tr w:rsidTr="003C02CF" w:rsidR="00BC1B3F">
        <w:trPr>
          <w:trHeight w:val="275"/>
        </w:trPr>
        <w:tc>
          <w:tcPr>
            <w:tcW w:type="dxa" w:w="3183"/>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Pr>
          <w:p w:rsidRDefault="00BC1B3F" w:rsidP="001312FE" w:rsidR="00BC1B3F" w:rsidRPr="00944D65">
            <w:pPr>
              <w:jc w:val="center"/>
            </w:pPr>
            <w:r w:rsidRPr="00944D65">
              <w:t>7,7</w:t>
            </w:r>
          </w:p>
        </w:tc>
        <w:tc>
          <w:tcPr>
            <w:tcW w:type="dxa" w:w="2126"/>
          </w:tcPr>
          <w:p w:rsidRDefault="00BC1B3F" w:rsidP="001312FE" w:rsidR="00BC1B3F" w:rsidRPr="00944D65">
            <w:pPr>
              <w:jc w:val="center"/>
            </w:pPr>
            <w:r w:rsidRPr="00944D65">
              <w:t>22,3</w:t>
            </w:r>
          </w:p>
        </w:tc>
      </w:tr>
      <w:tr w:rsidTr="003C02CF" w:rsidR="00BC1B3F">
        <w:trPr>
          <w:trHeight w:val="278"/>
        </w:trPr>
        <w:tc>
          <w:tcPr>
            <w:tcW w:type="dxa" w:w="3183"/>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Pr>
          <w:p w:rsidRDefault="00BC1B3F" w:rsidP="001312FE" w:rsidR="00BC1B3F" w:rsidRPr="00944D65">
            <w:pPr>
              <w:jc w:val="center"/>
            </w:pPr>
            <w:r w:rsidRPr="00944D65">
              <w:t>0,7%</w:t>
            </w:r>
          </w:p>
        </w:tc>
        <w:tc>
          <w:tcPr>
            <w:tcW w:type="dxa" w:w="2126"/>
          </w:tcPr>
          <w:p w:rsidRDefault="00BC1B3F" w:rsidP="001312FE" w:rsidR="00BC1B3F" w:rsidRPr="00944D65">
            <w:pPr>
              <w:jc w:val="center"/>
            </w:pPr>
            <w:r w:rsidRPr="00944D65">
              <w:t>1,8%</w:t>
            </w:r>
          </w:p>
        </w:tc>
      </w:tr>
    </w:tbl>
    <w:p w:rsidRDefault="00BC1B3F" w:rsidP="001312FE" w:rsidR="00BC1B3F">
      <w:pPr>
        <w:ind w:left="966"/>
        <w:rPr>
          <w:b/>
          <w:i/>
          <w:sz w:val="20"/>
        </w:rPr>
      </w:pPr>
      <w:r>
        <w:rPr>
          <w:sz w:val="20"/>
        </w:rPr>
        <w:t xml:space="preserve"> *</w:t>
      </w:r>
      <w:r>
        <w:rPr>
          <w:b/>
          <w:i/>
          <w:sz w:val="20"/>
        </w:rPr>
        <w:t>NAPOMENA: Preliminarni rezultati</w:t>
      </w:r>
    </w:p>
    <w:p w:rsidRDefault="00BC1B3F" w:rsidP="001312FE" w:rsidR="00BC1B3F">
      <w:pPr>
        <w:pStyle w:val="Tijeloteksta"/>
        <w:rPr>
          <w:b/>
          <w:i/>
          <w:sz w:val="22"/>
        </w:rPr>
      </w:pPr>
    </w:p>
    <w:p w:rsidRDefault="00453D97" w:rsidP="001312FE" w:rsidR="00BC1B3F" w:rsidRPr="00453D97">
      <w:pPr>
        <w:tabs>
          <w:tab w:pos="1834" w:val="left"/>
        </w:tabs>
        <w:spacing w:before="189"/>
        <w:ind w:left="1080"/>
        <w:rPr>
          <w:b/>
          <w:sz w:val="24"/>
        </w:rPr>
      </w:pPr>
      <w:r>
        <w:rPr>
          <w:b/>
          <w:sz w:val="24"/>
        </w:rPr>
        <w:t xml:space="preserve">2.2.3.2.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BC1B3F" w:rsidP="001312FE" w:rsidR="00BC1B3F">
      <w:pPr>
        <w:pStyle w:val="Odlomakpopisa"/>
        <w:tabs>
          <w:tab w:pos="1834" w:val="left"/>
        </w:tabs>
        <w:spacing w:before="189"/>
        <w:ind w:firstLine="0" w:left="1833"/>
        <w:rPr>
          <w:b/>
          <w:sz w:val="24"/>
        </w:rPr>
      </w:pPr>
    </w:p>
    <w:p w:rsidRDefault="002A683E" w:rsidP="009B28A5" w:rsidR="002A683E">
      <w:pPr>
        <w:pStyle w:val="Tijeloteksta"/>
        <w:numPr>
          <w:ilvl w:val="0"/>
          <w:numId w:val="38"/>
        </w:numPr>
        <w:spacing w:lineRule="auto" w:line="276" w:after="240" w:before="1"/>
        <w:ind w:hanging="709" w:left="2127"/>
        <w:jc w:val="both"/>
      </w:pPr>
      <w:r>
        <w:t>Udio troška prodane robe u prihodu u srpnju 2018. godine je bolji od plana te se zadržao pozitivan trend kao i prethodnih mjeseci. Prema očekivanjima osjećaju se pozitivni efekti nešto bolje prodaje u turističkoj sezoni zbog bolje pripreme i uvođenja šireg asortimana, nove cjenovne politike i smanjenja udjela veleprodajnog poslovanja.</w:t>
      </w:r>
    </w:p>
    <w:p w:rsidRDefault="002A683E" w:rsidP="009B28A5" w:rsidR="002A683E">
      <w:pPr>
        <w:pStyle w:val="Tijeloteksta"/>
        <w:numPr>
          <w:ilvl w:val="0"/>
          <w:numId w:val="38"/>
        </w:numPr>
        <w:spacing w:lineRule="auto" w:line="276" w:after="240" w:before="1"/>
        <w:ind w:hanging="709" w:left="2127"/>
        <w:jc w:val="both"/>
      </w:pPr>
      <w:r>
        <w:t>EBITDA razvoj nastavlja trend poboljšanja koji je započeo u drugom dijelu 2017. godine, u skladu s ostvarenjem poduzetih mjera restrukturiranja. Rezultat za srpanj 2018. godine je bio iznad plana te pokazuje nastavak pozitivnih trendova u profitabilnosti u turističkoj sezoni.</w:t>
      </w:r>
    </w:p>
    <w:p w:rsidRDefault="002A683E" w:rsidP="009B28A5" w:rsidR="002A683E">
      <w:pPr>
        <w:pStyle w:val="Tijeloteksta"/>
        <w:numPr>
          <w:ilvl w:val="0"/>
          <w:numId w:val="38"/>
        </w:numPr>
        <w:spacing w:lineRule="auto" w:line="276" w:after="240" w:before="1"/>
        <w:ind w:hanging="709" w:left="2127"/>
        <w:jc w:val="both"/>
      </w:pPr>
      <w:r>
        <w:t xml:space="preserve">Maloprodaja kao najveći poslovni segment Tiska u srpnju je, kao i prethodnih mjeseci, ostvarila bolji rezultat od planiranog. Od ožujka ove godine </w:t>
      </w:r>
      <w:r w:rsidR="002732EF">
        <w:t>m</w:t>
      </w:r>
      <w:r>
        <w:t>aloprodaja ostvaruje bolje rezultate od plana.</w:t>
      </w:r>
    </w:p>
    <w:p w:rsidRDefault="002A683E" w:rsidP="009B28A5" w:rsidR="002A683E">
      <w:pPr>
        <w:pStyle w:val="Tijeloteksta"/>
        <w:numPr>
          <w:ilvl w:val="0"/>
          <w:numId w:val="38"/>
        </w:numPr>
        <w:spacing w:lineRule="auto" w:line="276" w:after="240" w:before="1"/>
        <w:ind w:hanging="709" w:left="2127"/>
        <w:jc w:val="both"/>
      </w:pPr>
      <w:r>
        <w:t>Operativni troškovi su bili nešto veći od plana za srpanj 2018. godine, ali su u odnosu na srpanj 2017. godine bili značajno manji. Do porasta je došlo zbog jednokratnih troškova otpisa zaliha, te većih troškova prijevoznih usluga bez kojih bi operativni troškovi bili manji od planiranih. </w:t>
      </w:r>
    </w:p>
    <w:p w:rsidRDefault="00BC1B3F" w:rsidP="001312FE" w:rsidR="00BC1B3F" w:rsidRPr="00BA4CFC">
      <w:pPr>
        <w:pStyle w:val="Tijeloteksta"/>
        <w:numPr>
          <w:ilvl w:val="0"/>
          <w:numId w:val="38"/>
        </w:numPr>
        <w:spacing w:lineRule="auto" w:line="276" w:after="240" w:before="1"/>
        <w:ind w:firstLine="0" w:left="714"/>
        <w:jc w:val="both"/>
      </w:pPr>
      <w:r w:rsidRPr="00BA4CFC">
        <w:br w:type="page"/>
      </w:r>
    </w:p>
    <w:p w:rsidRDefault="008A4A4E" w:rsidP="001312FE" w:rsidR="008A4A4E">
      <w:pPr>
        <w:tabs>
          <w:tab w:pos="929" w:val="left"/>
        </w:tabs>
        <w:spacing w:before="92"/>
        <w:ind w:left="720"/>
        <w:outlineLvl w:val="1"/>
        <w:rPr>
          <w:b/>
          <w:sz w:val="24"/>
        </w:rPr>
      </w:pPr>
      <w:bookmarkStart w:name="_Toc516483208" w:id="14"/>
      <w:bookmarkStart w:name="_Toc523299352" w:id="15"/>
    </w:p>
    <w:p w:rsidRDefault="00453D97" w:rsidP="001312FE" w:rsidR="00BC1B3F" w:rsidRPr="00453D97">
      <w:pPr>
        <w:tabs>
          <w:tab w:pos="929" w:val="left"/>
        </w:tabs>
        <w:spacing w:before="92"/>
        <w:ind w:left="720"/>
        <w:outlineLvl w:val="1"/>
        <w:rPr>
          <w:b/>
          <w:sz w:val="24"/>
        </w:rPr>
      </w:pPr>
      <w:r>
        <w:rPr>
          <w:b/>
          <w:sz w:val="24"/>
        </w:rPr>
        <w:t xml:space="preserve">2.2.4. </w:t>
      </w:r>
      <w:r w:rsidR="00BC1B3F" w:rsidRPr="00453D97">
        <w:rPr>
          <w:b/>
          <w:sz w:val="24"/>
        </w:rPr>
        <w:t>Kompanije u Poslovnoj grupi Maloprodaja i veleprodaja: Velpro-Centar</w:t>
      </w:r>
      <w:r w:rsidR="00BC1B3F" w:rsidRPr="00453D97">
        <w:rPr>
          <w:b/>
          <w:spacing w:val="-11"/>
          <w:sz w:val="24"/>
        </w:rPr>
        <w:t xml:space="preserve"> </w:t>
      </w:r>
      <w:r w:rsidR="00BC1B3F" w:rsidRPr="00453D97">
        <w:rPr>
          <w:b/>
          <w:sz w:val="24"/>
        </w:rPr>
        <w:t>d.o.o.</w:t>
      </w:r>
      <w:bookmarkEnd w:id="14"/>
      <w:bookmarkEnd w:id="15"/>
    </w:p>
    <w:p w:rsidRDefault="00BC1B3F" w:rsidP="001312FE" w:rsidR="00BC1B3F">
      <w:pPr>
        <w:pStyle w:val="Tijeloteksta"/>
        <w:rPr>
          <w:b/>
          <w:sz w:val="26"/>
        </w:rPr>
      </w:pPr>
    </w:p>
    <w:p w:rsidRDefault="00453D97" w:rsidP="001312FE" w:rsidR="00BC1B3F" w:rsidRPr="00453D97">
      <w:pPr>
        <w:tabs>
          <w:tab w:pos="1946" w:val="left"/>
        </w:tabs>
        <w:spacing w:lineRule="auto" w:line="276"/>
        <w:ind w:left="1080"/>
        <w:rPr>
          <w:b/>
          <w:sz w:val="24"/>
        </w:rPr>
      </w:pPr>
      <w:r>
        <w:rPr>
          <w:b/>
          <w:sz w:val="24"/>
        </w:rPr>
        <w:t xml:space="preserve">2.2.4.1. </w:t>
      </w:r>
      <w:r w:rsidR="00BC1B3F" w:rsidRPr="00453D97">
        <w:rPr>
          <w:b/>
          <w:sz w:val="24"/>
        </w:rPr>
        <w:t>Financijski rezultati od početka godine i ključni financijski pokazatelji učinka</w:t>
      </w:r>
    </w:p>
    <w:p w:rsidRDefault="00BC1B3F" w:rsidP="001312FE" w:rsidR="00BC1B3F">
      <w:pPr>
        <w:pStyle w:val="Odlomakpopisa"/>
        <w:tabs>
          <w:tab w:pos="1946" w:val="left"/>
        </w:tabs>
        <w:spacing w:lineRule="auto" w:line="276"/>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233"/>
      </w:tblGrid>
      <w:tr w:rsidTr="003C02CF" w:rsidR="00BC1B3F">
        <w:trPr>
          <w:trHeight w:val="401"/>
          <w:jc w:val="center"/>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05"/>
              <w:rPr>
                <w:b/>
                <w:sz w:val="24"/>
                <w:lang w:eastAsia="en-US" w:val="en-US"/>
              </w:rPr>
            </w:pPr>
            <w:r>
              <w:rPr>
                <w:b/>
                <w:color w:val="FFFFFF"/>
                <w:sz w:val="24"/>
                <w:lang w:eastAsia="en-US" w:val="en-US"/>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 xml:space="preserve">VII. 2018 </w:t>
            </w:r>
          </w:p>
          <w:p w:rsidRDefault="00BC1B3F" w:rsidP="001312FE" w:rsidR="00BC1B3F">
            <w:pPr>
              <w:pStyle w:val="TableParagraph"/>
              <w:spacing w:before="79"/>
              <w:ind w:left="152"/>
              <w:jc w:val="center"/>
              <w:rPr>
                <w:b/>
                <w:sz w:val="24"/>
                <w:lang w:eastAsia="en-US" w:val="en-US"/>
              </w:rPr>
            </w:pPr>
            <w:r>
              <w:rPr>
                <w:b/>
                <w:color w:val="FFFFFF"/>
                <w:sz w:val="24"/>
                <w:lang w:eastAsia="en-US" w:val="en-US"/>
              </w:rPr>
              <w:t>(mil. HRK)</w:t>
            </w:r>
          </w:p>
        </w:tc>
        <w:tc>
          <w:tcPr>
            <w:tcW w:type="dxa" w:w="2233"/>
            <w:tcBorders>
              <w:top w:space="0" w:sz="4" w:color="000000" w:val="single"/>
              <w:left w:space="0" w:sz="4" w:color="000000" w:val="single"/>
              <w:bottom w:space="0" w:sz="4" w:color="000000" w:val="single"/>
              <w:right w:space="0" w:sz="4" w:color="000000" w:val="single"/>
            </w:tcBorders>
            <w:shd w:fill="C00000" w:color="auto" w:val="clear"/>
          </w:tcPr>
          <w:p w:rsidRDefault="00BC1B3F" w:rsidP="001312FE" w:rsidR="00BC1B3F">
            <w:pPr>
              <w:pStyle w:val="TableParagraph"/>
              <w:spacing w:before="79"/>
              <w:ind w:left="152"/>
              <w:jc w:val="center"/>
              <w:rPr>
                <w:b/>
                <w:color w:val="FFFFFF"/>
                <w:sz w:val="24"/>
                <w:lang w:eastAsia="en-US" w:val="en-US"/>
              </w:rPr>
            </w:pPr>
            <w:r>
              <w:rPr>
                <w:b/>
                <w:color w:val="FFFFFF"/>
                <w:sz w:val="24"/>
                <w:lang w:eastAsia="en-US" w:val="en-US"/>
              </w:rPr>
              <w:t>I.</w:t>
            </w:r>
            <w:r w:rsidR="008D7F7E">
              <w:rPr>
                <w:b/>
                <w:color w:val="FFFFFF"/>
                <w:sz w:val="24"/>
                <w:lang w:eastAsia="en-US" w:val="en-US"/>
              </w:rPr>
              <w:t>-</w:t>
            </w:r>
            <w:r>
              <w:rPr>
                <w:b/>
                <w:color w:val="FFFFFF"/>
                <w:sz w:val="24"/>
                <w:lang w:eastAsia="en-US" w:val="en-US"/>
              </w:rPr>
              <w:t>VII. Plan 2018.</w:t>
            </w:r>
          </w:p>
          <w:p w:rsidRDefault="00BC1B3F" w:rsidP="001312FE" w:rsidR="00BC1B3F">
            <w:pPr>
              <w:pStyle w:val="TableParagraph"/>
              <w:spacing w:before="79"/>
              <w:ind w:left="152"/>
              <w:jc w:val="center"/>
              <w:rPr>
                <w:b/>
                <w:color w:val="FFFFFF"/>
                <w:sz w:val="24"/>
                <w:lang w:eastAsia="en-US" w:val="en-US"/>
              </w:rPr>
            </w:pPr>
            <w:r w:rsidRPr="00776EDE">
              <w:rPr>
                <w:b/>
                <w:color w:val="FFFFFF"/>
                <w:sz w:val="24"/>
                <w:lang w:eastAsia="en-US" w:val="en-US"/>
              </w:rPr>
              <w:t>(mil. HRK)</w:t>
            </w:r>
          </w:p>
        </w:tc>
      </w:tr>
      <w:tr w:rsidTr="003C02CF" w:rsidR="00BC1B3F">
        <w:trPr>
          <w:trHeight w:val="248"/>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Prihod</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BA1377">
            <w:pPr>
              <w:jc w:val="center"/>
            </w:pPr>
            <w:r w:rsidRPr="00BA1377">
              <w:t>6</w:t>
            </w:r>
            <w:r w:rsidR="001F652C">
              <w:t>40</w:t>
            </w:r>
          </w:p>
        </w:tc>
        <w:tc>
          <w:tcPr>
            <w:tcW w:type="dxa" w:w="2233"/>
            <w:tcBorders>
              <w:top w:space="0" w:sz="4" w:color="000000" w:val="single"/>
              <w:left w:space="0" w:sz="4" w:color="000000" w:val="single"/>
              <w:bottom w:space="0" w:sz="4" w:color="000000" w:val="single"/>
              <w:right w:space="0" w:sz="4" w:color="000000" w:val="single"/>
            </w:tcBorders>
          </w:tcPr>
          <w:p w:rsidRDefault="00BC1B3F" w:rsidP="001312FE" w:rsidR="00BC1B3F" w:rsidRPr="00BA1377">
            <w:pPr>
              <w:jc w:val="center"/>
            </w:pPr>
            <w:r w:rsidRPr="00BA1377">
              <w:t>94</w:t>
            </w:r>
            <w:r w:rsidR="001F652C">
              <w:t>5</w:t>
            </w:r>
          </w:p>
        </w:tc>
      </w:tr>
      <w:tr w:rsidTr="003C02CF" w:rsidR="00BC1B3F">
        <w:trPr>
          <w:trHeight w:val="250"/>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6"/>
              <w:ind w:left="105"/>
              <w:rPr>
                <w:sz w:val="24"/>
                <w:lang w:eastAsia="en-US" w:val="en-US"/>
              </w:rPr>
            </w:pPr>
            <w:r>
              <w:rPr>
                <w:sz w:val="24"/>
                <w:lang w:eastAsia="en-US" w:val="en-US"/>
              </w:rPr>
              <w:t>EBITDA</w:t>
            </w:r>
          </w:p>
        </w:tc>
        <w:tc>
          <w:tcPr>
            <w:tcW w:type="dxa" w:w="2268"/>
            <w:tcBorders>
              <w:top w:space="0" w:sz="4" w:color="000000" w:val="single"/>
              <w:left w:space="0" w:sz="4" w:color="000000" w:val="single"/>
              <w:bottom w:space="0" w:sz="4" w:color="000000" w:val="single"/>
              <w:right w:space="0" w:sz="4" w:color="000000" w:val="single"/>
            </w:tcBorders>
          </w:tcPr>
          <w:p w:rsidRDefault="00BC1B3F" w:rsidP="001312FE" w:rsidR="00BC1B3F" w:rsidRPr="00BA1377">
            <w:pPr>
              <w:jc w:val="center"/>
            </w:pPr>
            <w:r w:rsidRPr="00BA1377">
              <w:t>-7,6</w:t>
            </w:r>
          </w:p>
        </w:tc>
        <w:tc>
          <w:tcPr>
            <w:tcW w:type="dxa" w:w="2233"/>
            <w:tcBorders>
              <w:top w:space="0" w:sz="4" w:color="000000" w:val="single"/>
              <w:left w:space="0" w:sz="4" w:color="000000" w:val="single"/>
              <w:bottom w:space="0" w:sz="4" w:color="000000" w:val="single"/>
              <w:right w:space="0" w:sz="4" w:color="000000" w:val="single"/>
            </w:tcBorders>
          </w:tcPr>
          <w:p w:rsidRDefault="00BC1B3F" w:rsidP="001312FE" w:rsidR="00BC1B3F" w:rsidRPr="00BA1377">
            <w:pPr>
              <w:jc w:val="center"/>
            </w:pPr>
            <w:r w:rsidRPr="00BA1377">
              <w:t>17,8</w:t>
            </w:r>
          </w:p>
        </w:tc>
      </w:tr>
      <w:tr w:rsidTr="003C02CF" w:rsidR="00BC1B3F">
        <w:trPr>
          <w:trHeight w:val="249"/>
          <w:jc w:val="center"/>
        </w:trPr>
        <w:tc>
          <w:tcPr>
            <w:tcW w:type="dxa" w:w="3118"/>
            <w:tcBorders>
              <w:top w:space="0" w:sz="4" w:color="000000" w:val="single"/>
              <w:left w:space="0" w:sz="4" w:color="000000" w:val="single"/>
              <w:bottom w:space="0" w:sz="4" w:color="000000" w:val="single"/>
              <w:right w:space="0" w:sz="4" w:color="000000" w:val="single"/>
            </w:tcBorders>
            <w:hideMark/>
          </w:tcPr>
          <w:p w:rsidRDefault="00BC1B3F" w:rsidP="001312FE" w:rsidR="00BC1B3F">
            <w:pPr>
              <w:pStyle w:val="TableParagraph"/>
              <w:spacing w:lineRule="exact" w:line="258"/>
              <w:ind w:left="105"/>
              <w:rPr>
                <w:sz w:val="24"/>
                <w:lang w:eastAsia="en-US" w:val="en-US"/>
              </w:rPr>
            </w:pPr>
            <w:r>
              <w:rPr>
                <w:sz w:val="24"/>
                <w:lang w:eastAsia="en-US" w:val="en-US"/>
              </w:rPr>
              <w:t>EBITDA %</w:t>
            </w:r>
          </w:p>
        </w:tc>
        <w:tc>
          <w:tcPr>
            <w:tcW w:type="dxa" w:w="2268"/>
            <w:tcBorders>
              <w:top w:space="0" w:sz="4" w:color="000000" w:val="single"/>
              <w:left w:space="0" w:sz="4" w:color="000000" w:val="single"/>
              <w:bottom w:space="0" w:sz="4" w:color="000000" w:val="single"/>
              <w:right w:space="0" w:sz="4" w:color="000000" w:val="single"/>
            </w:tcBorders>
            <w:hideMark/>
          </w:tcPr>
          <w:p w:rsidRDefault="00BC1B3F" w:rsidP="001312FE" w:rsidR="00BC1B3F" w:rsidRPr="00BA1377">
            <w:pPr>
              <w:jc w:val="center"/>
            </w:pPr>
            <w:r w:rsidRPr="00BA1377">
              <w:t>-1,2%</w:t>
            </w:r>
          </w:p>
        </w:tc>
        <w:tc>
          <w:tcPr>
            <w:tcW w:type="dxa" w:w="2233"/>
            <w:tcBorders>
              <w:top w:space="0" w:sz="4" w:color="000000" w:val="single"/>
              <w:left w:space="0" w:sz="4" w:color="000000" w:val="single"/>
              <w:bottom w:space="0" w:sz="4" w:color="000000" w:val="single"/>
              <w:right w:space="0" w:sz="4" w:color="000000" w:val="single"/>
            </w:tcBorders>
          </w:tcPr>
          <w:p w:rsidRDefault="00BC1B3F" w:rsidP="001312FE" w:rsidR="00BC1B3F" w:rsidRPr="00BA1377">
            <w:pPr>
              <w:jc w:val="center"/>
            </w:pPr>
            <w:r w:rsidRPr="00BA1377">
              <w:t>1,9%</w:t>
            </w:r>
          </w:p>
        </w:tc>
      </w:tr>
    </w:tbl>
    <w:p w:rsidRDefault="00BC1B3F" w:rsidP="00062C1C" w:rsidR="00BC1B3F">
      <w:pPr>
        <w:ind w:left="1134"/>
        <w:rPr>
          <w:b/>
          <w:i/>
          <w:sz w:val="20"/>
        </w:rPr>
      </w:pPr>
      <w:r>
        <w:rPr>
          <w:sz w:val="20"/>
        </w:rPr>
        <w:t>*</w:t>
      </w:r>
      <w:r>
        <w:rPr>
          <w:b/>
          <w:i/>
          <w:sz w:val="20"/>
        </w:rPr>
        <w:t>NAPOMENA: Preliminarni rezultati</w:t>
      </w:r>
    </w:p>
    <w:p w:rsidRDefault="00BC1B3F" w:rsidP="001312FE" w:rsidR="00BC1B3F">
      <w:pPr>
        <w:pStyle w:val="Tijeloteksta"/>
        <w:rPr>
          <w:b/>
          <w:i/>
          <w:sz w:val="22"/>
        </w:rPr>
      </w:pPr>
    </w:p>
    <w:p w:rsidRDefault="00BC1B3F" w:rsidP="001312FE" w:rsidR="00BC1B3F">
      <w:pPr>
        <w:pStyle w:val="Tijeloteksta"/>
        <w:spacing w:before="4"/>
        <w:rPr>
          <w:b/>
          <w:i/>
          <w:sz w:val="18"/>
        </w:rPr>
      </w:pPr>
    </w:p>
    <w:p w:rsidRDefault="00453D97" w:rsidP="001312FE" w:rsidR="00BC1B3F" w:rsidRPr="00453D97">
      <w:pPr>
        <w:tabs>
          <w:tab w:pos="1836" w:val="left"/>
        </w:tabs>
        <w:ind w:left="1080"/>
        <w:rPr>
          <w:b/>
          <w:sz w:val="24"/>
        </w:rPr>
      </w:pPr>
      <w:r>
        <w:rPr>
          <w:b/>
          <w:sz w:val="24"/>
        </w:rPr>
        <w:t xml:space="preserve">2.2.4.2. </w:t>
      </w:r>
      <w:r w:rsidR="00BC1B3F" w:rsidRPr="00453D97">
        <w:rPr>
          <w:b/>
          <w:sz w:val="24"/>
        </w:rPr>
        <w:t>Komentari na tekuće</w:t>
      </w:r>
      <w:r w:rsidR="00BC1B3F" w:rsidRPr="00453D97">
        <w:rPr>
          <w:b/>
          <w:spacing w:val="-4"/>
          <w:sz w:val="24"/>
        </w:rPr>
        <w:t xml:space="preserve"> </w:t>
      </w:r>
      <w:r w:rsidR="00BC1B3F" w:rsidRPr="00453D97">
        <w:rPr>
          <w:b/>
          <w:sz w:val="24"/>
        </w:rPr>
        <w:t>poslovanje</w:t>
      </w:r>
    </w:p>
    <w:p w:rsidRDefault="00BC1B3F" w:rsidP="001312FE" w:rsidR="00BC1B3F" w:rsidRPr="00030398">
      <w:pPr>
        <w:pStyle w:val="Tijeloteksta"/>
        <w:spacing w:before="7"/>
        <w:rPr>
          <w:b/>
        </w:rPr>
      </w:pPr>
    </w:p>
    <w:p w:rsidRDefault="00BC1B3F" w:rsidP="001312FE" w:rsidR="00BC1B3F">
      <w:pPr>
        <w:pStyle w:val="Tijeloteksta"/>
        <w:spacing w:lineRule="auto" w:line="276" w:before="1"/>
        <w:ind w:left="720"/>
      </w:pPr>
    </w:p>
    <w:p w:rsidRDefault="00BC1B3F" w:rsidP="009B28A5" w:rsidR="00BC1B3F" w:rsidRPr="00A91B6F">
      <w:pPr>
        <w:pStyle w:val="Tijeloteksta"/>
        <w:numPr>
          <w:ilvl w:val="0"/>
          <w:numId w:val="38"/>
        </w:numPr>
        <w:spacing w:lineRule="auto" w:line="276" w:after="240" w:before="1"/>
        <w:ind w:hanging="709" w:left="2127"/>
        <w:jc w:val="both"/>
      </w:pPr>
      <w:r w:rsidRPr="00A91B6F">
        <w:t>U srpnju</w:t>
      </w:r>
      <w:r w:rsidR="002732EF">
        <w:t xml:space="preserve"> kao</w:t>
      </w:r>
      <w:r w:rsidRPr="00A91B6F">
        <w:t xml:space="preserve"> i </w:t>
      </w:r>
      <w:r w:rsidR="002732EF">
        <w:t xml:space="preserve">u </w:t>
      </w:r>
      <w:r w:rsidRPr="00A91B6F">
        <w:t>kumulativu i dalje se bilježi pad prihoda u odnosu na plan zbog neizvjesnosti na tržištu</w:t>
      </w:r>
      <w:r w:rsidR="00036492">
        <w:t>,</w:t>
      </w:r>
      <w:r w:rsidRPr="00A91B6F">
        <w:t xml:space="preserve"> ali i zbog ciljanog smanjenja udjela u realizaciji prometa niže profitabilnih kupaca kao i fokusa na bržu naplatu potraživanja.  </w:t>
      </w:r>
    </w:p>
    <w:p w:rsidRDefault="00BC1B3F" w:rsidP="009B28A5" w:rsidR="00BC1B3F" w:rsidRPr="00A91B6F">
      <w:pPr>
        <w:pStyle w:val="Tijeloteksta"/>
        <w:numPr>
          <w:ilvl w:val="0"/>
          <w:numId w:val="38"/>
        </w:numPr>
        <w:spacing w:lineRule="auto" w:line="276" w:after="240" w:before="1"/>
        <w:ind w:hanging="709" w:left="2127"/>
        <w:jc w:val="both"/>
      </w:pPr>
      <w:r w:rsidRPr="00A91B6F">
        <w:t>U srpnju je ostvarena pozitivna EBITDA, u kumulativu je zbog manjih prihoda od planiranih i dalje prisutno zaostajanje za planom. U sljedećim mjesecima očekuje se nastavak pozitivnih trendova, u skladu s planiranim aktivnostima po segmentima kupaca.</w:t>
      </w:r>
    </w:p>
    <w:p w:rsidRDefault="00BC1B3F" w:rsidP="009B28A5" w:rsidR="00BC1B3F" w:rsidRPr="00A91B6F">
      <w:pPr>
        <w:pStyle w:val="Tijeloteksta"/>
        <w:numPr>
          <w:ilvl w:val="0"/>
          <w:numId w:val="38"/>
        </w:numPr>
        <w:spacing w:lineRule="auto" w:line="276" w:after="240" w:before="1"/>
        <w:ind w:hanging="709" w:left="2127"/>
        <w:jc w:val="both"/>
      </w:pPr>
      <w:r w:rsidRPr="00A91B6F">
        <w:t>Što se tiče relativne EBITDA u srpnju je ostvaren najviši postotak od početka godine, dok u kumulativu i dalje nisu postignute planske vrijednosti.</w:t>
      </w:r>
    </w:p>
    <w:p w:rsidRDefault="00BC1B3F" w:rsidP="009B28A5" w:rsidR="00BC1B3F" w:rsidRPr="00A91B6F">
      <w:pPr>
        <w:pStyle w:val="Tijeloteksta"/>
        <w:numPr>
          <w:ilvl w:val="0"/>
          <w:numId w:val="38"/>
        </w:numPr>
        <w:spacing w:lineRule="auto" w:line="276" w:after="240" w:before="1"/>
        <w:ind w:hanging="709" w:left="2127"/>
        <w:jc w:val="both"/>
      </w:pPr>
      <w:r w:rsidRPr="00A91B6F">
        <w:t>Najznačajnije aktivnosti poslovanja tijekom izvještajnog mjeseca:</w:t>
      </w:r>
    </w:p>
    <w:p w:rsidRDefault="00BC1B3F" w:rsidP="005864F9" w:rsidR="00BC1B3F" w:rsidRPr="00A91B6F">
      <w:pPr>
        <w:pStyle w:val="Tijeloteksta"/>
        <w:numPr>
          <w:ilvl w:val="2"/>
          <w:numId w:val="41"/>
        </w:numPr>
        <w:spacing w:lineRule="auto" w:line="276" w:after="240" w:before="1"/>
        <w:jc w:val="both"/>
      </w:pPr>
      <w:r w:rsidRPr="00A91B6F">
        <w:t xml:space="preserve">Potpisani su novi ugovori s udrugama trgovaca, većim kupcima segmenta </w:t>
      </w:r>
      <w:r w:rsidR="00391ACD">
        <w:t xml:space="preserve">maloprodaje </w:t>
      </w:r>
      <w:r w:rsidRPr="00A91B6F">
        <w:t>i finalizirani ugovori s hotelskim  kućama</w:t>
      </w:r>
    </w:p>
    <w:p w:rsidRDefault="00BC1B3F" w:rsidP="005864F9" w:rsidR="00BC1B3F" w:rsidRPr="00A91B6F">
      <w:pPr>
        <w:pStyle w:val="Tijeloteksta"/>
        <w:numPr>
          <w:ilvl w:val="2"/>
          <w:numId w:val="41"/>
        </w:numPr>
        <w:spacing w:lineRule="auto" w:line="276" w:after="240" w:before="1"/>
        <w:jc w:val="both"/>
      </w:pPr>
      <w:r w:rsidRPr="00A91B6F">
        <w:t>Pokrenuta je marketinška kampanja na radio postajama i u tiskanim medijima</w:t>
      </w:r>
      <w:r w:rsidR="00391ACD">
        <w:t>.</w:t>
      </w:r>
    </w:p>
    <w:p w:rsidRDefault="00BC1B3F" w:rsidP="001312FE" w:rsidR="00BC1B3F" w:rsidRPr="00A91B6F">
      <w:pPr>
        <w:pStyle w:val="Tijeloteksta"/>
        <w:spacing w:lineRule="auto" w:line="276"/>
        <w:ind w:left="1080"/>
        <w:jc w:val="both"/>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BC1B3F" w:rsidP="001312FE" w:rsidR="00BC1B3F">
      <w:pPr>
        <w:pStyle w:val="Tijeloteksta"/>
        <w:spacing w:before="1"/>
        <w:rPr>
          <w:sz w:val="12"/>
        </w:rPr>
      </w:pPr>
    </w:p>
    <w:p w:rsidRDefault="00AB1309" w:rsidP="001312FE" w:rsidR="00AB1309">
      <w:bookmarkStart w:name="_Toc509931080" w:id="16"/>
      <w:r>
        <w:br w:type="page"/>
      </w:r>
    </w:p>
    <w:p w:rsidRDefault="009640BB" w:rsidP="001312FE" w:rsidR="009640BB">
      <w:pPr>
        <w:rPr>
          <w:b/>
          <w:bCs/>
          <w:sz w:val="24"/>
          <w:szCs w:val="24"/>
        </w:rPr>
      </w:pPr>
    </w:p>
    <w:p w:rsidRDefault="0065237C" w:rsidP="001312FE" w:rsidR="008A6252" w:rsidRPr="00F908C8">
      <w:pPr>
        <w:pStyle w:val="Naslov2"/>
        <w:ind w:left="0"/>
      </w:pPr>
      <w:bookmarkStart w:name="_Toc523299353" w:id="17"/>
      <w:r w:rsidRPr="00F908C8">
        <w:t>2.</w:t>
      </w:r>
      <w:r w:rsidR="00453D97">
        <w:t xml:space="preserve">3. </w:t>
      </w:r>
      <w:r w:rsidRPr="00F908C8">
        <w:t xml:space="preserve"> Kompanije u poslovnoj grupi Prehrana</w:t>
      </w:r>
      <w:bookmarkEnd w:id="16"/>
      <w:bookmarkEnd w:id="17"/>
    </w:p>
    <w:p w:rsidRDefault="008A6252" w:rsidP="001312FE" w:rsidR="008A6252">
      <w:pPr>
        <w:pStyle w:val="Tijeloteksta"/>
        <w:spacing w:before="6"/>
        <w:rPr>
          <w:b/>
          <w:sz w:val="27"/>
        </w:rPr>
      </w:pPr>
    </w:p>
    <w:p w:rsidRDefault="0065237C" w:rsidP="001312FE" w:rsidR="008A6252">
      <w:pPr>
        <w:pStyle w:val="Tijeloteksta"/>
        <w:spacing w:lineRule="auto" w:line="278"/>
        <w:ind w:left="258"/>
        <w:jc w:val="both"/>
      </w:pPr>
      <w:r>
        <w:t>Kompanije u poslovnoj grupi Prehrana su: Jamnica, Sarajevski kiseljak, Roto Dinamic, Ledo, Frikom, Ledo Čitluk, Zvijezda, Dijamant i PIK Vrbovec. Tablica ispod prikazuje kumulativni prihod i EBITDA-u po mjesecima za poslovnu grupu, dok su rezultati za pojedine kompanije unutar poslovne grupe izneseni kasnije u ovom poglavlju.</w:t>
      </w:r>
    </w:p>
    <w:p w:rsidRDefault="008A6252" w:rsidP="001312FE" w:rsidR="008A6252">
      <w:pPr>
        <w:pStyle w:val="Tijeloteksta"/>
        <w:spacing w:lineRule="auto" w:line="278"/>
        <w:jc w:val="both"/>
        <w:rPr>
          <w:sz w:val="20"/>
        </w:rPr>
      </w:pPr>
    </w:p>
    <w:p w:rsidRDefault="001D4987" w:rsidP="001312FE" w:rsidR="008A6252">
      <w:pPr>
        <w:pStyle w:val="Tijeloteksta"/>
        <w:spacing w:before="6"/>
        <w:rPr>
          <w:sz w:val="25"/>
        </w:rPr>
      </w:pPr>
      <w:r>
        <w:rPr>
          <w:noProof/>
          <w:lang w:bidi="ar-SA"/>
        </w:rPr>
        <w:pict>
          <v:shape fillcolor="#c00" stroked="f" o:spid="_x0000_s1034" id="Text Box 34" style="position:absolute;margin-left:113.95pt;margin-top:15.9pt;width:364.95pt;height:60.8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">
            <v:textbox inset="0,0,0,0">
              <w:txbxContent>
                <w:p w:rsidRDefault="00CC3F8B" w:rsidR="00CC3F8B">
                  <w:pPr>
                    <w:spacing w:before="118"/>
                    <w:ind w:hanging="1923" w:left="2449"/>
                    <w:rPr>
                      <w:b/>
                      <w:sz w:val="30"/>
                    </w:rPr>
                  </w:pPr>
                  <w:r>
                    <w:rPr>
                      <w:b/>
                      <w:color w:val="FFFFFF"/>
                      <w:sz w:val="30"/>
                    </w:rPr>
                    <w:t>Kumulativni prihod i EBITDA po mjesecima, 2018. (mil. HRK)*</w:t>
                  </w:r>
                </w:p>
              </w:txbxContent>
            </v:textbox>
            <w10:wrap anchorx="page" type="topAndBottom"/>
          </v:shape>
        </w:pict>
      </w:r>
    </w:p>
    <w:p w:rsidRDefault="008A6252" w:rsidP="001312FE" w:rsidR="008A6252">
      <w:pPr>
        <w:pStyle w:val="Tijeloteksta"/>
        <w:spacing w:before="10"/>
        <w:rPr>
          <w:sz w:val="7"/>
        </w:rPr>
      </w:pPr>
    </w:p>
    <w:p w:rsidRDefault="001D4987" w:rsidP="001312FE" w:rsidR="008A6252">
      <w:pPr>
        <w:pStyle w:val="Tijeloteksta"/>
        <w:ind w:left="1112"/>
        <w:rPr>
          <w:sz w:val="20"/>
        </w:rPr>
      </w:pPr>
      <w:r>
        <w:rPr>
          <w:noProof/>
          <w:sz w:val="20"/>
          <w:lang w:bidi="ar-SA"/>
        </w:rPr>
      </w:r>
      <w:r>
        <w:rPr>
          <w:noProof/>
          <w:sz w:val="20"/>
          <w:lang w:bidi="ar-SA"/>
        </w:rPr>
        <w:pict>
          <v:group o:spid="_x0000_s1041" id="Group 30" style="width:364.35pt;height:29pt;mso-position-horizontal-relative:char;mso-position-vertical-relative:line" coordsize="7287,580">
            <v:rect fillcolor="#0f243e" stroked="f" o:spid="_x0000_s1044" id="Rectangle 33" style="position:absolute;left:7;top:7;width:7272;height:565;visibility:visible;mso-wrap-style:square;v-text-anchor:top"/>
            <v:rect filled="f" o:spid="_x0000_s1043" id="Rectangle 32" style="position:absolute;left:7;top:7;width:7272;height:565;visibility:visible;mso-wrap-style:square;v-text-anchor:top"/>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s1042" id="Picture 31" style="position:absolute;left:169;top:129;width:974;height:190;visibility:visible;mso-wrap-style:square" type="#_x0000_t75" o:gfxdata="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">
              <v:imagedata r:id="rId22" o:title=""/>
            </v:shape>
            <w10:wrap type="none"/>
            <w10:anchorlock/>
          </v:group>
        </w:pict>
      </w:r>
    </w:p>
    <w:p w:rsidRDefault="00D40DAD" w:rsidP="001312FE" w:rsidR="00F3510C">
      <w:pPr>
        <w:pStyle w:val="Tijeloteksta"/>
        <w:spacing w:before="9"/>
        <w:rPr>
          <w:sz w:val="21"/>
        </w:rPr>
      </w:pPr>
      <w:r>
        <w:rPr>
          <w:sz w:val="21"/>
        </w:rPr>
        <w:tab/>
        <w:t xml:space="preserve">       </w:t>
      </w:r>
    </w:p>
    <w:p w:rsidRDefault="00DA4A26" w:rsidP="001312FE" w:rsidR="00D40DAD">
      <w:pPr>
        <w:pStyle w:val="Tijeloteksta"/>
        <w:spacing w:before="9"/>
        <w:rPr>
          <w:noProof/>
          <w:lang w:bidi="ar-SA"/>
        </w:rPr>
      </w:pPr>
      <w:r w:rsidRPr="00DA4A26">
        <w:rPr>
          <w:b/>
          <w:i/>
          <w:noProof/>
          <w:sz w:val="20"/>
          <w:lang w:bidi="ar-SA"/>
        </w:rPr>
        <w:drawing>
          <wp:anchor allowOverlap="true" layoutInCell="true" locked="false" behindDoc="false" relativeHeight="251692544" simplePos="false" distR="114300" distL="114300" distB="0" distT="0">
            <wp:simplePos y="0" x="0"/>
            <wp:positionH relativeFrom="column">
              <wp:posOffset>3528060</wp:posOffset>
            </wp:positionH>
            <wp:positionV relativeFrom="paragraph">
              <wp:posOffset>2179320</wp:posOffset>
            </wp:positionV>
            <wp:extent cy="266065" cx="1555750"/>
            <wp:effectExtent b="635" r="6350" t="0" l="0"/>
            <wp:wrapNone/>
            <wp:docPr name="Picture 30" id="30"/>
            <wp:cNvGraphicFramePr>
              <a:graphicFrameLocks noChangeAspect="true"/>
            </wp:cNvGraphicFramePr>
            <a:graphic>
              <a:graphicData uri="http://schemas.openxmlformats.org/drawingml/2006/picture">
                <pic:pic>
                  <pic:nvPicPr>
                    <pic:cNvPr name="" id="0"/>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66065" cx="1555750"/>
                    </a:xfrm>
                    <a:prstGeom prst="rect">
                      <a:avLst/>
                    </a:prstGeom>
                  </pic:spPr>
                </pic:pic>
              </a:graphicData>
            </a:graphic>
          </wp:anchor>
        </w:drawing>
      </w:r>
      <w:r w:rsidRPr="00DA4A26">
        <w:rPr>
          <w:b/>
          <w:i/>
          <w:noProof/>
          <w:sz w:val="20"/>
          <w:lang w:bidi="ar-SA"/>
        </w:rPr>
        <w:drawing>
          <wp:anchor allowOverlap="true" layoutInCell="true" locked="false" behindDoc="false" relativeHeight="251691520" simplePos="false" distR="114300" distL="114300" distB="0" distT="0">
            <wp:simplePos y="0" x="0"/>
            <wp:positionH relativeFrom="column">
              <wp:posOffset>1255973</wp:posOffset>
            </wp:positionH>
            <wp:positionV relativeFrom="paragraph">
              <wp:posOffset>2206853</wp:posOffset>
            </wp:positionV>
            <wp:extent cy="238836" cx="1542197"/>
            <wp:effectExtent b="8890" r="1270" t="0" l="0"/>
            <wp:wrapNone/>
            <wp:docPr name="Picture 28" id="28"/>
            <wp:cNvGraphicFramePr>
              <a:graphicFrameLocks noChangeAspect="true"/>
            </wp:cNvGraphicFramePr>
            <a:graphic>
              <a:graphicData uri="http://schemas.openxmlformats.org/drawingml/2006/picture">
                <pic:pic>
                  <pic:nvPicPr>
                    <pic:cNvPr name="" id="0"/>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38836" cx="1542197"/>
                    </a:xfrm>
                    <a:prstGeom prst="rect">
                      <a:avLst/>
                    </a:prstGeom>
                  </pic:spPr>
                </pic:pic>
              </a:graphicData>
            </a:graphic>
          </wp:anchor>
        </w:drawing>
      </w:r>
      <w:r w:rsidR="00F3510C">
        <w:rPr>
          <w:sz w:val="21"/>
        </w:rPr>
        <w:t xml:space="preserve">                    </w:t>
      </w:r>
      <w:r w:rsidR="0085720B" w:rsidRPr="0085720B">
        <w:rPr>
          <w:noProof/>
          <w:sz w:val="22"/>
          <w:szCs w:val="22"/>
          <w:lang w:bidi="ar-SA" w:eastAsia="en-US" w:val="en-US"/>
        </w:rPr>
        <w:t xml:space="preserve"> </w:t>
      </w:r>
      <w:r w:rsidR="004D5FF8" w:rsidRPr="004D5FF8">
        <w:rPr>
          <w:noProof/>
          <w:sz w:val="22"/>
          <w:szCs w:val="22"/>
          <w:lang w:bidi="ar-SA"/>
        </w:rPr>
        <w:drawing>
          <wp:inline distR="0" distL="0" distB="0" distT="0">
            <wp:extent cy="2476859" cx="2234307"/>
            <wp:effectExtent b="19050" r="13970" t="0" l="0"/>
            <wp:docPr name="Chart 1" id="1"/>
            <wp:cNvGraphicFramePr/>
            <a:graphic>
              <a:graphicData uri="http://schemas.openxmlformats.org/drawingml/2006/chart">
                <c:chart r:id="rId23"/>
              </a:graphicData>
            </a:graphic>
          </wp:inline>
        </w:drawing>
      </w:r>
      <w:r w:rsidR="004D5FF8" w:rsidRPr="004D5FF8">
        <w:rPr>
          <w:noProof/>
          <w:sz w:val="22"/>
          <w:szCs w:val="22"/>
          <w:lang w:bidi="ar-SA"/>
        </w:rPr>
        <w:drawing>
          <wp:inline distR="0" distL="0" distB="0" distT="0">
            <wp:extent cy="2473166" cx="2300077"/>
            <wp:effectExtent b="22860" r="24130" t="0" l="0"/>
            <wp:docPr name="Chart 2" id="2"/>
            <wp:cNvGraphicFramePr/>
            <a:graphic>
              <a:graphicData uri="http://schemas.openxmlformats.org/drawingml/2006/chart">
                <c:chart r:id="rId24"/>
              </a:graphicData>
            </a:graphic>
          </wp:inline>
        </w:drawing>
      </w:r>
    </w:p>
    <w:p w:rsidRDefault="00E41663" w:rsidP="001312FE" w:rsidR="00E41663">
      <w:pPr>
        <w:pStyle w:val="Tijeloteksta"/>
        <w:spacing w:before="9"/>
        <w:rPr>
          <w:noProof/>
          <w:lang w:bidi="ar-SA"/>
        </w:rPr>
      </w:pPr>
    </w:p>
    <w:p w:rsidRDefault="001D4987" w:rsidP="001312FE" w:rsidR="008A6252">
      <w:pPr>
        <w:pStyle w:val="Tijeloteksta"/>
        <w:ind w:left="1100"/>
        <w:rPr>
          <w:sz w:val="20"/>
        </w:rPr>
      </w:pPr>
      <w:r>
        <w:rPr>
          <w:noProof/>
          <w:position w:val="-1"/>
          <w:sz w:val="20"/>
          <w:lang w:bidi="ar-SA"/>
        </w:rPr>
      </w:r>
      <w:r>
        <w:rPr>
          <w:noProof/>
          <w:position w:val="-1"/>
          <w:sz w:val="20"/>
          <w:lang w:bidi="ar-SA"/>
        </w:rPr>
        <w:pict>
          <v:shape filled="f" strokeweight="2pt" strokecolor="#bebebe" o:spid="_x0000_s1040" id="Text Box 29" style="width:357.75pt;height:76.5pt;visibility:visible;mso-wrap-style:square;mso-left-percent:-10001;mso-top-percent:-10001;mso-position-horizontal:absolute;mso-position-horizontal-relative:char;mso-position-vertical:absolute;mso-position-vertical-relative:line;mso-left-percent:-10001;mso-top-percent:-10001;v-text-anchor:top" type="#_x0000_t202">
            <v:textbox inset="0,0,0,0">
              <w:txbxContent>
                <w:p w:rsidRDefault="00CC3F8B" w:rsidR="00CC3F8B">
                  <w:pPr>
                    <w:spacing w:before="57"/>
                    <w:ind w:left="832"/>
                  </w:pPr>
                  <w:r>
                    <w:t>Uključuje sažeti pregled rezultata devet kompanija:</w:t>
                  </w:r>
                </w:p>
                <w:p w:rsidRDefault="00CC3F8B" w:rsidP="00C346EB" w:rsidR="00CC3F8B">
                  <w:pPr>
                    <w:numPr>
                      <w:ilvl w:val="0"/>
                      <w:numId w:val="6"/>
                    </w:numPr>
                    <w:tabs>
                      <w:tab w:pos="1552" w:val="left"/>
                      <w:tab w:pos="1553" w:val="left"/>
                    </w:tabs>
                    <w:spacing w:before="37"/>
                  </w:pPr>
                  <w:r>
                    <w:t>Pića: Jamnica, Sarajevski kiseljak i Roto dinamic</w:t>
                  </w:r>
                </w:p>
                <w:p w:rsidRDefault="00CC3F8B" w:rsidP="00C346EB" w:rsidR="00CC3F8B">
                  <w:pPr>
                    <w:numPr>
                      <w:ilvl w:val="0"/>
                      <w:numId w:val="6"/>
                    </w:numPr>
                    <w:tabs>
                      <w:tab w:pos="1552" w:val="left"/>
                      <w:tab w:pos="1553" w:val="left"/>
                    </w:tabs>
                    <w:spacing w:before="37"/>
                  </w:pPr>
                  <w:r>
                    <w:t>Sladoled i zamrznuta hrana: Ledo, Frikom i Ledo</w:t>
                  </w:r>
                  <w:r>
                    <w:rPr>
                      <w:spacing w:val="-11"/>
                    </w:rPr>
                    <w:t xml:space="preserve"> </w:t>
                  </w:r>
                  <w:r>
                    <w:t>Čitluk</w:t>
                  </w:r>
                </w:p>
                <w:p w:rsidRDefault="00CC3F8B" w:rsidP="00C346EB" w:rsidR="00CC3F8B">
                  <w:pPr>
                    <w:numPr>
                      <w:ilvl w:val="0"/>
                      <w:numId w:val="6"/>
                    </w:numPr>
                    <w:tabs>
                      <w:tab w:pos="1552" w:val="left"/>
                      <w:tab w:pos="1553" w:val="left"/>
                    </w:tabs>
                    <w:spacing w:before="38"/>
                  </w:pPr>
                  <w:r>
                    <w:t>Ulje: Zvijezda i</w:t>
                  </w:r>
                  <w:r>
                    <w:rPr>
                      <w:spacing w:val="2"/>
                    </w:rPr>
                    <w:t xml:space="preserve"> </w:t>
                  </w:r>
                  <w:r>
                    <w:t>Dijamant</w:t>
                  </w:r>
                </w:p>
                <w:p w:rsidRDefault="00CC3F8B" w:rsidP="00C346EB" w:rsidR="00CC3F8B">
                  <w:pPr>
                    <w:numPr>
                      <w:ilvl w:val="0"/>
                      <w:numId w:val="6"/>
                    </w:numPr>
                    <w:tabs>
                      <w:tab w:pos="1552" w:val="left"/>
                      <w:tab w:pos="1553" w:val="left"/>
                    </w:tabs>
                    <w:spacing w:before="40"/>
                  </w:pPr>
                  <w:r>
                    <w:t>Meso: PIK</w:t>
                  </w:r>
                  <w:r>
                    <w:rPr>
                      <w:spacing w:val="1"/>
                    </w:rPr>
                    <w:t xml:space="preserve"> </w:t>
                  </w:r>
                  <w:r>
                    <w:t>Vrbovec</w:t>
                  </w:r>
                </w:p>
              </w:txbxContent>
            </v:textbox>
            <w10:wrap type="none"/>
            <w10:anchorlock/>
          </v:shape>
        </w:pict>
      </w:r>
    </w:p>
    <w:p w:rsidRDefault="008A6252" w:rsidP="001312FE" w:rsidR="008A6252">
      <w:pPr>
        <w:pStyle w:val="Tijeloteksta"/>
        <w:rPr>
          <w:sz w:val="20"/>
        </w:rPr>
      </w:pPr>
    </w:p>
    <w:p w:rsidRDefault="00E41663" w:rsidP="001312FE" w:rsidR="008A6252">
      <w:pPr>
        <w:pStyle w:val="Tijeloteksta"/>
        <w:rPr>
          <w:b/>
          <w:i/>
          <w:sz w:val="20"/>
        </w:rPr>
      </w:pPr>
      <w:r>
        <w:rPr>
          <w:sz w:val="20"/>
        </w:rPr>
        <w:tab/>
      </w:r>
      <w:r>
        <w:rPr>
          <w:sz w:val="20"/>
        </w:rPr>
        <w:tab/>
        <w:t xml:space="preserve">    </w:t>
      </w:r>
      <w:r w:rsidR="0065237C">
        <w:rPr>
          <w:b/>
          <w:i/>
          <w:sz w:val="20"/>
        </w:rPr>
        <w:t>*N</w:t>
      </w:r>
      <w:r w:rsidR="00D52FA1">
        <w:rPr>
          <w:b/>
          <w:i/>
          <w:sz w:val="20"/>
        </w:rPr>
        <w:t xml:space="preserve">APOMENA: Preliminarni </w:t>
      </w:r>
      <w:r w:rsidR="000F77E4">
        <w:rPr>
          <w:b/>
          <w:i/>
          <w:sz w:val="20"/>
        </w:rPr>
        <w:t xml:space="preserve"> rezultati</w:t>
      </w:r>
    </w:p>
    <w:p w:rsidRDefault="00D21716" w:rsidP="001312FE" w:rsidR="00D21716">
      <w:pPr>
        <w:pStyle w:val="Tijeloteksta"/>
        <w:rPr>
          <w:b/>
          <w:i/>
          <w:sz w:val="20"/>
        </w:rPr>
      </w:pPr>
    </w:p>
    <w:p w:rsidRDefault="00AA2679" w:rsidP="001312FE" w:rsidR="00AA2679">
      <w:pPr>
        <w:pStyle w:val="Tijeloteksta"/>
        <w:jc w:val="center"/>
        <w:rPr>
          <w:b/>
          <w:i/>
          <w:sz w:val="20"/>
        </w:rPr>
      </w:pPr>
      <w:r>
        <w:rPr>
          <w:noProof/>
          <w:lang w:bidi="ar-SA"/>
        </w:rPr>
        <w:drawing>
          <wp:inline distR="0" distL="0" distB="0" distT="0">
            <wp:extent cy="447675" cx="3952875"/>
            <wp:effectExtent b="9525" r="9525" t="0" l="0"/>
            <wp:docPr name="Picture 24" id="24"/>
            <wp:cNvGraphicFramePr>
              <a:graphicFrameLocks noChangeAspect="true"/>
            </wp:cNvGraphicFramePr>
            <a:graphic>
              <a:graphicData uri="http://schemas.openxmlformats.org/drawingml/2006/picture">
                <pic:pic>
                  <pic:nvPicPr>
                    <pic:cNvPr name="" id="0"/>
                    <pic:cNvPicPr/>
                  </pic:nvPicPr>
                  <pic:blipFill>
                    <a:blip r:embed="rId18"/>
                    <a:stretch>
                      <a:fillRect/>
                    </a:stretch>
                  </pic:blipFill>
                  <pic:spPr>
                    <a:xfrm>
                      <a:off y="0" x="0"/>
                      <a:ext cy="447675" cx="3952875"/>
                    </a:xfrm>
                    <a:prstGeom prst="rect">
                      <a:avLst/>
                    </a:prstGeom>
                  </pic:spPr>
                </pic:pic>
              </a:graphicData>
            </a:graphic>
          </wp:inline>
        </w:drawing>
      </w:r>
    </w:p>
    <w:p w:rsidRDefault="00D21716" w:rsidP="001312FE" w:rsidR="00D21716">
      <w:pPr>
        <w:pStyle w:val="Tijeloteksta"/>
        <w:rPr>
          <w:b/>
          <w:i/>
          <w:sz w:val="20"/>
        </w:rPr>
      </w:pPr>
    </w:p>
    <w:p w:rsidRDefault="000F77E4" w:rsidP="001312FE" w:rsidR="000F77E4">
      <w:pPr>
        <w:pStyle w:val="Tijeloteksta"/>
        <w:rPr>
          <w:b/>
          <w:i/>
          <w:sz w:val="20"/>
        </w:rPr>
      </w:pPr>
    </w:p>
    <w:p w:rsidRDefault="00D21716" w:rsidP="001312FE" w:rsidR="00D21716">
      <w:pPr>
        <w:pStyle w:val="Tijeloteksta"/>
        <w:rPr>
          <w:b/>
          <w:i/>
          <w:sz w:val="20"/>
        </w:rPr>
      </w:pPr>
      <w:r>
        <w:rPr>
          <w:b/>
          <w:i/>
          <w:sz w:val="20"/>
        </w:rPr>
        <w:tab/>
        <w:t xml:space="preserve">     </w:t>
      </w:r>
    </w:p>
    <w:p w:rsidRDefault="000F77E4" w:rsidP="001312FE" w:rsidR="000F77E4">
      <w:pPr>
        <w:ind w:left="1744"/>
        <w:rPr>
          <w:b/>
          <w:i/>
          <w:sz w:val="20"/>
        </w:rPr>
      </w:pPr>
    </w:p>
    <w:p w:rsidRDefault="000F77E4" w:rsidP="001312FE" w:rsidR="000F77E4" w:rsidRPr="000F77E4">
      <w:pPr>
        <w:ind w:left="1744"/>
        <w:rPr>
          <w:b/>
          <w:i/>
          <w:sz w:val="20"/>
        </w:rPr>
        <w:sectPr w:rsidSect="001312FE" w:rsidR="000F77E4" w:rsidRPr="000F77E4">
          <w:headerReference w:type="default" r:id="rId25"/>
          <w:footerReference w:type="default" r:id="rId26"/>
          <w:pgSz w:code="9" w:h="16840" w:w="11910"/>
          <w:pgMar w:gutter="0" w:footer="1316" w:header="709" w:left="1160" w:bottom="1560" w:right="860" w:top="1680"/>
          <w:cols w:space="720"/>
        </w:sectPr>
      </w:pPr>
    </w:p>
    <w:p w:rsidRDefault="008A6252" w:rsidP="001312FE" w:rsidR="008A6252">
      <w:pPr>
        <w:pStyle w:val="Tijeloteksta"/>
        <w:spacing w:before="4"/>
        <w:rPr>
          <w:b/>
          <w:i/>
          <w:sz w:val="12"/>
        </w:rPr>
      </w:pPr>
    </w:p>
    <w:p w:rsidRDefault="008C5B28" w:rsidP="001312FE" w:rsidR="008A6252" w:rsidRPr="008C5B28">
      <w:pPr>
        <w:tabs>
          <w:tab w:pos="965" w:val="left"/>
        </w:tabs>
        <w:spacing w:before="92"/>
        <w:ind w:firstLine="402" w:left="258"/>
        <w:outlineLvl w:val="1"/>
        <w:rPr>
          <w:b/>
          <w:sz w:val="24"/>
        </w:rPr>
      </w:pPr>
      <w:bookmarkStart w:name="_Toc509931081" w:id="18"/>
      <w:bookmarkStart w:name="_Toc523299354" w:id="19"/>
      <w:r>
        <w:rPr>
          <w:b/>
          <w:spacing w:val="3"/>
          <w:sz w:val="24"/>
        </w:rPr>
        <w:t xml:space="preserve">2.3.1.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Jamnica</w:t>
      </w:r>
      <w:r w:rsidR="0065237C" w:rsidRPr="008C5B28">
        <w:rPr>
          <w:b/>
          <w:spacing w:val="59"/>
          <w:sz w:val="24"/>
        </w:rPr>
        <w:t xml:space="preserve"> </w:t>
      </w:r>
      <w:r w:rsidR="0065237C" w:rsidRPr="008C5B28">
        <w:rPr>
          <w:b/>
          <w:spacing w:val="3"/>
          <w:sz w:val="24"/>
        </w:rPr>
        <w:t>d.d.</w:t>
      </w:r>
      <w:bookmarkEnd w:id="18"/>
      <w:bookmarkEnd w:id="19"/>
    </w:p>
    <w:p w:rsidRDefault="008A6252" w:rsidP="001312FE" w:rsidR="008A6252">
      <w:pPr>
        <w:pStyle w:val="Tijeloteksta"/>
        <w:spacing w:before="5"/>
        <w:rPr>
          <w:b/>
          <w:sz w:val="34"/>
        </w:rPr>
      </w:pPr>
    </w:p>
    <w:p w:rsidRDefault="008C5B28" w:rsidP="001312FE" w:rsidR="008A6252" w:rsidRPr="008C5B28">
      <w:pPr>
        <w:tabs>
          <w:tab w:pos="1945" w:val="left"/>
        </w:tabs>
        <w:spacing w:after="5"/>
        <w:ind w:left="990"/>
        <w:rPr>
          <w:b/>
          <w:sz w:val="24"/>
        </w:rPr>
      </w:pPr>
      <w:r>
        <w:rPr>
          <w:b/>
          <w:sz w:val="24"/>
        </w:rPr>
        <w:t xml:space="preserve">2.3.1.1. </w:t>
      </w:r>
      <w:r w:rsidR="0065237C" w:rsidRPr="008C5B28">
        <w:rPr>
          <w:b/>
          <w:sz w:val="24"/>
        </w:rPr>
        <w:t>Financijski rezultati od početka godine i ključni financijski</w:t>
      </w:r>
      <w:r w:rsidR="00E40F05">
        <w:rPr>
          <w:b/>
          <w:sz w:val="24"/>
        </w:rPr>
        <w:t xml:space="preserve"> </w:t>
      </w:r>
      <w:r w:rsidR="0065237C" w:rsidRPr="008C5B28">
        <w:rPr>
          <w:b/>
          <w:sz w:val="24"/>
        </w:rPr>
        <w:t>pokazatelji</w:t>
      </w:r>
      <w:r w:rsidR="00E40F05">
        <w:rPr>
          <w:b/>
          <w:sz w:val="24"/>
        </w:rPr>
        <w:t xml:space="preserve"> </w:t>
      </w:r>
      <w:r w:rsidR="0065237C" w:rsidRPr="008C5B28">
        <w:rPr>
          <w:b/>
          <w:sz w:val="24"/>
        </w:rPr>
        <w:t>učinka</w:t>
      </w:r>
    </w:p>
    <w:p w:rsidRDefault="007F10F2" w:rsidP="001312FE" w:rsidR="007F10F2">
      <w:pPr>
        <w:pStyle w:val="Odlomakpopisa"/>
        <w:tabs>
          <w:tab w:pos="1945" w:val="left"/>
        </w:tabs>
        <w:spacing w:after="5"/>
        <w:ind w:firstLine="0" w:left="966"/>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190"/>
        <w:gridCol w:w="2218"/>
      </w:tblGrid>
      <w:tr w:rsidTr="003C02CF" w:rsidR="00854237">
        <w:trPr>
          <w:trHeight w:val="450"/>
        </w:trPr>
        <w:tc>
          <w:tcPr>
            <w:tcW w:type="dxa" w:w="3296"/>
            <w:shd w:fill="C00000" w:color="auto" w:val="clear"/>
          </w:tcPr>
          <w:p w:rsidRDefault="00854237" w:rsidP="001312FE" w:rsidR="00854237">
            <w:pPr>
              <w:pStyle w:val="TableParagraph"/>
              <w:spacing w:before="82"/>
              <w:ind w:left="105"/>
              <w:rPr>
                <w:b/>
                <w:sz w:val="24"/>
              </w:rPr>
            </w:pPr>
            <w:r>
              <w:rPr>
                <w:b/>
                <w:color w:val="FFFFFF"/>
                <w:sz w:val="24"/>
              </w:rPr>
              <w:t>Financijski rezultati*</w:t>
            </w:r>
          </w:p>
        </w:tc>
        <w:tc>
          <w:tcPr>
            <w:tcW w:type="dxa" w:w="2190"/>
            <w:shd w:fill="C00000" w:color="auto" w:val="clear"/>
          </w:tcPr>
          <w:p w:rsidRDefault="000313D3" w:rsidP="001312FE" w:rsidR="00013B40">
            <w:pPr>
              <w:pStyle w:val="TableParagraph"/>
              <w:spacing w:before="82"/>
              <w:ind w:left="625"/>
              <w:jc w:val="center"/>
              <w:rPr>
                <w:b/>
                <w:color w:val="FFFFFF"/>
                <w:sz w:val="24"/>
              </w:rPr>
            </w:pPr>
            <w:r>
              <w:rPr>
                <w:b/>
                <w:color w:val="FFFFFF"/>
                <w:sz w:val="24"/>
              </w:rPr>
              <w:t>I.-</w:t>
            </w:r>
            <w:r w:rsidR="00CD1B87">
              <w:rPr>
                <w:b/>
                <w:color w:val="FFFFFF"/>
                <w:sz w:val="24"/>
              </w:rPr>
              <w:t>V</w:t>
            </w:r>
            <w:r w:rsidR="006B1516">
              <w:rPr>
                <w:b/>
                <w:color w:val="FFFFFF"/>
                <w:sz w:val="24"/>
              </w:rPr>
              <w:t>I</w:t>
            </w:r>
            <w:r w:rsidR="006B61B2">
              <w:rPr>
                <w:b/>
                <w:color w:val="FFFFFF"/>
                <w:sz w:val="24"/>
              </w:rPr>
              <w:t>I</w:t>
            </w:r>
            <w:r w:rsidR="00854237">
              <w:rPr>
                <w:b/>
                <w:color w:val="FFFFFF"/>
                <w:sz w:val="24"/>
              </w:rPr>
              <w:t xml:space="preserve">. 2018. </w:t>
            </w:r>
          </w:p>
          <w:p w:rsidRDefault="00854237" w:rsidP="001312FE" w:rsidR="00854237">
            <w:pPr>
              <w:pStyle w:val="TableParagraph"/>
              <w:spacing w:before="82"/>
              <w:ind w:left="625"/>
              <w:jc w:val="center"/>
              <w:rPr>
                <w:b/>
                <w:sz w:val="24"/>
              </w:rPr>
            </w:pPr>
            <w:r>
              <w:rPr>
                <w:b/>
                <w:color w:val="FFFFFF"/>
                <w:sz w:val="24"/>
              </w:rPr>
              <w:t>(HRK m)</w:t>
            </w:r>
          </w:p>
        </w:tc>
        <w:tc>
          <w:tcPr>
            <w:tcW w:type="auto" w:w="0"/>
            <w:shd w:fill="C00000" w:color="auto" w:val="clear"/>
          </w:tcPr>
          <w:p w:rsidRDefault="00854237" w:rsidP="001312FE" w:rsidR="00854237">
            <w:pPr>
              <w:pStyle w:val="TableParagraph"/>
              <w:spacing w:before="82"/>
              <w:ind w:left="625"/>
              <w:jc w:val="center"/>
              <w:rPr>
                <w:b/>
                <w:color w:val="FFFFFF"/>
                <w:sz w:val="24"/>
              </w:rPr>
            </w:pPr>
            <w:r>
              <w:rPr>
                <w:b/>
                <w:color w:val="FFFFFF"/>
                <w:sz w:val="24"/>
              </w:rPr>
              <w:t>Plan 2018</w:t>
            </w:r>
          </w:p>
          <w:p w:rsidRDefault="00854237" w:rsidP="001312FE" w:rsidR="00854237">
            <w:pPr>
              <w:pStyle w:val="TableParagraph"/>
              <w:spacing w:before="82"/>
              <w:ind w:left="625"/>
              <w:jc w:val="center"/>
              <w:rPr>
                <w:b/>
                <w:color w:val="FFFFFF"/>
                <w:sz w:val="24"/>
              </w:rPr>
            </w:pPr>
            <w:r w:rsidRPr="00854237">
              <w:rPr>
                <w:b/>
                <w:color w:val="FFFFFF"/>
                <w:sz w:val="24"/>
              </w:rPr>
              <w:t>(HRK m)</w:t>
            </w:r>
          </w:p>
        </w:tc>
      </w:tr>
      <w:tr w:rsidTr="003C02CF" w:rsidR="00854237">
        <w:trPr>
          <w:trHeight w:val="278"/>
        </w:trPr>
        <w:tc>
          <w:tcPr>
            <w:tcW w:type="dxa" w:w="3296"/>
          </w:tcPr>
          <w:p w:rsidRDefault="00854237" w:rsidP="001312FE" w:rsidR="00854237">
            <w:pPr>
              <w:pStyle w:val="TableParagraph"/>
              <w:spacing w:lineRule="exact" w:line="256"/>
              <w:ind w:left="105"/>
              <w:rPr>
                <w:sz w:val="24"/>
              </w:rPr>
            </w:pPr>
            <w:r>
              <w:rPr>
                <w:sz w:val="24"/>
              </w:rPr>
              <w:t>Prihod</w:t>
            </w:r>
          </w:p>
        </w:tc>
        <w:tc>
          <w:tcPr>
            <w:tcW w:type="dxa" w:w="2190"/>
          </w:tcPr>
          <w:p w:rsidRDefault="004D5FF8" w:rsidP="001312FE" w:rsidR="00854237" w:rsidRPr="00D17FC0">
            <w:pPr>
              <w:pStyle w:val="TableParagraph"/>
              <w:spacing w:lineRule="exact" w:line="256"/>
              <w:ind w:left="625"/>
              <w:jc w:val="center"/>
              <w:rPr>
                <w:sz w:val="24"/>
              </w:rPr>
            </w:pPr>
            <w:r>
              <w:rPr>
                <w:sz w:val="24"/>
              </w:rPr>
              <w:t>758</w:t>
            </w:r>
          </w:p>
        </w:tc>
        <w:tc>
          <w:tcPr>
            <w:tcW w:type="auto" w:w="0"/>
          </w:tcPr>
          <w:p w:rsidRDefault="004D5FF8" w:rsidP="001312FE" w:rsidR="00854237" w:rsidRPr="00D17FC0">
            <w:pPr>
              <w:pStyle w:val="TableParagraph"/>
              <w:spacing w:lineRule="exact" w:line="256"/>
              <w:ind w:left="625"/>
              <w:jc w:val="center"/>
              <w:rPr>
                <w:sz w:val="24"/>
              </w:rPr>
            </w:pPr>
            <w:r>
              <w:rPr>
                <w:sz w:val="24"/>
              </w:rPr>
              <w:t>778</w:t>
            </w:r>
          </w:p>
        </w:tc>
      </w:tr>
      <w:tr w:rsidTr="003C02CF" w:rsidR="00854237">
        <w:trPr>
          <w:trHeight w:val="281"/>
        </w:trPr>
        <w:tc>
          <w:tcPr>
            <w:tcW w:type="dxa" w:w="3296"/>
          </w:tcPr>
          <w:p w:rsidRDefault="00854237" w:rsidP="001312FE" w:rsidR="00854237">
            <w:pPr>
              <w:pStyle w:val="TableParagraph"/>
              <w:spacing w:lineRule="exact" w:line="258"/>
              <w:ind w:left="105"/>
              <w:rPr>
                <w:sz w:val="24"/>
              </w:rPr>
            </w:pPr>
            <w:r>
              <w:rPr>
                <w:sz w:val="24"/>
              </w:rPr>
              <w:t>EBITDA</w:t>
            </w:r>
          </w:p>
        </w:tc>
        <w:tc>
          <w:tcPr>
            <w:tcW w:type="dxa" w:w="2190"/>
          </w:tcPr>
          <w:p w:rsidRDefault="004D5FF8" w:rsidP="001312FE" w:rsidR="00854237" w:rsidRPr="00CD6ACC">
            <w:pPr>
              <w:pStyle w:val="TableParagraph"/>
              <w:spacing w:lineRule="exact" w:line="258"/>
              <w:ind w:left="625"/>
              <w:jc w:val="center"/>
              <w:rPr>
                <w:sz w:val="24"/>
              </w:rPr>
            </w:pPr>
            <w:r>
              <w:rPr>
                <w:sz w:val="24"/>
              </w:rPr>
              <w:t>184,4</w:t>
            </w:r>
          </w:p>
        </w:tc>
        <w:tc>
          <w:tcPr>
            <w:tcW w:type="auto" w:w="0"/>
          </w:tcPr>
          <w:p w:rsidRDefault="004D5FF8" w:rsidP="001312FE" w:rsidR="00854237" w:rsidRPr="00CD6ACC">
            <w:pPr>
              <w:pStyle w:val="TableParagraph"/>
              <w:spacing w:lineRule="exact" w:line="258"/>
              <w:ind w:left="625"/>
              <w:jc w:val="center"/>
              <w:rPr>
                <w:sz w:val="24"/>
              </w:rPr>
            </w:pPr>
            <w:r>
              <w:rPr>
                <w:sz w:val="24"/>
              </w:rPr>
              <w:t>185,6</w:t>
            </w:r>
          </w:p>
        </w:tc>
      </w:tr>
      <w:tr w:rsidTr="003C02CF" w:rsidR="00854237">
        <w:trPr>
          <w:trHeight w:val="217"/>
        </w:trPr>
        <w:tc>
          <w:tcPr>
            <w:tcW w:type="dxa" w:w="3296"/>
          </w:tcPr>
          <w:p w:rsidRDefault="00854237" w:rsidP="001312FE" w:rsidR="00854237">
            <w:pPr>
              <w:pStyle w:val="TableParagraph"/>
              <w:spacing w:lineRule="exact" w:line="256"/>
              <w:ind w:left="105"/>
              <w:rPr>
                <w:sz w:val="24"/>
              </w:rPr>
            </w:pPr>
            <w:r>
              <w:rPr>
                <w:sz w:val="24"/>
              </w:rPr>
              <w:t>EBITDA %</w:t>
            </w:r>
          </w:p>
        </w:tc>
        <w:tc>
          <w:tcPr>
            <w:tcW w:type="dxa" w:w="2190"/>
          </w:tcPr>
          <w:p w:rsidRDefault="004D5FF8" w:rsidP="001312FE" w:rsidR="00854237" w:rsidRPr="00CD6ACC">
            <w:pPr>
              <w:pStyle w:val="TableParagraph"/>
              <w:spacing w:lineRule="exact" w:line="256"/>
              <w:ind w:left="625"/>
              <w:jc w:val="center"/>
              <w:rPr>
                <w:sz w:val="24"/>
              </w:rPr>
            </w:pPr>
            <w:r>
              <w:rPr>
                <w:sz w:val="24"/>
              </w:rPr>
              <w:t>24,3%</w:t>
            </w:r>
          </w:p>
        </w:tc>
        <w:tc>
          <w:tcPr>
            <w:tcW w:type="auto" w:w="0"/>
          </w:tcPr>
          <w:p w:rsidRDefault="004D5FF8" w:rsidP="001312FE" w:rsidR="00854237" w:rsidRPr="00CD6ACC">
            <w:pPr>
              <w:pStyle w:val="TableParagraph"/>
              <w:spacing w:lineRule="auto" w:line="360"/>
              <w:ind w:left="625"/>
              <w:jc w:val="center"/>
              <w:rPr>
                <w:sz w:val="24"/>
              </w:rPr>
            </w:pPr>
            <w:r>
              <w:rPr>
                <w:sz w:val="24"/>
              </w:rPr>
              <w:t>23,9%</w:t>
            </w:r>
          </w:p>
        </w:tc>
      </w:tr>
    </w:tbl>
    <w:p w:rsidRDefault="0065237C" w:rsidP="001312FE" w:rsidR="008A6252">
      <w:pPr>
        <w:ind w:left="966"/>
        <w:rPr>
          <w:b/>
          <w:i/>
          <w:sz w:val="20"/>
        </w:rPr>
      </w:pPr>
      <w:r>
        <w:rPr>
          <w:b/>
          <w:i/>
          <w:sz w:val="20"/>
        </w:rPr>
        <w:t xml:space="preserve">*NAPOMENA: </w:t>
      </w:r>
      <w:r w:rsidR="00D52FA1">
        <w:rPr>
          <w:b/>
          <w:i/>
          <w:sz w:val="20"/>
        </w:rPr>
        <w:t xml:space="preserve">Preliminirani </w:t>
      </w:r>
      <w:r>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11"/>
        <w:rPr>
          <w:b/>
          <w:i/>
          <w:sz w:val="22"/>
        </w:rPr>
      </w:pPr>
    </w:p>
    <w:p w:rsidRDefault="001312FE" w:rsidP="001312FE" w:rsidR="008A6252" w:rsidRPr="008C5B28">
      <w:pPr>
        <w:tabs>
          <w:tab w:pos="1836" w:val="left"/>
        </w:tabs>
        <w:ind w:firstLine="1003" w:left="-13"/>
        <w:rPr>
          <w:b/>
          <w:sz w:val="24"/>
        </w:rPr>
      </w:pPr>
      <w:r>
        <w:rPr>
          <w:b/>
          <w:sz w:val="24"/>
        </w:rPr>
        <w:t xml:space="preserve"> </w:t>
      </w:r>
      <w:r w:rsidR="008C5B28">
        <w:rPr>
          <w:b/>
          <w:sz w:val="24"/>
        </w:rPr>
        <w:t xml:space="preserve">2.3.1.2.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pPr>
        <w:pStyle w:val="Tijeloteksta"/>
        <w:spacing w:before="1"/>
        <w:rPr>
          <w:b/>
        </w:rPr>
      </w:pPr>
    </w:p>
    <w:p w:rsidRDefault="009036DE" w:rsidP="001312FE" w:rsidR="009036DE" w:rsidRPr="009036DE">
      <w:pPr>
        <w:jc w:val="both"/>
        <w:rPr>
          <w:sz w:val="24"/>
          <w:szCs w:val="24"/>
        </w:rPr>
      </w:pPr>
    </w:p>
    <w:p w:rsidRDefault="00045ECF" w:rsidP="005864F9" w:rsidR="00045ECF">
      <w:pPr>
        <w:pStyle w:val="Odlomakpopisa"/>
        <w:numPr>
          <w:ilvl w:val="0"/>
          <w:numId w:val="29"/>
        </w:numPr>
        <w:spacing w:lineRule="auto" w:line="276"/>
        <w:ind w:hanging="789" w:left="2127"/>
        <w:jc w:val="both"/>
        <w:rPr>
          <w:sz w:val="24"/>
        </w:rPr>
      </w:pPr>
      <w:r>
        <w:rPr>
          <w:sz w:val="24"/>
        </w:rPr>
        <w:t>Značajno lošiji vremenski uvjeti u odnosu na prošlu godinu, rezultirali su nižim o</w:t>
      </w:r>
      <w:r w:rsidR="003E3507" w:rsidRPr="003E3507">
        <w:rPr>
          <w:sz w:val="24"/>
        </w:rPr>
        <w:t>stvareni</w:t>
      </w:r>
      <w:r>
        <w:rPr>
          <w:sz w:val="24"/>
        </w:rPr>
        <w:t>m</w:t>
      </w:r>
      <w:r w:rsidR="003E3507" w:rsidRPr="003E3507">
        <w:rPr>
          <w:sz w:val="24"/>
        </w:rPr>
        <w:t xml:space="preserve"> prihodi</w:t>
      </w:r>
      <w:r>
        <w:rPr>
          <w:sz w:val="24"/>
        </w:rPr>
        <w:t>ma</w:t>
      </w:r>
      <w:r w:rsidR="003E3507" w:rsidRPr="003E3507">
        <w:rPr>
          <w:sz w:val="24"/>
        </w:rPr>
        <w:t xml:space="preserve"> od prodaje </w:t>
      </w:r>
      <w:r>
        <w:rPr>
          <w:sz w:val="24"/>
        </w:rPr>
        <w:t>od</w:t>
      </w:r>
      <w:r w:rsidR="00635731">
        <w:rPr>
          <w:sz w:val="24"/>
        </w:rPr>
        <w:t xml:space="preserve"> plana. </w:t>
      </w:r>
    </w:p>
    <w:p w:rsidRDefault="00045ECF" w:rsidP="005864F9" w:rsidR="00045ECF">
      <w:pPr>
        <w:pStyle w:val="Odlomakpopisa"/>
        <w:spacing w:lineRule="auto" w:line="276"/>
        <w:ind w:hanging="789" w:left="2127"/>
        <w:jc w:val="both"/>
        <w:rPr>
          <w:sz w:val="24"/>
        </w:rPr>
      </w:pPr>
    </w:p>
    <w:p w:rsidRDefault="003E3507" w:rsidP="005864F9" w:rsidR="003E3507">
      <w:pPr>
        <w:pStyle w:val="Odlomakpopisa"/>
        <w:numPr>
          <w:ilvl w:val="0"/>
          <w:numId w:val="29"/>
        </w:numPr>
        <w:spacing w:lineRule="auto" w:line="276"/>
        <w:ind w:hanging="789" w:left="2127"/>
        <w:jc w:val="both"/>
        <w:rPr>
          <w:sz w:val="24"/>
        </w:rPr>
      </w:pPr>
      <w:r w:rsidRPr="003E3507">
        <w:rPr>
          <w:sz w:val="24"/>
        </w:rPr>
        <w:t>U srpnju ove godine bil</w:t>
      </w:r>
      <w:r w:rsidR="00E40F05">
        <w:rPr>
          <w:sz w:val="24"/>
        </w:rPr>
        <w:t>a su</w:t>
      </w:r>
      <w:r w:rsidRPr="003E3507">
        <w:rPr>
          <w:sz w:val="24"/>
        </w:rPr>
        <w:t xml:space="preserve"> 4 kišna dana više nego prošle godine te niti jedan dan tzv.</w:t>
      </w:r>
      <w:r w:rsidR="004C2571">
        <w:rPr>
          <w:sz w:val="24"/>
        </w:rPr>
        <w:t xml:space="preserve"> </w:t>
      </w:r>
      <w:r w:rsidRPr="003E3507">
        <w:rPr>
          <w:sz w:val="24"/>
        </w:rPr>
        <w:t>“toplinski udar“ (temperatura +33 stupnja), dok je prošle godine bilo 14 takvih dana.</w:t>
      </w:r>
      <w:r w:rsidR="00635731">
        <w:rPr>
          <w:sz w:val="24"/>
        </w:rPr>
        <w:t xml:space="preserve"> (podaci se odnose na Zagreb)</w:t>
      </w:r>
      <w:r w:rsidR="00F431B2">
        <w:rPr>
          <w:sz w:val="24"/>
        </w:rPr>
        <w:t xml:space="preserve">. </w:t>
      </w:r>
    </w:p>
    <w:p w:rsidRDefault="00635731" w:rsidP="005864F9" w:rsidR="00635731" w:rsidRPr="003E3507">
      <w:pPr>
        <w:pStyle w:val="Odlomakpopisa"/>
        <w:spacing w:lineRule="auto" w:line="276"/>
        <w:ind w:hanging="789" w:left="2127"/>
        <w:jc w:val="both"/>
        <w:rPr>
          <w:sz w:val="24"/>
        </w:rPr>
      </w:pPr>
    </w:p>
    <w:p w:rsidRDefault="003E3507" w:rsidP="005864F9" w:rsidR="003E3507">
      <w:pPr>
        <w:pStyle w:val="Odlomakpopisa"/>
        <w:numPr>
          <w:ilvl w:val="0"/>
          <w:numId w:val="29"/>
        </w:numPr>
        <w:spacing w:lineRule="auto" w:line="276"/>
        <w:ind w:hanging="789" w:left="2127"/>
        <w:jc w:val="both"/>
        <w:rPr>
          <w:sz w:val="24"/>
        </w:rPr>
      </w:pPr>
      <w:r w:rsidRPr="003E3507">
        <w:rPr>
          <w:sz w:val="24"/>
        </w:rPr>
        <w:t>Nastavak kampanje Jane „Duboko iznad svih“ popraćen je lansiranjem novog digitalnog kanala podrške na Instagramu (Deepest Instagram profil)</w:t>
      </w:r>
      <w:r w:rsidR="00045ECF">
        <w:rPr>
          <w:sz w:val="24"/>
        </w:rPr>
        <w:t>.</w:t>
      </w:r>
    </w:p>
    <w:p w:rsidRDefault="003E3507" w:rsidP="005864F9" w:rsidR="003E3507" w:rsidRPr="003E3507">
      <w:pPr>
        <w:pStyle w:val="Odlomakpopisa"/>
        <w:spacing w:lineRule="auto" w:line="276"/>
        <w:ind w:hanging="789" w:left="2127"/>
        <w:jc w:val="both"/>
        <w:rPr>
          <w:sz w:val="24"/>
        </w:rPr>
      </w:pPr>
    </w:p>
    <w:p w:rsidRDefault="003E3507" w:rsidP="005864F9" w:rsidR="003E3507" w:rsidRPr="003E3507">
      <w:pPr>
        <w:pStyle w:val="Odlomakpopisa"/>
        <w:numPr>
          <w:ilvl w:val="0"/>
          <w:numId w:val="29"/>
        </w:numPr>
        <w:spacing w:lineRule="auto" w:line="276"/>
        <w:ind w:hanging="789" w:left="2127"/>
        <w:jc w:val="both"/>
        <w:rPr>
          <w:sz w:val="24"/>
        </w:rPr>
      </w:pPr>
      <w:r w:rsidRPr="003E3507">
        <w:rPr>
          <w:sz w:val="24"/>
        </w:rPr>
        <w:t>Lansiran je novi korporativni web Jamnice s brojnim novim funkcionalnostima i sekcijama (</w:t>
      </w:r>
      <w:r w:rsidR="00045ECF" w:rsidRPr="00045ECF">
        <w:rPr>
          <w:sz w:val="24"/>
        </w:rPr>
        <w:t>https://jamnica.company/hr/</w:t>
      </w:r>
      <w:r w:rsidRPr="003E3507">
        <w:rPr>
          <w:sz w:val="24"/>
        </w:rPr>
        <w:t>).</w:t>
      </w:r>
    </w:p>
    <w:p w:rsidRDefault="003E3507" w:rsidP="005864F9" w:rsidR="003E3507" w:rsidRPr="003E3507">
      <w:pPr>
        <w:spacing w:lineRule="auto" w:line="276"/>
        <w:ind w:hanging="789" w:left="2127"/>
        <w:jc w:val="both"/>
        <w:rPr>
          <w:sz w:val="24"/>
        </w:rPr>
      </w:pPr>
    </w:p>
    <w:p w:rsidRDefault="003E3507" w:rsidP="005864F9" w:rsidR="0001611F" w:rsidRPr="0001611F">
      <w:pPr>
        <w:pStyle w:val="Odlomakpopisa"/>
        <w:numPr>
          <w:ilvl w:val="0"/>
          <w:numId w:val="29"/>
        </w:numPr>
        <w:spacing w:lineRule="auto" w:line="276"/>
        <w:ind w:hanging="789" w:left="2127"/>
        <w:jc w:val="both"/>
        <w:rPr>
          <w:sz w:val="24"/>
        </w:rPr>
      </w:pPr>
      <w:r w:rsidRPr="003E3507">
        <w:rPr>
          <w:sz w:val="24"/>
        </w:rPr>
        <w:t>Ostvarena</w:t>
      </w:r>
      <w:r w:rsidR="00F431B2">
        <w:rPr>
          <w:sz w:val="24"/>
        </w:rPr>
        <w:t xml:space="preserve"> mjesečna</w:t>
      </w:r>
      <w:r w:rsidRPr="003E3507">
        <w:rPr>
          <w:sz w:val="24"/>
        </w:rPr>
        <w:t xml:space="preserve"> EBITDA je ispod </w:t>
      </w:r>
      <w:r w:rsidR="00635731">
        <w:rPr>
          <w:sz w:val="24"/>
        </w:rPr>
        <w:t>plana</w:t>
      </w:r>
      <w:r w:rsidRPr="003E3507">
        <w:rPr>
          <w:sz w:val="24"/>
        </w:rPr>
        <w:t xml:space="preserve"> kao rezultat </w:t>
      </w:r>
      <w:r w:rsidR="00045ECF">
        <w:rPr>
          <w:sz w:val="24"/>
        </w:rPr>
        <w:t>nižih prihoda od prodaje</w:t>
      </w:r>
      <w:r w:rsidR="00F431B2">
        <w:rPr>
          <w:sz w:val="24"/>
        </w:rPr>
        <w:t>. Na razini godine ostvarena EBIT</w:t>
      </w:r>
      <w:r w:rsidR="001E233D">
        <w:rPr>
          <w:sz w:val="24"/>
        </w:rPr>
        <w:t>D</w:t>
      </w:r>
      <w:r w:rsidR="00F431B2">
        <w:rPr>
          <w:sz w:val="24"/>
        </w:rPr>
        <w:t xml:space="preserve">A </w:t>
      </w:r>
      <w:r w:rsidR="004D5FF8">
        <w:rPr>
          <w:sz w:val="24"/>
        </w:rPr>
        <w:t>je neznatno ispod plana.</w:t>
      </w:r>
    </w:p>
    <w:p w:rsidRDefault="006B1516" w:rsidP="001312FE" w:rsidR="006B1516">
      <w:pPr>
        <w:spacing w:lineRule="auto" w:line="276"/>
        <w:jc w:val="both"/>
        <w:rPr>
          <w:sz w:val="24"/>
        </w:rPr>
      </w:pPr>
      <w:r>
        <w:rPr>
          <w:sz w:val="24"/>
        </w:rPr>
        <w:br w:type="page"/>
      </w:r>
    </w:p>
    <w:p w:rsidRDefault="00F63621" w:rsidP="001312FE" w:rsidR="00F63621">
      <w:pPr>
        <w:tabs>
          <w:tab w:pos="978" w:val="left"/>
          <w:tab w:pos="979" w:val="left"/>
        </w:tabs>
        <w:rPr>
          <w:sz w:val="24"/>
        </w:rPr>
      </w:pPr>
    </w:p>
    <w:p w:rsidRDefault="008C5B28" w:rsidP="001312FE" w:rsidR="008A6252" w:rsidRPr="008C5B28">
      <w:pPr>
        <w:tabs>
          <w:tab w:pos="965" w:val="left"/>
        </w:tabs>
        <w:ind w:left="660"/>
        <w:outlineLvl w:val="1"/>
        <w:rPr>
          <w:b/>
          <w:sz w:val="24"/>
        </w:rPr>
      </w:pPr>
      <w:bookmarkStart w:name="_Toc509931082" w:id="20"/>
      <w:bookmarkStart w:name="_Toc523299355" w:id="21"/>
      <w:r>
        <w:rPr>
          <w:b/>
          <w:spacing w:val="3"/>
          <w:sz w:val="24"/>
        </w:rPr>
        <w:t>2.3.2.</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2"/>
          <w:sz w:val="24"/>
        </w:rPr>
        <w:t xml:space="preserve">Roto </w:t>
      </w:r>
      <w:r w:rsidR="0065237C" w:rsidRPr="008C5B28">
        <w:rPr>
          <w:b/>
          <w:spacing w:val="3"/>
          <w:sz w:val="24"/>
        </w:rPr>
        <w:t>dinamic</w:t>
      </w:r>
      <w:r w:rsidR="0065237C" w:rsidRPr="008C5B28">
        <w:rPr>
          <w:b/>
          <w:spacing w:val="69"/>
          <w:sz w:val="24"/>
        </w:rPr>
        <w:t xml:space="preserve"> </w:t>
      </w:r>
      <w:r w:rsidR="0065237C" w:rsidRPr="008C5B28">
        <w:rPr>
          <w:b/>
          <w:spacing w:val="4"/>
          <w:sz w:val="24"/>
        </w:rPr>
        <w:t>d.o.o.</w:t>
      </w:r>
      <w:bookmarkEnd w:id="20"/>
      <w:bookmarkEnd w:id="21"/>
    </w:p>
    <w:p w:rsidRDefault="008A6252" w:rsidP="001312FE" w:rsidR="008A6252">
      <w:pPr>
        <w:pStyle w:val="Tijeloteksta"/>
        <w:spacing w:before="10"/>
        <w:rPr>
          <w:b/>
          <w:sz w:val="30"/>
        </w:rPr>
      </w:pPr>
    </w:p>
    <w:p w:rsidRDefault="008C5B28" w:rsidP="001312FE" w:rsidR="008A6252" w:rsidRPr="008C5B28">
      <w:pPr>
        <w:tabs>
          <w:tab w:pos="1965" w:val="left"/>
        </w:tabs>
        <w:ind w:left="1100"/>
        <w:rPr>
          <w:b/>
          <w:sz w:val="24"/>
        </w:rPr>
      </w:pPr>
      <w:r>
        <w:rPr>
          <w:b/>
          <w:sz w:val="24"/>
        </w:rPr>
        <w:t xml:space="preserve">2.3.2.1. </w:t>
      </w:r>
      <w:r w:rsidR="0065237C" w:rsidRPr="008C5B28">
        <w:rPr>
          <w:b/>
          <w:sz w:val="24"/>
        </w:rPr>
        <w:t>Financijski rezultati od početka godine i ključni financijski pokazatelji</w:t>
      </w:r>
      <w:r w:rsidR="001312FE">
        <w:rPr>
          <w:b/>
          <w:sz w:val="24"/>
        </w:rPr>
        <w:t xml:space="preserve"> </w:t>
      </w:r>
      <w:r w:rsidR="0065237C" w:rsidRPr="008C5B28">
        <w:rPr>
          <w:b/>
          <w:sz w:val="24"/>
        </w:rPr>
        <w:t>učinka</w:t>
      </w:r>
    </w:p>
    <w:p w:rsidRDefault="008A6252" w:rsidP="001312FE" w:rsidR="008A6252">
      <w:pPr>
        <w:pStyle w:val="Tijeloteksta"/>
        <w:spacing w:before="5"/>
        <w:rPr>
          <w:b/>
          <w:sz w:val="21"/>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1984"/>
      </w:tblGrid>
      <w:tr w:rsidTr="003C02CF" w:rsidR="00332BA2">
        <w:trPr>
          <w:trHeight w:val="448"/>
        </w:trPr>
        <w:tc>
          <w:tcPr>
            <w:tcW w:type="dxa" w:w="3153"/>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268"/>
            <w:shd w:fill="C00000" w:color="auto" w:val="clear"/>
          </w:tcPr>
          <w:p w:rsidRDefault="000313D3" w:rsidP="001312FE" w:rsidR="00332BA2">
            <w:pPr>
              <w:pStyle w:val="TableParagraph"/>
              <w:spacing w:before="82"/>
              <w:ind w:left="547"/>
              <w:jc w:val="center"/>
              <w:rPr>
                <w:b/>
                <w:color w:val="FFFFFF"/>
                <w:sz w:val="24"/>
              </w:rPr>
            </w:pPr>
            <w:r>
              <w:rPr>
                <w:b/>
                <w:color w:val="FFFFFF"/>
                <w:sz w:val="24"/>
              </w:rPr>
              <w:t>I.-</w:t>
            </w:r>
            <w:r w:rsidR="00CD1B87">
              <w:rPr>
                <w:b/>
                <w:color w:val="FFFFFF"/>
                <w:sz w:val="24"/>
              </w:rPr>
              <w:t>V</w:t>
            </w:r>
            <w:r w:rsidR="006B1516">
              <w:rPr>
                <w:b/>
                <w:color w:val="FFFFFF"/>
                <w:sz w:val="24"/>
              </w:rPr>
              <w:t>I</w:t>
            </w:r>
            <w:r w:rsidR="006B61B2">
              <w:rPr>
                <w:b/>
                <w:color w:val="FFFFFF"/>
                <w:sz w:val="24"/>
              </w:rPr>
              <w:t>I</w:t>
            </w:r>
            <w:r w:rsidR="00332BA2">
              <w:rPr>
                <w:b/>
                <w:color w:val="FFFFFF"/>
                <w:sz w:val="24"/>
              </w:rPr>
              <w:t>. 2018.</w:t>
            </w:r>
          </w:p>
          <w:p w:rsidRDefault="00332BA2" w:rsidP="001312FE" w:rsidR="00332BA2">
            <w:pPr>
              <w:pStyle w:val="TableParagraph"/>
              <w:spacing w:before="82"/>
              <w:ind w:left="547"/>
              <w:jc w:val="center"/>
              <w:rPr>
                <w:b/>
                <w:sz w:val="24"/>
              </w:rPr>
            </w:pPr>
            <w:r>
              <w:rPr>
                <w:b/>
                <w:color w:val="FFFFFF"/>
                <w:sz w:val="24"/>
              </w:rPr>
              <w:t>(HRK m)</w:t>
            </w:r>
          </w:p>
        </w:tc>
        <w:tc>
          <w:tcPr>
            <w:tcW w:type="dxa" w:w="1984"/>
            <w:shd w:fill="C00000" w:color="auto" w:val="clear"/>
          </w:tcPr>
          <w:p w:rsidRDefault="00332BA2" w:rsidP="001312FE" w:rsidR="00332BA2">
            <w:pPr>
              <w:pStyle w:val="TableParagraph"/>
              <w:spacing w:before="82"/>
              <w:ind w:left="547"/>
              <w:jc w:val="center"/>
              <w:rPr>
                <w:b/>
                <w:color w:val="FFFFFF"/>
                <w:sz w:val="24"/>
              </w:rPr>
            </w:pPr>
            <w:r>
              <w:rPr>
                <w:b/>
                <w:color w:val="FFFFFF"/>
                <w:sz w:val="24"/>
              </w:rPr>
              <w:t>Plan 2018.</w:t>
            </w:r>
          </w:p>
          <w:p w:rsidRDefault="00332BA2" w:rsidP="001312FE" w:rsidR="00332BA2">
            <w:pPr>
              <w:pStyle w:val="TableParagraph"/>
              <w:spacing w:before="82"/>
              <w:ind w:left="547"/>
              <w:jc w:val="center"/>
              <w:rPr>
                <w:b/>
                <w:color w:val="FFFFFF"/>
                <w:sz w:val="24"/>
              </w:rPr>
            </w:pPr>
            <w:r w:rsidRPr="00332BA2">
              <w:rPr>
                <w:b/>
                <w:color w:val="FFFFFF"/>
                <w:sz w:val="24"/>
              </w:rPr>
              <w:t>(HRK m)</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Prihod</w:t>
            </w:r>
          </w:p>
        </w:tc>
        <w:tc>
          <w:tcPr>
            <w:tcW w:type="dxa" w:w="2268"/>
          </w:tcPr>
          <w:p w:rsidRDefault="004D5FF8" w:rsidP="001312FE" w:rsidR="00332BA2">
            <w:pPr>
              <w:pStyle w:val="TableParagraph"/>
              <w:spacing w:lineRule="exact" w:line="256"/>
              <w:ind w:left="362"/>
              <w:jc w:val="center"/>
              <w:rPr>
                <w:sz w:val="24"/>
              </w:rPr>
            </w:pPr>
            <w:r>
              <w:rPr>
                <w:sz w:val="24"/>
              </w:rPr>
              <w:t>524</w:t>
            </w:r>
          </w:p>
        </w:tc>
        <w:tc>
          <w:tcPr>
            <w:tcW w:type="dxa" w:w="1984"/>
          </w:tcPr>
          <w:p w:rsidRDefault="004D5FF8" w:rsidP="001312FE" w:rsidR="00332BA2">
            <w:pPr>
              <w:pStyle w:val="TableParagraph"/>
              <w:spacing w:lineRule="exact" w:line="256"/>
              <w:ind w:left="362"/>
              <w:jc w:val="center"/>
              <w:rPr>
                <w:sz w:val="24"/>
              </w:rPr>
            </w:pPr>
            <w:r>
              <w:rPr>
                <w:sz w:val="24"/>
              </w:rPr>
              <w:t>576</w:t>
            </w:r>
          </w:p>
        </w:tc>
      </w:tr>
      <w:tr w:rsidTr="003C02CF" w:rsidR="00332BA2">
        <w:trPr>
          <w:trHeight w:val="275"/>
        </w:trPr>
        <w:tc>
          <w:tcPr>
            <w:tcW w:type="dxa" w:w="3153"/>
          </w:tcPr>
          <w:p w:rsidRDefault="00332BA2" w:rsidP="001312FE" w:rsidR="00332BA2">
            <w:pPr>
              <w:pStyle w:val="TableParagraph"/>
              <w:spacing w:lineRule="exact" w:line="256"/>
              <w:ind w:left="105"/>
              <w:rPr>
                <w:sz w:val="24"/>
              </w:rPr>
            </w:pPr>
            <w:r>
              <w:rPr>
                <w:sz w:val="24"/>
              </w:rPr>
              <w:t>EBITDA</w:t>
            </w:r>
          </w:p>
        </w:tc>
        <w:tc>
          <w:tcPr>
            <w:tcW w:type="dxa" w:w="2268"/>
          </w:tcPr>
          <w:p w:rsidRDefault="004D5FF8" w:rsidP="001312FE" w:rsidR="00332BA2">
            <w:pPr>
              <w:pStyle w:val="TableParagraph"/>
              <w:spacing w:lineRule="exact" w:line="256"/>
              <w:ind w:left="362"/>
              <w:jc w:val="center"/>
              <w:rPr>
                <w:sz w:val="24"/>
              </w:rPr>
            </w:pPr>
            <w:r>
              <w:rPr>
                <w:sz w:val="24"/>
              </w:rPr>
              <w:t>43,1</w:t>
            </w:r>
          </w:p>
        </w:tc>
        <w:tc>
          <w:tcPr>
            <w:tcW w:type="dxa" w:w="1984"/>
          </w:tcPr>
          <w:p w:rsidRDefault="004D5FF8" w:rsidP="001312FE" w:rsidR="00332BA2">
            <w:pPr>
              <w:pStyle w:val="TableParagraph"/>
              <w:spacing w:lineRule="exact" w:line="256"/>
              <w:ind w:left="362"/>
              <w:jc w:val="center"/>
              <w:rPr>
                <w:sz w:val="24"/>
              </w:rPr>
            </w:pPr>
            <w:r>
              <w:rPr>
                <w:sz w:val="24"/>
              </w:rPr>
              <w:t>26,1</w:t>
            </w:r>
          </w:p>
        </w:tc>
      </w:tr>
      <w:tr w:rsidTr="003C02CF" w:rsidR="00332BA2">
        <w:trPr>
          <w:trHeight w:val="276"/>
        </w:trPr>
        <w:tc>
          <w:tcPr>
            <w:tcW w:type="dxa" w:w="3153"/>
          </w:tcPr>
          <w:p w:rsidRDefault="00332BA2" w:rsidP="001312FE" w:rsidR="00332BA2">
            <w:pPr>
              <w:pStyle w:val="TableParagraph"/>
              <w:spacing w:lineRule="exact" w:line="256"/>
              <w:ind w:left="105"/>
              <w:rPr>
                <w:sz w:val="24"/>
              </w:rPr>
            </w:pPr>
            <w:r>
              <w:rPr>
                <w:sz w:val="24"/>
              </w:rPr>
              <w:t>EBITDA %</w:t>
            </w:r>
          </w:p>
        </w:tc>
        <w:tc>
          <w:tcPr>
            <w:tcW w:type="dxa" w:w="2268"/>
          </w:tcPr>
          <w:p w:rsidRDefault="004D5FF8" w:rsidP="001312FE" w:rsidR="00332BA2">
            <w:pPr>
              <w:pStyle w:val="TableParagraph"/>
              <w:spacing w:lineRule="exact" w:line="256"/>
              <w:ind w:left="362"/>
              <w:jc w:val="center"/>
              <w:rPr>
                <w:sz w:val="24"/>
              </w:rPr>
            </w:pPr>
            <w:r>
              <w:rPr>
                <w:sz w:val="24"/>
              </w:rPr>
              <w:t>8,2%</w:t>
            </w:r>
          </w:p>
        </w:tc>
        <w:tc>
          <w:tcPr>
            <w:tcW w:type="dxa" w:w="1984"/>
          </w:tcPr>
          <w:p w:rsidRDefault="004D5FF8" w:rsidP="001312FE" w:rsidR="00332BA2">
            <w:pPr>
              <w:pStyle w:val="TableParagraph"/>
              <w:spacing w:lineRule="exact" w:line="256"/>
              <w:ind w:left="362"/>
              <w:jc w:val="center"/>
              <w:rPr>
                <w:sz w:val="24"/>
              </w:rPr>
            </w:pPr>
            <w:r>
              <w:rPr>
                <w:sz w:val="24"/>
              </w:rPr>
              <w:t>4,5%</w:t>
            </w:r>
          </w:p>
        </w:tc>
      </w:tr>
    </w:tbl>
    <w:p w:rsidRDefault="0065237C" w:rsidP="00062C1C" w:rsidR="008A6252">
      <w:pPr>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332BA2" w:rsidP="001312FE" w:rsidR="00332BA2">
      <w:pPr>
        <w:pStyle w:val="Tijeloteksta"/>
        <w:spacing w:before="9"/>
        <w:rPr>
          <w:b/>
          <w:i/>
          <w:sz w:val="19"/>
        </w:rPr>
      </w:pPr>
    </w:p>
    <w:p w:rsidRDefault="008C5B28" w:rsidP="001312FE" w:rsidR="008A6252" w:rsidRPr="008C5B28">
      <w:pPr>
        <w:tabs>
          <w:tab w:pos="1836" w:val="left"/>
        </w:tabs>
        <w:spacing w:before="1"/>
        <w:ind w:left="1100"/>
        <w:rPr>
          <w:b/>
          <w:sz w:val="24"/>
        </w:rPr>
      </w:pPr>
      <w:r>
        <w:rPr>
          <w:b/>
          <w:sz w:val="24"/>
        </w:rPr>
        <w:t xml:space="preserve">2.3.2.2. </w:t>
      </w:r>
      <w:r w:rsidR="0065237C" w:rsidRPr="008C5B28">
        <w:rPr>
          <w:b/>
          <w:sz w:val="24"/>
        </w:rPr>
        <w:t>Komentari na tekuće</w:t>
      </w:r>
      <w:r w:rsidR="0065237C" w:rsidRPr="008C5B28">
        <w:rPr>
          <w:b/>
          <w:spacing w:val="-4"/>
          <w:sz w:val="24"/>
        </w:rPr>
        <w:t xml:space="preserve"> </w:t>
      </w:r>
      <w:r w:rsidR="0065237C" w:rsidRPr="008C5B28">
        <w:rPr>
          <w:b/>
          <w:sz w:val="24"/>
        </w:rPr>
        <w:t>poslovanje</w:t>
      </w:r>
    </w:p>
    <w:p w:rsidRDefault="008A6252" w:rsidP="001312FE" w:rsidR="008A6252" w:rsidRPr="00CD0469">
      <w:pPr>
        <w:pStyle w:val="Tijeloteksta"/>
        <w:spacing w:before="10"/>
        <w:rPr>
          <w:b/>
          <w:sz w:val="20"/>
        </w:rPr>
      </w:pPr>
    </w:p>
    <w:p w:rsidRDefault="00045ECF" w:rsidP="009B28A5" w:rsidR="00F279FF">
      <w:pPr>
        <w:pStyle w:val="Odlomakpopisa"/>
        <w:numPr>
          <w:ilvl w:val="0"/>
          <w:numId w:val="4"/>
        </w:numPr>
        <w:tabs>
          <w:tab w:pos="2127" w:val="left"/>
        </w:tabs>
        <w:spacing w:lineRule="auto" w:line="276"/>
        <w:ind w:hanging="709" w:left="2127"/>
        <w:jc w:val="both"/>
        <w:rPr>
          <w:sz w:val="24"/>
        </w:rPr>
      </w:pPr>
      <w:r>
        <w:rPr>
          <w:sz w:val="24"/>
        </w:rPr>
        <w:t xml:space="preserve">Unaprijeđenje </w:t>
      </w:r>
      <w:r w:rsidR="00166CD4">
        <w:rPr>
          <w:sz w:val="24"/>
        </w:rPr>
        <w:t>poslovnog modela i smanjenje</w:t>
      </w:r>
      <w:r>
        <w:rPr>
          <w:sz w:val="24"/>
        </w:rPr>
        <w:t xml:space="preserve"> troškova rezultirali su ostvarenom mjesečnom EBITD-om iznad plana.</w:t>
      </w:r>
    </w:p>
    <w:p w:rsidRDefault="00036492" w:rsidP="005864F9" w:rsidR="00036492" w:rsidRPr="00F279FF">
      <w:pPr>
        <w:pStyle w:val="Odlomakpopisa"/>
        <w:tabs>
          <w:tab w:pos="1418" w:val="left"/>
        </w:tabs>
        <w:spacing w:lineRule="auto" w:line="276"/>
        <w:ind w:firstLine="0"/>
        <w:jc w:val="both"/>
        <w:rPr>
          <w:sz w:val="24"/>
        </w:rPr>
      </w:pPr>
    </w:p>
    <w:p w:rsidRDefault="00635731" w:rsidP="009B28A5" w:rsidR="003E3507">
      <w:pPr>
        <w:pStyle w:val="Odlomakpopisa"/>
        <w:numPr>
          <w:ilvl w:val="0"/>
          <w:numId w:val="4"/>
        </w:numPr>
        <w:tabs>
          <w:tab w:pos="2127" w:val="left"/>
        </w:tabs>
        <w:spacing w:lineRule="auto" w:line="276"/>
        <w:ind w:hanging="709" w:left="2127"/>
        <w:jc w:val="both"/>
        <w:rPr>
          <w:sz w:val="24"/>
        </w:rPr>
      </w:pPr>
      <w:r>
        <w:rPr>
          <w:sz w:val="24"/>
        </w:rPr>
        <w:t>Ostvareni prihodi od prodaje u srpnju su ispod plana kao rezultat nepovoljnih vremenskih prilika na kontinentu te nastavka pritiska konkur</w:t>
      </w:r>
      <w:r w:rsidR="00045ECF">
        <w:rPr>
          <w:sz w:val="24"/>
        </w:rPr>
        <w:t>encije u regiji Zagreb i okolici.</w:t>
      </w:r>
    </w:p>
    <w:p w:rsidRDefault="00F279FF" w:rsidP="009B28A5" w:rsidR="00F279FF">
      <w:pPr>
        <w:tabs>
          <w:tab w:pos="2127" w:val="left"/>
        </w:tabs>
        <w:ind w:hanging="709" w:left="2127"/>
        <w:jc w:val="both"/>
        <w:rPr>
          <w:sz w:val="24"/>
        </w:rPr>
      </w:pPr>
      <w:r>
        <w:rPr>
          <w:sz w:val="24"/>
        </w:rPr>
        <w:br w:type="page"/>
      </w:r>
    </w:p>
    <w:p w:rsidRDefault="00F279FF" w:rsidP="001312FE" w:rsidR="006B1516" w:rsidRPr="006B61B2">
      <w:pPr>
        <w:pStyle w:val="Odlomakpopisa"/>
        <w:tabs>
          <w:tab w:pos="979" w:val="left"/>
        </w:tabs>
        <w:spacing w:lineRule="auto" w:line="276"/>
        <w:ind w:firstLine="0"/>
        <w:jc w:val="both"/>
        <w:rPr>
          <w:sz w:val="24"/>
        </w:rPr>
      </w:pPr>
      <w:r w:rsidRPr="006B61B2">
        <w:rPr>
          <w:sz w:val="24"/>
        </w:rPr>
        <w:lastRenderedPageBreak/>
        <w:t xml:space="preserve"> </w:t>
      </w:r>
    </w:p>
    <w:p w:rsidRDefault="008C5B28" w:rsidP="001312FE" w:rsidR="008A6252" w:rsidRPr="008C5B28">
      <w:pPr>
        <w:tabs>
          <w:tab w:pos="965" w:val="left"/>
        </w:tabs>
        <w:spacing w:before="92"/>
        <w:ind w:hanging="110" w:left="880"/>
        <w:outlineLvl w:val="1"/>
        <w:rPr>
          <w:b/>
          <w:sz w:val="24"/>
        </w:rPr>
      </w:pPr>
      <w:bookmarkStart w:name="_Toc509931083" w:id="22"/>
      <w:bookmarkStart w:name="_Toc523299356" w:id="23"/>
      <w:r>
        <w:rPr>
          <w:b/>
          <w:spacing w:val="3"/>
          <w:sz w:val="24"/>
        </w:rPr>
        <w:t xml:space="preserve">2.3.3. </w:t>
      </w:r>
      <w:r w:rsidR="0065237C" w:rsidRPr="008C5B28">
        <w:rPr>
          <w:b/>
          <w:spacing w:val="3"/>
          <w:sz w:val="24"/>
        </w:rPr>
        <w:t xml:space="preserve">Kompanije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Sarajevski Kiseljak</w:t>
      </w:r>
      <w:r w:rsidR="0065237C" w:rsidRPr="008C5B28">
        <w:rPr>
          <w:b/>
          <w:spacing w:val="58"/>
          <w:sz w:val="24"/>
        </w:rPr>
        <w:t xml:space="preserve"> </w:t>
      </w:r>
      <w:r w:rsidR="0065237C" w:rsidRPr="008C5B28">
        <w:rPr>
          <w:b/>
          <w:spacing w:val="3"/>
          <w:sz w:val="24"/>
        </w:rPr>
        <w:t>d.d.</w:t>
      </w:r>
      <w:bookmarkEnd w:id="22"/>
      <w:bookmarkEnd w:id="23"/>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4" w:val="left"/>
          <w:tab w:pos="4566" w:val="left"/>
          <w:tab w:pos="5072" w:val="left"/>
          <w:tab w:pos="6193" w:val="left"/>
          <w:tab w:pos="7191" w:val="left"/>
          <w:tab w:pos="7471" w:val="left"/>
          <w:tab w:pos="8445" w:val="left"/>
        </w:tabs>
        <w:ind w:left="1210"/>
        <w:rPr>
          <w:b/>
          <w:sz w:val="24"/>
        </w:rPr>
      </w:pPr>
      <w:r>
        <w:rPr>
          <w:b/>
          <w:sz w:val="24"/>
        </w:rPr>
        <w:t xml:space="preserve">2.3.3.1. </w:t>
      </w:r>
      <w:r w:rsidR="0065237C" w:rsidRPr="008C5B28">
        <w:rPr>
          <w:b/>
          <w:sz w:val="24"/>
        </w:rPr>
        <w:t>Financijski</w:t>
      </w:r>
      <w:r>
        <w:rPr>
          <w:b/>
          <w:sz w:val="24"/>
        </w:rPr>
        <w:t xml:space="preserve"> </w:t>
      </w:r>
      <w:r w:rsidR="0065237C" w:rsidRPr="008C5B28">
        <w:rPr>
          <w:b/>
          <w:sz w:val="24"/>
        </w:rPr>
        <w:t>rezultati</w:t>
      </w:r>
      <w:r>
        <w:rPr>
          <w:b/>
          <w:sz w:val="24"/>
        </w:rPr>
        <w:t xml:space="preserve"> </w:t>
      </w:r>
      <w:r w:rsidR="0065237C" w:rsidRPr="008C5B28">
        <w:rPr>
          <w:b/>
          <w:sz w:val="24"/>
        </w:rPr>
        <w:t>od</w:t>
      </w:r>
      <w:r>
        <w:rPr>
          <w:b/>
          <w:sz w:val="24"/>
        </w:rPr>
        <w:t xml:space="preserve"> </w:t>
      </w:r>
      <w:r w:rsidR="0065237C" w:rsidRPr="008C5B28">
        <w:rPr>
          <w:b/>
          <w:sz w:val="24"/>
        </w:rPr>
        <w:t>početka</w:t>
      </w:r>
      <w:r w:rsidR="001312FE">
        <w:rPr>
          <w:b/>
          <w:sz w:val="24"/>
        </w:rPr>
        <w:t xml:space="preserve"> </w:t>
      </w:r>
      <w:r w:rsidR="0065237C" w:rsidRPr="008C5B28">
        <w:rPr>
          <w:b/>
          <w:sz w:val="24"/>
        </w:rPr>
        <w:t>godine</w:t>
      </w:r>
      <w:r>
        <w:rPr>
          <w:b/>
          <w:sz w:val="24"/>
        </w:rPr>
        <w:t xml:space="preserve">  </w:t>
      </w:r>
      <w:r w:rsidR="0065237C" w:rsidRPr="008C5B28">
        <w:rPr>
          <w:b/>
          <w:sz w:val="24"/>
        </w:rPr>
        <w:t>i</w:t>
      </w:r>
      <w:r>
        <w:rPr>
          <w:b/>
          <w:sz w:val="24"/>
        </w:rPr>
        <w:t xml:space="preserve"> ključni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2988"/>
        <w:gridCol w:w="2387"/>
        <w:gridCol w:w="1939"/>
      </w:tblGrid>
      <w:tr w:rsidTr="003C02CF" w:rsidR="00332BA2">
        <w:trPr>
          <w:trHeight w:val="445"/>
          <w:jc w:val="center"/>
        </w:trPr>
        <w:tc>
          <w:tcPr>
            <w:tcW w:type="dxa" w:w="2988"/>
            <w:shd w:fill="C00000" w:color="auto" w:val="clear"/>
          </w:tcPr>
          <w:p w:rsidRDefault="00332BA2" w:rsidP="001312FE" w:rsidR="00332BA2">
            <w:pPr>
              <w:pStyle w:val="TableParagraph"/>
              <w:spacing w:before="82"/>
              <w:ind w:left="105"/>
              <w:rPr>
                <w:b/>
                <w:sz w:val="24"/>
              </w:rPr>
            </w:pPr>
            <w:r>
              <w:rPr>
                <w:b/>
                <w:color w:val="FFFFFF"/>
                <w:sz w:val="24"/>
              </w:rPr>
              <w:t>Financijski rezultati*</w:t>
            </w:r>
          </w:p>
        </w:tc>
        <w:tc>
          <w:tcPr>
            <w:tcW w:type="dxa" w:w="2387"/>
            <w:shd w:fill="C00000" w:color="auto" w:val="clear"/>
          </w:tcPr>
          <w:p w:rsidRDefault="000313D3" w:rsidP="001312FE" w:rsidR="00013B40">
            <w:pPr>
              <w:pStyle w:val="TableParagraph"/>
              <w:spacing w:before="82"/>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B1516">
              <w:rPr>
                <w:b/>
                <w:color w:val="FFFFFF"/>
                <w:sz w:val="24"/>
              </w:rPr>
              <w:t>I</w:t>
            </w:r>
            <w:r w:rsidR="00332BA2">
              <w:rPr>
                <w:b/>
                <w:color w:val="FFFFFF"/>
                <w:sz w:val="24"/>
              </w:rPr>
              <w:t xml:space="preserve">. 2018. </w:t>
            </w:r>
          </w:p>
          <w:p w:rsidRDefault="00332BA2" w:rsidP="001312FE" w:rsidR="00332BA2">
            <w:pPr>
              <w:pStyle w:val="TableParagraph"/>
              <w:spacing w:before="82"/>
              <w:ind w:left="362"/>
              <w:jc w:val="center"/>
              <w:rPr>
                <w:b/>
                <w:sz w:val="24"/>
              </w:rPr>
            </w:pPr>
            <w:r>
              <w:rPr>
                <w:b/>
                <w:color w:val="FFFFFF"/>
                <w:sz w:val="24"/>
              </w:rPr>
              <w:t>(mil. HRK)</w:t>
            </w:r>
          </w:p>
        </w:tc>
        <w:tc>
          <w:tcPr>
            <w:tcW w:type="dxa" w:w="1939"/>
            <w:shd w:fill="C00000" w:color="auto" w:val="clear"/>
          </w:tcPr>
          <w:p w:rsidRDefault="00332BA2" w:rsidP="001312FE" w:rsidR="00013B40">
            <w:pPr>
              <w:pStyle w:val="TableParagraph"/>
              <w:spacing w:before="82"/>
              <w:ind w:left="362"/>
              <w:jc w:val="center"/>
              <w:rPr>
                <w:b/>
                <w:color w:val="FFFFFF"/>
                <w:sz w:val="24"/>
              </w:rPr>
            </w:pPr>
            <w:r>
              <w:rPr>
                <w:b/>
                <w:color w:val="FFFFFF"/>
                <w:sz w:val="24"/>
              </w:rPr>
              <w:t xml:space="preserve">Plan 2018 </w:t>
            </w:r>
          </w:p>
          <w:p w:rsidRDefault="00332BA2" w:rsidP="001312FE" w:rsidR="00332BA2">
            <w:pPr>
              <w:pStyle w:val="TableParagraph"/>
              <w:spacing w:before="82"/>
              <w:ind w:left="362"/>
              <w:jc w:val="center"/>
              <w:rPr>
                <w:b/>
                <w:color w:val="FFFFFF"/>
                <w:sz w:val="24"/>
              </w:rPr>
            </w:pPr>
            <w:r>
              <w:rPr>
                <w:b/>
                <w:color w:val="FFFFFF"/>
                <w:sz w:val="24"/>
              </w:rPr>
              <w:t>(mil.HRK)</w:t>
            </w:r>
          </w:p>
        </w:tc>
      </w:tr>
      <w:tr w:rsidTr="003C02CF" w:rsidR="00332BA2">
        <w:trPr>
          <w:trHeight w:val="275"/>
          <w:jc w:val="center"/>
        </w:trPr>
        <w:tc>
          <w:tcPr>
            <w:tcW w:type="dxa" w:w="2988"/>
          </w:tcPr>
          <w:p w:rsidRDefault="00332BA2" w:rsidP="001312FE" w:rsidR="00332BA2">
            <w:pPr>
              <w:pStyle w:val="TableParagraph"/>
              <w:spacing w:lineRule="exact" w:line="256"/>
              <w:ind w:left="105"/>
              <w:rPr>
                <w:sz w:val="24"/>
              </w:rPr>
            </w:pPr>
            <w:r>
              <w:rPr>
                <w:sz w:val="24"/>
              </w:rPr>
              <w:t>Prihod</w:t>
            </w:r>
          </w:p>
        </w:tc>
        <w:tc>
          <w:tcPr>
            <w:tcW w:type="dxa" w:w="2387"/>
          </w:tcPr>
          <w:p w:rsidRDefault="004D5FF8" w:rsidP="001312FE" w:rsidR="00332BA2">
            <w:pPr>
              <w:pStyle w:val="TableParagraph"/>
              <w:spacing w:lineRule="exact" w:line="256"/>
              <w:ind w:left="362"/>
              <w:jc w:val="center"/>
              <w:rPr>
                <w:sz w:val="24"/>
              </w:rPr>
            </w:pPr>
            <w:r>
              <w:rPr>
                <w:sz w:val="24"/>
              </w:rPr>
              <w:t>204</w:t>
            </w:r>
          </w:p>
        </w:tc>
        <w:tc>
          <w:tcPr>
            <w:tcW w:type="dxa" w:w="1939"/>
          </w:tcPr>
          <w:p w:rsidRDefault="004D5FF8" w:rsidP="001312FE" w:rsidR="00332BA2">
            <w:pPr>
              <w:pStyle w:val="TableParagraph"/>
              <w:spacing w:lineRule="exact" w:line="256"/>
              <w:ind w:left="362"/>
              <w:jc w:val="center"/>
              <w:rPr>
                <w:sz w:val="24"/>
              </w:rPr>
            </w:pPr>
            <w:r>
              <w:rPr>
                <w:sz w:val="24"/>
              </w:rPr>
              <w:t>213</w:t>
            </w:r>
          </w:p>
        </w:tc>
      </w:tr>
      <w:tr w:rsidTr="003C02CF" w:rsidR="00332BA2">
        <w:trPr>
          <w:trHeight w:val="277"/>
          <w:jc w:val="center"/>
        </w:trPr>
        <w:tc>
          <w:tcPr>
            <w:tcW w:type="dxa" w:w="2988"/>
          </w:tcPr>
          <w:p w:rsidRDefault="00332BA2" w:rsidP="001312FE" w:rsidR="00332BA2">
            <w:pPr>
              <w:pStyle w:val="TableParagraph"/>
              <w:spacing w:lineRule="exact" w:line="258"/>
              <w:ind w:left="105"/>
              <w:rPr>
                <w:sz w:val="24"/>
              </w:rPr>
            </w:pPr>
            <w:r>
              <w:rPr>
                <w:sz w:val="24"/>
              </w:rPr>
              <w:t>EBITDA</w:t>
            </w:r>
          </w:p>
        </w:tc>
        <w:tc>
          <w:tcPr>
            <w:tcW w:type="dxa" w:w="2387"/>
          </w:tcPr>
          <w:p w:rsidRDefault="004D5FF8" w:rsidP="001312FE" w:rsidR="00332BA2">
            <w:pPr>
              <w:pStyle w:val="TableParagraph"/>
              <w:spacing w:lineRule="exact" w:line="258"/>
              <w:ind w:left="362"/>
              <w:jc w:val="center"/>
              <w:rPr>
                <w:sz w:val="24"/>
              </w:rPr>
            </w:pPr>
            <w:r>
              <w:rPr>
                <w:sz w:val="24"/>
              </w:rPr>
              <w:t>47,9</w:t>
            </w:r>
          </w:p>
        </w:tc>
        <w:tc>
          <w:tcPr>
            <w:tcW w:type="dxa" w:w="1939"/>
          </w:tcPr>
          <w:p w:rsidRDefault="004D5FF8" w:rsidP="001312FE" w:rsidR="00332BA2">
            <w:pPr>
              <w:pStyle w:val="TableParagraph"/>
              <w:spacing w:lineRule="exact" w:line="258"/>
              <w:ind w:left="362"/>
              <w:jc w:val="center"/>
              <w:rPr>
                <w:sz w:val="24"/>
              </w:rPr>
            </w:pPr>
            <w:r>
              <w:rPr>
                <w:sz w:val="24"/>
              </w:rPr>
              <w:t>48,5</w:t>
            </w:r>
          </w:p>
        </w:tc>
      </w:tr>
      <w:tr w:rsidTr="003C02CF" w:rsidR="00332BA2">
        <w:trPr>
          <w:trHeight w:val="273"/>
          <w:jc w:val="center"/>
        </w:trPr>
        <w:tc>
          <w:tcPr>
            <w:tcW w:type="dxa" w:w="2988"/>
            <w:tcBorders>
              <w:bottom w:space="0" w:sz="6" w:color="000000" w:val="single"/>
            </w:tcBorders>
          </w:tcPr>
          <w:p w:rsidRDefault="00332BA2" w:rsidP="001312FE" w:rsidR="00332BA2">
            <w:pPr>
              <w:pStyle w:val="TableParagraph"/>
              <w:spacing w:lineRule="exact" w:line="253"/>
              <w:ind w:left="105"/>
              <w:rPr>
                <w:sz w:val="24"/>
              </w:rPr>
            </w:pPr>
            <w:r>
              <w:rPr>
                <w:sz w:val="24"/>
              </w:rPr>
              <w:t>EBITDA %</w:t>
            </w:r>
          </w:p>
        </w:tc>
        <w:tc>
          <w:tcPr>
            <w:tcW w:type="dxa" w:w="2387"/>
            <w:tcBorders>
              <w:bottom w:space="0" w:sz="6" w:color="000000" w:val="single"/>
            </w:tcBorders>
          </w:tcPr>
          <w:p w:rsidRDefault="004D5FF8" w:rsidP="001312FE" w:rsidR="00332BA2">
            <w:pPr>
              <w:pStyle w:val="TableParagraph"/>
              <w:spacing w:lineRule="exact" w:line="253"/>
              <w:ind w:left="362"/>
              <w:jc w:val="center"/>
              <w:rPr>
                <w:sz w:val="24"/>
              </w:rPr>
            </w:pPr>
            <w:r>
              <w:rPr>
                <w:sz w:val="24"/>
              </w:rPr>
              <w:t>23,5%</w:t>
            </w:r>
          </w:p>
        </w:tc>
        <w:tc>
          <w:tcPr>
            <w:tcW w:type="dxa" w:w="1939"/>
            <w:tcBorders>
              <w:bottom w:space="0" w:sz="6" w:color="000000" w:val="single"/>
            </w:tcBorders>
          </w:tcPr>
          <w:p w:rsidRDefault="004D5FF8" w:rsidP="001312FE" w:rsidR="00332BA2">
            <w:pPr>
              <w:pStyle w:val="TableParagraph"/>
              <w:spacing w:lineRule="exact" w:line="253"/>
              <w:ind w:left="362"/>
              <w:jc w:val="center"/>
              <w:rPr>
                <w:sz w:val="24"/>
              </w:rPr>
            </w:pPr>
            <w:r>
              <w:rPr>
                <w:sz w:val="24"/>
              </w:rPr>
              <w:t>22,8%</w:t>
            </w:r>
          </w:p>
        </w:tc>
      </w:tr>
    </w:tbl>
    <w:p w:rsidRDefault="0065237C" w:rsidP="00062C1C" w:rsidR="008A6252">
      <w:pPr>
        <w:spacing w:lineRule="exact" w:line="227"/>
        <w:ind w:firstLine="310" w:left="966"/>
        <w:rPr>
          <w:b/>
          <w:i/>
          <w:sz w:val="20"/>
        </w:rPr>
      </w:pPr>
      <w:r>
        <w:rPr>
          <w:b/>
          <w:i/>
          <w:sz w:val="20"/>
        </w:rPr>
        <w:t xml:space="preserve">*NAPOMENA: </w:t>
      </w:r>
      <w:r w:rsidR="00D52FA1">
        <w:rPr>
          <w:b/>
          <w:i/>
          <w:sz w:val="20"/>
        </w:rPr>
        <w:t xml:space="preserve">Preliminirani </w:t>
      </w:r>
      <w:r>
        <w:rPr>
          <w:b/>
          <w:i/>
          <w:sz w:val="20"/>
        </w:rPr>
        <w:t xml:space="preserve"> </w:t>
      </w:r>
      <w:r w:rsidR="00D52FA1">
        <w:rPr>
          <w:b/>
          <w:i/>
          <w:sz w:val="20"/>
        </w:rPr>
        <w:t>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8C5B28" w:rsidP="001312FE" w:rsidR="008A6252" w:rsidRPr="008C5B28">
      <w:pPr>
        <w:tabs>
          <w:tab w:pos="1814" w:val="left"/>
        </w:tabs>
        <w:spacing w:before="1"/>
        <w:ind w:left="1210"/>
        <w:rPr>
          <w:b/>
          <w:sz w:val="24"/>
        </w:rPr>
      </w:pPr>
      <w:r>
        <w:rPr>
          <w:b/>
          <w:sz w:val="24"/>
        </w:rPr>
        <w:t xml:space="preserve">2.3.3.2. </w:t>
      </w:r>
      <w:r w:rsidR="0065237C" w:rsidRPr="008C5B28">
        <w:rPr>
          <w:b/>
          <w:sz w:val="24"/>
        </w:rPr>
        <w:t>Komentari na tekuće</w:t>
      </w:r>
      <w:r w:rsidR="0065237C" w:rsidRPr="008C5B28">
        <w:rPr>
          <w:b/>
          <w:spacing w:val="-2"/>
          <w:sz w:val="24"/>
        </w:rPr>
        <w:t xml:space="preserve"> </w:t>
      </w:r>
      <w:r w:rsidR="0065237C" w:rsidRPr="008C5B28">
        <w:rPr>
          <w:b/>
          <w:sz w:val="24"/>
        </w:rPr>
        <w:t>poslovanje</w:t>
      </w:r>
    </w:p>
    <w:p w:rsidRDefault="008A6252" w:rsidP="001312FE" w:rsidR="008A6252">
      <w:pPr>
        <w:pStyle w:val="Tijeloteksta"/>
        <w:spacing w:before="8"/>
        <w:rPr>
          <w:b/>
          <w:sz w:val="20"/>
        </w:rPr>
      </w:pPr>
    </w:p>
    <w:p w:rsidRDefault="00F279FF" w:rsidP="009B28A5" w:rsidR="00F279FF">
      <w:pPr>
        <w:pStyle w:val="Odlomakpopisa"/>
        <w:numPr>
          <w:ilvl w:val="0"/>
          <w:numId w:val="48"/>
        </w:numPr>
        <w:tabs>
          <w:tab w:pos="2127" w:val="left"/>
        </w:tabs>
        <w:ind w:hanging="567" w:left="2127"/>
        <w:jc w:val="both"/>
        <w:rPr>
          <w:sz w:val="24"/>
          <w:szCs w:val="24"/>
        </w:rPr>
      </w:pPr>
      <w:r>
        <w:rPr>
          <w:sz w:val="24"/>
          <w:szCs w:val="24"/>
        </w:rPr>
        <w:t>Ostvareni prihodi od prodaje u srpnju su ispod pl</w:t>
      </w:r>
      <w:r w:rsidR="005864F9">
        <w:rPr>
          <w:sz w:val="24"/>
          <w:szCs w:val="24"/>
        </w:rPr>
        <w:t xml:space="preserve">ana uslijed loših vremenskih </w:t>
      </w:r>
      <w:r w:rsidR="00166CD4">
        <w:rPr>
          <w:sz w:val="24"/>
          <w:szCs w:val="24"/>
        </w:rPr>
        <w:t>uv</w:t>
      </w:r>
      <w:r>
        <w:rPr>
          <w:sz w:val="24"/>
          <w:szCs w:val="24"/>
        </w:rPr>
        <w:t xml:space="preserve">jeta (stalna kišna razdoblja) te </w:t>
      </w:r>
      <w:r w:rsidR="00045ECF">
        <w:rPr>
          <w:sz w:val="24"/>
          <w:szCs w:val="24"/>
        </w:rPr>
        <w:t>izostanka planirane razine izvoza.</w:t>
      </w:r>
    </w:p>
    <w:p w:rsidRDefault="00036492" w:rsidP="005864F9" w:rsidR="00036492">
      <w:pPr>
        <w:pStyle w:val="Odlomakpopisa"/>
        <w:tabs>
          <w:tab w:pos="1327" w:val="left"/>
        </w:tabs>
        <w:ind w:firstLine="120" w:left="720"/>
        <w:jc w:val="both"/>
        <w:rPr>
          <w:sz w:val="24"/>
          <w:szCs w:val="24"/>
        </w:rPr>
      </w:pPr>
    </w:p>
    <w:p w:rsidRDefault="00F279FF" w:rsidP="009B28A5" w:rsidR="00F279FF">
      <w:pPr>
        <w:pStyle w:val="Odlomakpopisa"/>
        <w:numPr>
          <w:ilvl w:val="0"/>
          <w:numId w:val="48"/>
        </w:numPr>
        <w:tabs>
          <w:tab w:pos="1560" w:val="left"/>
        </w:tabs>
        <w:ind w:hanging="567" w:left="2127"/>
        <w:jc w:val="both"/>
        <w:rPr>
          <w:sz w:val="24"/>
          <w:szCs w:val="24"/>
        </w:rPr>
      </w:pPr>
      <w:r>
        <w:rPr>
          <w:sz w:val="24"/>
          <w:szCs w:val="24"/>
        </w:rPr>
        <w:t>Mjes</w:t>
      </w:r>
      <w:r w:rsidR="00F431B2">
        <w:rPr>
          <w:sz w:val="24"/>
          <w:szCs w:val="24"/>
        </w:rPr>
        <w:t xml:space="preserve">ečna EBITDA prati pad prihoda, dok je kumulativna EBITDA </w:t>
      </w:r>
      <w:r w:rsidR="004D5FF8">
        <w:rPr>
          <w:sz w:val="24"/>
          <w:szCs w:val="24"/>
        </w:rPr>
        <w:t>neznatno ispod planirane</w:t>
      </w:r>
      <w:r w:rsidR="00F431B2">
        <w:rPr>
          <w:sz w:val="24"/>
          <w:szCs w:val="24"/>
        </w:rPr>
        <w:t>.</w:t>
      </w:r>
    </w:p>
    <w:p w:rsidRDefault="00F279FF" w:rsidP="001312FE" w:rsidR="00F279FF">
      <w:pPr>
        <w:pStyle w:val="Odlomakpopisa"/>
        <w:tabs>
          <w:tab w:pos="1327" w:val="left"/>
        </w:tabs>
        <w:ind w:firstLine="0" w:left="1326"/>
        <w:jc w:val="both"/>
        <w:rPr>
          <w:sz w:val="24"/>
          <w:szCs w:val="24"/>
        </w:rPr>
      </w:pPr>
    </w:p>
    <w:p w:rsidRDefault="002E6DA0" w:rsidP="001312FE" w:rsidR="002E6DA0" w:rsidRPr="00942DEC">
      <w:pPr>
        <w:pStyle w:val="Odlomakpopisa"/>
        <w:numPr>
          <w:ilvl w:val="0"/>
          <w:numId w:val="3"/>
        </w:numPr>
        <w:tabs>
          <w:tab w:pos="1327" w:val="left"/>
        </w:tabs>
        <w:ind w:firstLine="0"/>
        <w:jc w:val="both"/>
        <w:rPr>
          <w:sz w:val="24"/>
          <w:szCs w:val="24"/>
        </w:rPr>
      </w:pPr>
      <w:r w:rsidRPr="00942DEC">
        <w:rPr>
          <w:sz w:val="24"/>
          <w:szCs w:val="24"/>
        </w:rPr>
        <w:br w:type="page"/>
      </w:r>
    </w:p>
    <w:p w:rsidRDefault="001C01BA" w:rsidP="001312FE" w:rsidR="001C01BA">
      <w:pPr>
        <w:pStyle w:val="Odlomakpopisa"/>
        <w:tabs>
          <w:tab w:pos="1327" w:val="left"/>
        </w:tabs>
        <w:ind w:firstLine="0" w:left="1326"/>
        <w:jc w:val="both"/>
        <w:rPr>
          <w:sz w:val="12"/>
        </w:rPr>
      </w:pPr>
    </w:p>
    <w:p w:rsidRDefault="001C01BA" w:rsidP="001312FE" w:rsidR="001C01BA">
      <w:pPr>
        <w:pStyle w:val="Tijeloteksta"/>
        <w:spacing w:before="4"/>
        <w:rPr>
          <w:sz w:val="12"/>
        </w:rPr>
      </w:pPr>
    </w:p>
    <w:p w:rsidRDefault="008C5B28" w:rsidP="001312FE" w:rsidR="008A6252" w:rsidRPr="008C5B28">
      <w:pPr>
        <w:tabs>
          <w:tab w:pos="965" w:val="left"/>
        </w:tabs>
        <w:spacing w:before="92"/>
        <w:ind w:firstLine="402" w:left="258"/>
        <w:outlineLvl w:val="1"/>
        <w:rPr>
          <w:b/>
          <w:sz w:val="24"/>
        </w:rPr>
      </w:pPr>
      <w:bookmarkStart w:name="_Toc509931084" w:id="24"/>
      <w:bookmarkStart w:name="_Toc523299357" w:id="25"/>
      <w:r>
        <w:rPr>
          <w:b/>
          <w:spacing w:val="3"/>
          <w:sz w:val="24"/>
        </w:rPr>
        <w:t xml:space="preserve">2.3.4. </w:t>
      </w:r>
      <w:r w:rsidR="004E2F8F" w:rsidRPr="008C5B28">
        <w:rPr>
          <w:b/>
          <w:spacing w:val="3"/>
          <w:sz w:val="24"/>
        </w:rPr>
        <w:t>K</w:t>
      </w:r>
      <w:r w:rsidR="0065237C" w:rsidRPr="008C5B28">
        <w:rPr>
          <w:b/>
          <w:spacing w:val="3"/>
          <w:sz w:val="24"/>
        </w:rPr>
        <w:t xml:space="preserve">ompanije </w:t>
      </w:r>
      <w:r w:rsidR="0065237C" w:rsidRPr="008C5B28">
        <w:rPr>
          <w:b/>
          <w:sz w:val="24"/>
        </w:rPr>
        <w:t xml:space="preserve">u </w:t>
      </w:r>
      <w:r w:rsidR="0065237C" w:rsidRPr="008C5B28">
        <w:rPr>
          <w:b/>
          <w:spacing w:val="3"/>
          <w:sz w:val="24"/>
        </w:rPr>
        <w:t xml:space="preserve">poslovnoj grupi </w:t>
      </w:r>
      <w:r w:rsidR="0065237C" w:rsidRPr="008C5B28">
        <w:rPr>
          <w:b/>
          <w:spacing w:val="4"/>
          <w:sz w:val="24"/>
        </w:rPr>
        <w:t xml:space="preserve">Prehrana: </w:t>
      </w:r>
      <w:r w:rsidR="0065237C" w:rsidRPr="008C5B28">
        <w:rPr>
          <w:b/>
          <w:spacing w:val="3"/>
          <w:sz w:val="24"/>
        </w:rPr>
        <w:t>Ledo</w:t>
      </w:r>
      <w:r w:rsidR="0065237C" w:rsidRPr="008C5B28">
        <w:rPr>
          <w:b/>
          <w:spacing w:val="45"/>
          <w:sz w:val="24"/>
        </w:rPr>
        <w:t xml:space="preserve"> </w:t>
      </w:r>
      <w:r w:rsidR="0065237C" w:rsidRPr="008C5B28">
        <w:rPr>
          <w:b/>
          <w:spacing w:val="3"/>
          <w:sz w:val="24"/>
        </w:rPr>
        <w:t>d.d.</w:t>
      </w:r>
      <w:bookmarkEnd w:id="24"/>
      <w:bookmarkEnd w:id="25"/>
    </w:p>
    <w:p w:rsidRDefault="008A6252" w:rsidP="001312FE" w:rsidR="008A6252">
      <w:pPr>
        <w:pStyle w:val="Tijeloteksta"/>
        <w:spacing w:before="10"/>
        <w:rPr>
          <w:b/>
          <w:sz w:val="30"/>
        </w:rPr>
      </w:pPr>
    </w:p>
    <w:p w:rsidRDefault="008C5B28" w:rsidP="001312FE" w:rsidR="008A6252" w:rsidRPr="008C5B28">
      <w:pPr>
        <w:tabs>
          <w:tab w:pos="1981" w:val="left"/>
          <w:tab w:pos="1982" w:val="left"/>
          <w:tab w:pos="3432" w:val="left"/>
          <w:tab w:pos="4565" w:val="left"/>
          <w:tab w:pos="5071" w:val="left"/>
          <w:tab w:pos="6191" w:val="left"/>
          <w:tab w:pos="7190" w:val="left"/>
          <w:tab w:pos="7468" w:val="left"/>
          <w:tab w:pos="8441" w:val="left"/>
        </w:tabs>
        <w:spacing w:after="5"/>
        <w:ind w:left="1100"/>
        <w:rPr>
          <w:b/>
          <w:sz w:val="24"/>
        </w:rPr>
      </w:pPr>
      <w:r>
        <w:rPr>
          <w:b/>
          <w:sz w:val="24"/>
        </w:rPr>
        <w:t xml:space="preserve">2.3.4.1. </w:t>
      </w:r>
      <w:r w:rsidR="0065237C" w:rsidRPr="008C5B28">
        <w:rPr>
          <w:b/>
          <w:sz w:val="24"/>
        </w:rPr>
        <w:t>Financijski</w:t>
      </w:r>
      <w:r>
        <w:rPr>
          <w:b/>
          <w:sz w:val="24"/>
        </w:rPr>
        <w:t xml:space="preserve"> </w:t>
      </w:r>
      <w:r w:rsidR="00AB1309">
        <w:rPr>
          <w:b/>
          <w:sz w:val="24"/>
        </w:rPr>
        <w:t xml:space="preserve">rezultati </w:t>
      </w:r>
      <w:r w:rsidR="0065237C" w:rsidRPr="008C5B28">
        <w:rPr>
          <w:b/>
          <w:sz w:val="24"/>
        </w:rPr>
        <w:t>od</w:t>
      </w:r>
      <w:r w:rsidR="00AB1309">
        <w:rPr>
          <w:b/>
          <w:sz w:val="24"/>
        </w:rPr>
        <w:t xml:space="preserve"> </w:t>
      </w:r>
      <w:r w:rsidR="0065237C" w:rsidRPr="008C5B28">
        <w:rPr>
          <w:b/>
          <w:sz w:val="24"/>
        </w:rPr>
        <w:t>početka</w:t>
      </w:r>
      <w:r w:rsidR="00AB1309">
        <w:rPr>
          <w:b/>
          <w:sz w:val="24"/>
        </w:rPr>
        <w:t xml:space="preserve"> </w:t>
      </w:r>
      <w:r w:rsidR="0065237C" w:rsidRPr="008C5B28">
        <w:rPr>
          <w:b/>
          <w:sz w:val="24"/>
        </w:rPr>
        <w:t>godine</w:t>
      </w:r>
      <w:r w:rsidR="00AB1309">
        <w:rPr>
          <w:b/>
          <w:sz w:val="24"/>
        </w:rPr>
        <w:t xml:space="preserve"> </w:t>
      </w:r>
      <w:r w:rsidR="0065237C" w:rsidRPr="008C5B28">
        <w:rPr>
          <w:b/>
          <w:sz w:val="24"/>
        </w:rPr>
        <w:t>i</w:t>
      </w:r>
      <w:r w:rsidR="00AB1309">
        <w:rPr>
          <w:b/>
          <w:sz w:val="24"/>
        </w:rPr>
        <w:t xml:space="preserve"> </w:t>
      </w:r>
      <w:r w:rsidR="0065237C" w:rsidRPr="008C5B28">
        <w:rPr>
          <w:b/>
          <w:sz w:val="24"/>
        </w:rPr>
        <w:t>ključni</w:t>
      </w:r>
      <w:r w:rsidR="00AB1309">
        <w:rPr>
          <w:b/>
          <w:sz w:val="24"/>
        </w:rPr>
        <w:t xml:space="preserve"> </w:t>
      </w:r>
      <w:r w:rsidR="0065237C" w:rsidRPr="008C5B28">
        <w:rPr>
          <w:b/>
          <w:sz w:val="24"/>
        </w:rPr>
        <w:t>financijski pokazatelji</w:t>
      </w:r>
      <w:r w:rsidR="0065237C" w:rsidRPr="008C5B28">
        <w:rPr>
          <w:b/>
          <w:spacing w:val="-1"/>
          <w:sz w:val="24"/>
        </w:rPr>
        <w:t xml:space="preserve"> </w:t>
      </w:r>
      <w:r w:rsidR="0065237C" w:rsidRPr="008C5B28">
        <w:rPr>
          <w:b/>
          <w:sz w:val="24"/>
        </w:rPr>
        <w:t>učinka</w:t>
      </w:r>
    </w:p>
    <w:p w:rsidRDefault="00013B40" w:rsidP="001312FE" w:rsidR="00013B40">
      <w:pPr>
        <w:pStyle w:val="Odlomakpopisa"/>
        <w:tabs>
          <w:tab w:pos="1981" w:val="left"/>
          <w:tab w:pos="1982" w:val="left"/>
          <w:tab w:pos="3432" w:val="left"/>
          <w:tab w:pos="4565" w:val="left"/>
          <w:tab w:pos="5071" w:val="left"/>
          <w:tab w:pos="6191" w:val="left"/>
          <w:tab w:pos="7190" w:val="left"/>
          <w:tab w:pos="7468" w:val="left"/>
          <w:tab w:pos="8441" w:val="left"/>
        </w:tabs>
        <w:spacing w:after="5"/>
        <w:ind w:firstLine="0" w:left="96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07"/>
        <w:gridCol w:w="2268"/>
        <w:gridCol w:w="2323"/>
      </w:tblGrid>
      <w:tr w:rsidTr="003C02CF" w:rsidR="00EC748D">
        <w:trPr>
          <w:trHeight w:val="445"/>
          <w:jc w:val="center"/>
        </w:trPr>
        <w:tc>
          <w:tcPr>
            <w:tcW w:type="dxa" w:w="3207"/>
            <w:shd w:fill="C00000" w:color="auto" w:val="clear"/>
          </w:tcPr>
          <w:p w:rsidRDefault="00EC748D" w:rsidP="001312FE" w:rsidR="00EC748D">
            <w:pPr>
              <w:pStyle w:val="TableParagraph"/>
              <w:spacing w:before="79"/>
              <w:ind w:left="105"/>
              <w:rPr>
                <w:b/>
                <w:sz w:val="24"/>
              </w:rPr>
            </w:pPr>
            <w:r>
              <w:rPr>
                <w:b/>
                <w:color w:val="FFFFFF"/>
                <w:sz w:val="24"/>
              </w:rPr>
              <w:t>Financijski rezultati*</w:t>
            </w:r>
          </w:p>
        </w:tc>
        <w:tc>
          <w:tcPr>
            <w:tcW w:type="dxa" w:w="2268"/>
            <w:shd w:fill="C00000" w:color="auto" w:val="clear"/>
          </w:tcPr>
          <w:p w:rsidRDefault="008F59BA" w:rsidP="001312FE" w:rsidR="00013B40">
            <w:pPr>
              <w:pStyle w:val="TableParagraph"/>
              <w:spacing w:before="79"/>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B1516">
              <w:rPr>
                <w:b/>
                <w:color w:val="FFFFFF"/>
                <w:sz w:val="24"/>
              </w:rPr>
              <w:t>I</w:t>
            </w:r>
            <w:r w:rsidR="00EC748D">
              <w:rPr>
                <w:b/>
                <w:color w:val="FFFFFF"/>
                <w:sz w:val="24"/>
              </w:rPr>
              <w:t xml:space="preserve">. 2018.     </w:t>
            </w:r>
          </w:p>
          <w:p w:rsidRDefault="00EC748D" w:rsidP="001312FE" w:rsidR="00EC748D">
            <w:pPr>
              <w:pStyle w:val="TableParagraph"/>
              <w:spacing w:before="79"/>
              <w:ind w:left="362"/>
              <w:jc w:val="center"/>
              <w:rPr>
                <w:b/>
                <w:sz w:val="24"/>
              </w:rPr>
            </w:pPr>
            <w:r>
              <w:rPr>
                <w:b/>
                <w:color w:val="FFFFFF"/>
                <w:sz w:val="24"/>
              </w:rPr>
              <w:t>(mil. HRK)</w:t>
            </w:r>
          </w:p>
        </w:tc>
        <w:tc>
          <w:tcPr>
            <w:tcW w:type="dxa" w:w="2323"/>
            <w:shd w:fill="C00000" w:color="auto" w:val="clear"/>
          </w:tcPr>
          <w:p w:rsidRDefault="00EC748D" w:rsidP="001312FE" w:rsidR="00013B40">
            <w:pPr>
              <w:pStyle w:val="TableParagraph"/>
              <w:spacing w:before="79"/>
              <w:ind w:left="362"/>
              <w:jc w:val="center"/>
              <w:rPr>
                <w:b/>
                <w:color w:val="FFFFFF"/>
                <w:sz w:val="24"/>
              </w:rPr>
            </w:pPr>
            <w:r>
              <w:rPr>
                <w:b/>
                <w:color w:val="FFFFFF"/>
                <w:sz w:val="24"/>
              </w:rPr>
              <w:t xml:space="preserve">Plan </w:t>
            </w:r>
            <w:r w:rsidRPr="00EC748D">
              <w:rPr>
                <w:b/>
                <w:color w:val="FFFFFF"/>
                <w:sz w:val="24"/>
              </w:rPr>
              <w:t>2018.</w:t>
            </w:r>
          </w:p>
          <w:p w:rsidRDefault="00EC748D" w:rsidP="001312FE" w:rsidR="00EC748D">
            <w:pPr>
              <w:pStyle w:val="TableParagraph"/>
              <w:spacing w:before="79"/>
              <w:ind w:left="362"/>
              <w:jc w:val="center"/>
              <w:rPr>
                <w:b/>
                <w:color w:val="FFFFFF"/>
                <w:sz w:val="24"/>
              </w:rPr>
            </w:pPr>
            <w:r w:rsidRPr="00EC748D">
              <w:rPr>
                <w:b/>
                <w:color w:val="FFFFFF"/>
                <w:sz w:val="24"/>
              </w:rPr>
              <w:t>(mil. HRK)</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Prihod</w:t>
            </w:r>
          </w:p>
        </w:tc>
        <w:tc>
          <w:tcPr>
            <w:tcW w:type="dxa" w:w="2268"/>
          </w:tcPr>
          <w:p w:rsidRDefault="004D5FF8" w:rsidP="001312FE" w:rsidR="00EC748D">
            <w:pPr>
              <w:pStyle w:val="TableParagraph"/>
              <w:spacing w:lineRule="exact" w:line="256"/>
              <w:ind w:left="362"/>
              <w:jc w:val="center"/>
              <w:rPr>
                <w:sz w:val="24"/>
              </w:rPr>
            </w:pPr>
            <w:r>
              <w:rPr>
                <w:sz w:val="24"/>
              </w:rPr>
              <w:t>722</w:t>
            </w:r>
          </w:p>
        </w:tc>
        <w:tc>
          <w:tcPr>
            <w:tcW w:type="dxa" w:w="2323"/>
          </w:tcPr>
          <w:p w:rsidRDefault="004D5FF8" w:rsidP="001312FE" w:rsidR="00EC748D">
            <w:pPr>
              <w:pStyle w:val="TableParagraph"/>
              <w:spacing w:lineRule="exact" w:line="256"/>
              <w:ind w:left="362"/>
              <w:jc w:val="center"/>
              <w:rPr>
                <w:sz w:val="24"/>
              </w:rPr>
            </w:pPr>
            <w:r>
              <w:rPr>
                <w:sz w:val="24"/>
              </w:rPr>
              <w:t>709</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w:t>
            </w:r>
          </w:p>
        </w:tc>
        <w:tc>
          <w:tcPr>
            <w:tcW w:type="dxa" w:w="2268"/>
          </w:tcPr>
          <w:p w:rsidRDefault="004D5FF8" w:rsidP="001312FE" w:rsidR="00EC748D">
            <w:pPr>
              <w:pStyle w:val="TableParagraph"/>
              <w:spacing w:lineRule="exact" w:line="256"/>
              <w:ind w:left="362"/>
              <w:jc w:val="center"/>
              <w:rPr>
                <w:sz w:val="24"/>
              </w:rPr>
            </w:pPr>
            <w:r>
              <w:rPr>
                <w:sz w:val="24"/>
              </w:rPr>
              <w:t>165,9</w:t>
            </w:r>
          </w:p>
        </w:tc>
        <w:tc>
          <w:tcPr>
            <w:tcW w:type="dxa" w:w="2323"/>
          </w:tcPr>
          <w:p w:rsidRDefault="004D5FF8" w:rsidP="001312FE" w:rsidR="00EC748D">
            <w:pPr>
              <w:pStyle w:val="TableParagraph"/>
              <w:spacing w:lineRule="exact" w:line="256"/>
              <w:ind w:left="362"/>
              <w:jc w:val="center"/>
              <w:rPr>
                <w:sz w:val="24"/>
              </w:rPr>
            </w:pPr>
            <w:r>
              <w:rPr>
                <w:sz w:val="24"/>
              </w:rPr>
              <w:t>162,9</w:t>
            </w:r>
          </w:p>
        </w:tc>
      </w:tr>
      <w:tr w:rsidTr="003C02CF" w:rsidR="00EC748D">
        <w:trPr>
          <w:trHeight w:val="275"/>
          <w:jc w:val="center"/>
        </w:trPr>
        <w:tc>
          <w:tcPr>
            <w:tcW w:type="dxa" w:w="3207"/>
          </w:tcPr>
          <w:p w:rsidRDefault="00EC748D" w:rsidP="001312FE" w:rsidR="00EC748D">
            <w:pPr>
              <w:pStyle w:val="TableParagraph"/>
              <w:spacing w:lineRule="exact" w:line="256"/>
              <w:ind w:left="105"/>
              <w:rPr>
                <w:sz w:val="24"/>
              </w:rPr>
            </w:pPr>
            <w:r>
              <w:rPr>
                <w:sz w:val="24"/>
              </w:rPr>
              <w:t>EBITDA %</w:t>
            </w:r>
          </w:p>
        </w:tc>
        <w:tc>
          <w:tcPr>
            <w:tcW w:type="dxa" w:w="2268"/>
          </w:tcPr>
          <w:p w:rsidRDefault="004D5FF8" w:rsidP="001312FE" w:rsidR="00EC748D">
            <w:pPr>
              <w:pStyle w:val="TableParagraph"/>
              <w:spacing w:lineRule="exact" w:line="256"/>
              <w:ind w:left="362"/>
              <w:jc w:val="center"/>
              <w:rPr>
                <w:sz w:val="24"/>
              </w:rPr>
            </w:pPr>
            <w:r>
              <w:rPr>
                <w:sz w:val="24"/>
              </w:rPr>
              <w:t>23,0%</w:t>
            </w:r>
          </w:p>
        </w:tc>
        <w:tc>
          <w:tcPr>
            <w:tcW w:type="dxa" w:w="2323"/>
          </w:tcPr>
          <w:p w:rsidRDefault="004D5FF8" w:rsidP="001312FE" w:rsidR="00EC748D">
            <w:pPr>
              <w:pStyle w:val="TableParagraph"/>
              <w:spacing w:lineRule="exact" w:line="256"/>
              <w:ind w:left="362"/>
              <w:jc w:val="center"/>
              <w:rPr>
                <w:sz w:val="24"/>
              </w:rPr>
            </w:pPr>
            <w:r>
              <w:rPr>
                <w:sz w:val="24"/>
              </w:rPr>
              <w:t>23,0%</w:t>
            </w:r>
          </w:p>
        </w:tc>
      </w:tr>
    </w:tbl>
    <w:p w:rsidRDefault="0065237C" w:rsidP="00062C1C" w:rsidR="008A6252">
      <w:pPr>
        <w:ind w:left="990"/>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990"/>
        <w:rPr>
          <w:b/>
          <w:sz w:val="24"/>
        </w:rPr>
      </w:pPr>
      <w:r>
        <w:rPr>
          <w:b/>
          <w:sz w:val="24"/>
        </w:rPr>
        <w:t xml:space="preserve">2.3.4.2.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FF6A98" w:rsidP="001312FE" w:rsidR="00FF6A98">
      <w:pPr>
        <w:pStyle w:val="Odlomakpopisa"/>
        <w:ind w:firstLine="0" w:left="964"/>
        <w:rPr>
          <w:sz w:val="24"/>
          <w:szCs w:val="24"/>
        </w:rPr>
      </w:pPr>
    </w:p>
    <w:p w:rsidRDefault="008D7594" w:rsidP="009B28A5" w:rsidR="008D7594">
      <w:pPr>
        <w:pStyle w:val="Odlomakpopisa"/>
        <w:numPr>
          <w:ilvl w:val="0"/>
          <w:numId w:val="48"/>
        </w:numPr>
        <w:tabs>
          <w:tab w:pos="1560" w:val="left"/>
        </w:tabs>
        <w:ind w:hanging="708" w:left="2268"/>
        <w:jc w:val="both"/>
        <w:rPr>
          <w:sz w:val="24"/>
          <w:szCs w:val="24"/>
        </w:rPr>
      </w:pPr>
      <w:r>
        <w:rPr>
          <w:sz w:val="24"/>
          <w:szCs w:val="24"/>
        </w:rPr>
        <w:t>Nepovoljni vremenski uvjeti rezultirali su smanjenjem prodaje sladoleda, pa su ostvareni mjesečni prihodi od prodaje niži od plana. Kategorija smrznute hrane ostvarila je pozitivan rezultat.</w:t>
      </w:r>
      <w:r w:rsidR="00F431B2">
        <w:rPr>
          <w:sz w:val="24"/>
          <w:szCs w:val="24"/>
        </w:rPr>
        <w:t xml:space="preserve"> Na razini godine, ostvareni prihodi od prodaje su iznad plana.</w:t>
      </w:r>
    </w:p>
    <w:p w:rsidRDefault="00036492" w:rsidP="009B28A5" w:rsidR="00036492">
      <w:pPr>
        <w:pStyle w:val="Odlomakpopisa"/>
        <w:tabs>
          <w:tab w:pos="1560" w:val="left"/>
        </w:tabs>
        <w:ind w:firstLine="0" w:left="1560"/>
        <w:jc w:val="both"/>
        <w:rPr>
          <w:sz w:val="24"/>
          <w:szCs w:val="24"/>
        </w:rPr>
      </w:pPr>
    </w:p>
    <w:p w:rsidRDefault="00045ECF" w:rsidP="009B28A5" w:rsidR="00045ECF">
      <w:pPr>
        <w:pStyle w:val="Odlomakpopisa"/>
        <w:numPr>
          <w:ilvl w:val="0"/>
          <w:numId w:val="48"/>
        </w:numPr>
        <w:tabs>
          <w:tab w:pos="1560" w:val="left"/>
        </w:tabs>
        <w:ind w:hanging="708" w:left="2268"/>
        <w:jc w:val="both"/>
        <w:rPr>
          <w:sz w:val="24"/>
          <w:szCs w:val="24"/>
        </w:rPr>
      </w:pPr>
      <w:r>
        <w:rPr>
          <w:sz w:val="24"/>
          <w:szCs w:val="24"/>
        </w:rPr>
        <w:t xml:space="preserve">Usprkos smanjenoj prodaji, poboljšanom efikasnošću operativnih troškova ostvarena </w:t>
      </w:r>
      <w:r w:rsidRPr="003E3507">
        <w:rPr>
          <w:sz w:val="24"/>
          <w:szCs w:val="24"/>
        </w:rPr>
        <w:t xml:space="preserve">EBITDA marža </w:t>
      </w:r>
      <w:r>
        <w:rPr>
          <w:sz w:val="24"/>
          <w:szCs w:val="24"/>
        </w:rPr>
        <w:t xml:space="preserve">u srpnju je </w:t>
      </w:r>
      <w:r w:rsidRPr="003E3507">
        <w:rPr>
          <w:sz w:val="24"/>
          <w:szCs w:val="24"/>
        </w:rPr>
        <w:t>v</w:t>
      </w:r>
      <w:r>
        <w:rPr>
          <w:sz w:val="24"/>
          <w:szCs w:val="24"/>
        </w:rPr>
        <w:t>iša</w:t>
      </w:r>
      <w:r w:rsidRPr="003E3507">
        <w:rPr>
          <w:sz w:val="24"/>
          <w:szCs w:val="24"/>
        </w:rPr>
        <w:t xml:space="preserve"> od planirane</w:t>
      </w:r>
      <w:r>
        <w:rPr>
          <w:sz w:val="24"/>
          <w:szCs w:val="24"/>
        </w:rPr>
        <w:t>.</w:t>
      </w:r>
    </w:p>
    <w:p w:rsidRDefault="00036492" w:rsidP="009B28A5" w:rsidR="00036492" w:rsidRPr="00036492">
      <w:pPr>
        <w:pStyle w:val="Odlomakpopisa"/>
        <w:tabs>
          <w:tab w:pos="1560" w:val="left"/>
        </w:tabs>
        <w:ind w:firstLine="0" w:left="1560"/>
        <w:jc w:val="both"/>
        <w:rPr>
          <w:sz w:val="24"/>
          <w:szCs w:val="24"/>
        </w:rPr>
      </w:pPr>
    </w:p>
    <w:p w:rsidRDefault="00045ECF" w:rsidP="009B28A5" w:rsidR="00036492">
      <w:pPr>
        <w:pStyle w:val="Odlomakpopisa"/>
        <w:numPr>
          <w:ilvl w:val="0"/>
          <w:numId w:val="48"/>
        </w:numPr>
        <w:tabs>
          <w:tab w:pos="1560" w:val="left"/>
        </w:tabs>
        <w:ind w:hanging="708" w:left="2268"/>
        <w:jc w:val="both"/>
        <w:rPr>
          <w:sz w:val="24"/>
          <w:szCs w:val="24"/>
        </w:rPr>
      </w:pPr>
      <w:r w:rsidRPr="00036492">
        <w:rPr>
          <w:sz w:val="24"/>
          <w:szCs w:val="24"/>
        </w:rPr>
        <w:t>Ostvarena mjesečna EBITDA je u skladu s planom, a na razini godine je viša od plana.</w:t>
      </w:r>
    </w:p>
    <w:p w:rsidRDefault="00036492" w:rsidP="009B28A5" w:rsidR="00036492" w:rsidRPr="00036492">
      <w:pPr>
        <w:pStyle w:val="Odlomakpopisa"/>
        <w:tabs>
          <w:tab w:pos="1560" w:val="left"/>
        </w:tabs>
        <w:ind w:firstLine="0" w:left="1560"/>
        <w:jc w:val="both"/>
        <w:rPr>
          <w:sz w:val="24"/>
          <w:szCs w:val="24"/>
        </w:rPr>
      </w:pPr>
    </w:p>
    <w:p w:rsidRDefault="003E3507" w:rsidP="009B28A5" w:rsidR="008A6252" w:rsidRPr="00036492">
      <w:pPr>
        <w:pStyle w:val="Odlomakpopisa"/>
        <w:numPr>
          <w:ilvl w:val="0"/>
          <w:numId w:val="48"/>
        </w:numPr>
        <w:tabs>
          <w:tab w:pos="1560" w:val="left"/>
        </w:tabs>
        <w:ind w:hanging="708" w:left="2268"/>
        <w:rPr>
          <w:sz w:val="24"/>
          <w:szCs w:val="24"/>
        </w:rPr>
        <w:sectPr w:rsidSect="001312FE" w:rsidR="008A6252" w:rsidRPr="00036492">
          <w:pgSz w:code="9" w:h="16840" w:w="11910"/>
          <w:pgMar w:gutter="0" w:footer="1316" w:header="709" w:left="1160" w:bottom="1560" w:right="860" w:top="1680"/>
          <w:cols w:space="720"/>
        </w:sectPr>
      </w:pPr>
      <w:r w:rsidRPr="00036492">
        <w:rPr>
          <w:sz w:val="24"/>
          <w:szCs w:val="24"/>
        </w:rPr>
        <w:t>Tijekom srpnja je bila aktualna marketinška komunikacija na sladoledu, za</w:t>
      </w:r>
      <w:r w:rsidR="009B28A5">
        <w:rPr>
          <w:sz w:val="24"/>
          <w:szCs w:val="24"/>
        </w:rPr>
        <w:t xml:space="preserve"> Ledove </w:t>
      </w:r>
      <w:r w:rsidRPr="00036492">
        <w:rPr>
          <w:sz w:val="24"/>
          <w:szCs w:val="24"/>
        </w:rPr>
        <w:t>ključne brandove King, Quattro i Maximo</w:t>
      </w:r>
      <w:r w:rsidR="009B28A5">
        <w:rPr>
          <w:sz w:val="24"/>
          <w:szCs w:val="24"/>
        </w:rPr>
        <w:t xml:space="preserve">.    </w:t>
      </w:r>
    </w:p>
    <w:p w:rsidRDefault="008A6252" w:rsidP="001312FE" w:rsidR="008A6252">
      <w:pPr>
        <w:pStyle w:val="Tijeloteksta"/>
        <w:spacing w:before="9"/>
        <w:rPr>
          <w:sz w:val="22"/>
        </w:rPr>
      </w:pPr>
    </w:p>
    <w:p w:rsidRDefault="0012253B" w:rsidP="00695140" w:rsidR="008A6252" w:rsidRPr="0012253B">
      <w:pPr>
        <w:tabs>
          <w:tab w:pos="950" w:val="left"/>
        </w:tabs>
        <w:spacing w:before="92"/>
        <w:ind w:left="550"/>
        <w:outlineLvl w:val="1"/>
        <w:rPr>
          <w:b/>
          <w:sz w:val="24"/>
        </w:rPr>
      </w:pPr>
      <w:bookmarkStart w:name="_Toc509931085" w:id="26"/>
      <w:bookmarkStart w:name="_Toc523299358" w:id="27"/>
      <w:r>
        <w:rPr>
          <w:b/>
          <w:spacing w:val="3"/>
          <w:sz w:val="24"/>
        </w:rPr>
        <w:t xml:space="preserve">2.3.5.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Ledo Čitluk</w:t>
      </w:r>
      <w:r w:rsidR="0065237C" w:rsidRPr="0012253B">
        <w:rPr>
          <w:b/>
          <w:spacing w:val="69"/>
          <w:sz w:val="24"/>
        </w:rPr>
        <w:t xml:space="preserve"> </w:t>
      </w:r>
      <w:r w:rsidR="0065237C" w:rsidRPr="0012253B">
        <w:rPr>
          <w:b/>
          <w:spacing w:val="3"/>
          <w:sz w:val="24"/>
        </w:rPr>
        <w:t>d.o.o.</w:t>
      </w:r>
      <w:bookmarkEnd w:id="26"/>
      <w:bookmarkEnd w:id="27"/>
    </w:p>
    <w:p w:rsidRDefault="008A6252" w:rsidP="001312FE" w:rsidR="008A6252">
      <w:pPr>
        <w:pStyle w:val="Tijeloteksta"/>
        <w:spacing w:before="10"/>
        <w:rPr>
          <w:b/>
          <w:sz w:val="30"/>
        </w:rPr>
      </w:pPr>
    </w:p>
    <w:p w:rsidRDefault="0012253B" w:rsidP="00695140" w:rsidR="008A6252" w:rsidRPr="0012253B">
      <w:pPr>
        <w:tabs>
          <w:tab w:pos="1966" w:val="left"/>
        </w:tabs>
        <w:ind w:left="1100"/>
        <w:rPr>
          <w:b/>
          <w:sz w:val="24"/>
        </w:rPr>
      </w:pPr>
      <w:r>
        <w:rPr>
          <w:b/>
          <w:sz w:val="24"/>
        </w:rPr>
        <w:t xml:space="preserve">2.3.5.1.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before="2"/>
        <w:rPr>
          <w:b/>
          <w:sz w:val="22"/>
        </w:rPr>
      </w:pPr>
    </w:p>
    <w:tbl>
      <w:tblPr>
        <w:tblW w:type="auto" w:w="0"/>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059"/>
      </w:tblGrid>
      <w:tr w:rsidTr="003C02CF" w:rsidR="00CD28A2">
        <w:trPr>
          <w:trHeight w:val="445"/>
        </w:trPr>
        <w:tc>
          <w:tcPr>
            <w:tcW w:type="dxa" w:w="3153"/>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013B40">
            <w:pPr>
              <w:pStyle w:val="TableParagraph"/>
              <w:spacing w:before="82"/>
              <w:ind w:left="408"/>
              <w:rPr>
                <w:b/>
                <w:color w:val="FFFFFF"/>
                <w:sz w:val="24"/>
              </w:rPr>
            </w:pPr>
            <w:r>
              <w:rPr>
                <w:b/>
                <w:color w:val="FFFFFF"/>
                <w:sz w:val="24"/>
              </w:rPr>
              <w:t xml:space="preserve">I.- </w:t>
            </w:r>
            <w:r w:rsidR="00CD1B87">
              <w:rPr>
                <w:b/>
                <w:color w:val="FFFFFF"/>
                <w:sz w:val="24"/>
              </w:rPr>
              <w:t>V</w:t>
            </w:r>
            <w:r w:rsidR="006B61B2">
              <w:rPr>
                <w:b/>
                <w:color w:val="FFFFFF"/>
                <w:sz w:val="24"/>
              </w:rPr>
              <w:t>I</w:t>
            </w:r>
            <w:r w:rsidR="006B1516">
              <w:rPr>
                <w:b/>
                <w:color w:val="FFFFFF"/>
                <w:sz w:val="24"/>
              </w:rPr>
              <w:t>I</w:t>
            </w:r>
            <w:r w:rsidR="00CD28A2">
              <w:rPr>
                <w:b/>
                <w:color w:val="FFFFFF"/>
                <w:sz w:val="24"/>
              </w:rPr>
              <w:t>. 2018.</w:t>
            </w:r>
          </w:p>
          <w:p w:rsidRDefault="00CD28A2" w:rsidP="001312FE" w:rsidR="00CD28A2">
            <w:pPr>
              <w:pStyle w:val="TableParagraph"/>
              <w:spacing w:before="82"/>
              <w:ind w:left="408"/>
              <w:rPr>
                <w:b/>
                <w:sz w:val="24"/>
              </w:rPr>
            </w:pPr>
            <w:r>
              <w:rPr>
                <w:b/>
                <w:color w:val="FFFFFF"/>
                <w:sz w:val="24"/>
              </w:rPr>
              <w:t>(mil. HRK)</w:t>
            </w:r>
          </w:p>
        </w:tc>
        <w:tc>
          <w:tcPr>
            <w:tcW w:type="dxa" w:w="2059"/>
            <w:shd w:fill="C00000" w:color="auto" w:val="clear"/>
          </w:tcPr>
          <w:p w:rsidRDefault="00CD28A2" w:rsidP="001312FE" w:rsidR="00013B40">
            <w:pPr>
              <w:pStyle w:val="TableParagraph"/>
              <w:spacing w:before="82"/>
              <w:ind w:left="408"/>
              <w:jc w:val="center"/>
              <w:rPr>
                <w:b/>
                <w:color w:val="FFFFFF"/>
                <w:sz w:val="24"/>
              </w:rPr>
            </w:pPr>
            <w:r>
              <w:rPr>
                <w:b/>
                <w:color w:val="FFFFFF"/>
                <w:sz w:val="24"/>
              </w:rPr>
              <w:t>Plan 2018</w:t>
            </w:r>
            <w:r w:rsidR="00013B40">
              <w:rPr>
                <w:b/>
                <w:color w:val="FFFFFF"/>
                <w:sz w:val="24"/>
              </w:rPr>
              <w:t>.</w:t>
            </w:r>
          </w:p>
          <w:p w:rsidRDefault="00CD28A2" w:rsidP="001312FE" w:rsidR="00CD28A2">
            <w:pPr>
              <w:pStyle w:val="TableParagraph"/>
              <w:spacing w:before="82"/>
              <w:ind w:left="408"/>
              <w:jc w:val="center"/>
              <w:rPr>
                <w:b/>
                <w:color w:val="FFFFFF"/>
                <w:sz w:val="24"/>
              </w:rPr>
            </w:pPr>
            <w:r>
              <w:rPr>
                <w:b/>
                <w:color w:val="FFFFFF"/>
                <w:sz w:val="24"/>
              </w:rPr>
              <w:t>(mil.</w:t>
            </w:r>
            <w:r w:rsidR="006C1F86">
              <w:rPr>
                <w:b/>
                <w:color w:val="FFFFFF"/>
                <w:sz w:val="24"/>
              </w:rPr>
              <w:t xml:space="preserve"> </w:t>
            </w:r>
            <w:r>
              <w:rPr>
                <w:b/>
                <w:color w:val="FFFFFF"/>
                <w:sz w:val="24"/>
              </w:rPr>
              <w:t>HRK)</w:t>
            </w:r>
          </w:p>
        </w:tc>
      </w:tr>
      <w:tr w:rsidTr="003C02CF" w:rsidR="00CD28A2">
        <w:trPr>
          <w:trHeight w:val="275"/>
        </w:trPr>
        <w:tc>
          <w:tcPr>
            <w:tcW w:type="dxa" w:w="3153"/>
          </w:tcPr>
          <w:p w:rsidRDefault="00CD28A2" w:rsidP="001312FE" w:rsidR="00CD28A2">
            <w:pPr>
              <w:pStyle w:val="TableParagraph"/>
              <w:spacing w:lineRule="exact" w:line="256"/>
              <w:ind w:left="105"/>
              <w:rPr>
                <w:sz w:val="24"/>
              </w:rPr>
            </w:pPr>
            <w:r>
              <w:rPr>
                <w:sz w:val="24"/>
              </w:rPr>
              <w:t>Prihod</w:t>
            </w:r>
          </w:p>
        </w:tc>
        <w:tc>
          <w:tcPr>
            <w:tcW w:type="dxa" w:w="2268"/>
          </w:tcPr>
          <w:p w:rsidRDefault="004D5FF8" w:rsidP="001312FE" w:rsidR="00CD28A2">
            <w:pPr>
              <w:pStyle w:val="TableParagraph"/>
              <w:spacing w:lineRule="exact" w:line="256"/>
              <w:ind w:left="362"/>
              <w:jc w:val="center"/>
              <w:rPr>
                <w:sz w:val="24"/>
              </w:rPr>
            </w:pPr>
            <w:r>
              <w:rPr>
                <w:sz w:val="24"/>
              </w:rPr>
              <w:t>207</w:t>
            </w:r>
          </w:p>
        </w:tc>
        <w:tc>
          <w:tcPr>
            <w:tcW w:type="dxa" w:w="2059"/>
          </w:tcPr>
          <w:p w:rsidRDefault="003A0D53" w:rsidP="001312FE" w:rsidR="00CD28A2">
            <w:pPr>
              <w:pStyle w:val="TableParagraph"/>
              <w:spacing w:lineRule="exact" w:line="256"/>
              <w:ind w:left="362"/>
              <w:jc w:val="center"/>
              <w:rPr>
                <w:sz w:val="24"/>
              </w:rPr>
            </w:pPr>
            <w:r>
              <w:rPr>
                <w:sz w:val="24"/>
              </w:rPr>
              <w:t>202</w:t>
            </w:r>
          </w:p>
        </w:tc>
      </w:tr>
      <w:tr w:rsidTr="003C02CF" w:rsidR="00CD28A2">
        <w:trPr>
          <w:trHeight w:val="277"/>
        </w:trPr>
        <w:tc>
          <w:tcPr>
            <w:tcW w:type="dxa" w:w="3153"/>
          </w:tcPr>
          <w:p w:rsidRDefault="00CD28A2" w:rsidP="001312FE" w:rsidR="00CD28A2">
            <w:pPr>
              <w:pStyle w:val="TableParagraph"/>
              <w:spacing w:lineRule="exact" w:line="258"/>
              <w:ind w:left="105"/>
              <w:rPr>
                <w:sz w:val="24"/>
              </w:rPr>
            </w:pPr>
            <w:r>
              <w:rPr>
                <w:sz w:val="24"/>
              </w:rPr>
              <w:t>EBITDA</w:t>
            </w:r>
          </w:p>
        </w:tc>
        <w:tc>
          <w:tcPr>
            <w:tcW w:type="dxa" w:w="2268"/>
          </w:tcPr>
          <w:p w:rsidRDefault="003A0D53" w:rsidP="001312FE" w:rsidR="00CD28A2">
            <w:pPr>
              <w:pStyle w:val="TableParagraph"/>
              <w:spacing w:lineRule="exact" w:line="258"/>
              <w:ind w:left="362"/>
              <w:jc w:val="center"/>
              <w:rPr>
                <w:sz w:val="24"/>
              </w:rPr>
            </w:pPr>
            <w:r>
              <w:rPr>
                <w:sz w:val="24"/>
              </w:rPr>
              <w:t>50,8</w:t>
            </w:r>
          </w:p>
        </w:tc>
        <w:tc>
          <w:tcPr>
            <w:tcW w:type="dxa" w:w="2059"/>
          </w:tcPr>
          <w:p w:rsidRDefault="003A0D53" w:rsidP="001312FE" w:rsidR="00CD28A2">
            <w:pPr>
              <w:pStyle w:val="TableParagraph"/>
              <w:spacing w:lineRule="exact" w:line="258"/>
              <w:ind w:left="362"/>
              <w:jc w:val="center"/>
              <w:rPr>
                <w:sz w:val="24"/>
              </w:rPr>
            </w:pPr>
            <w:r>
              <w:rPr>
                <w:sz w:val="24"/>
              </w:rPr>
              <w:t>50,2</w:t>
            </w:r>
          </w:p>
        </w:tc>
      </w:tr>
      <w:tr w:rsidTr="003C02CF" w:rsidR="00CD28A2">
        <w:trPr>
          <w:trHeight w:val="276"/>
        </w:trPr>
        <w:tc>
          <w:tcPr>
            <w:tcW w:type="dxa" w:w="3153"/>
          </w:tcPr>
          <w:p w:rsidRDefault="00CD28A2" w:rsidP="001312FE" w:rsidR="00CD28A2">
            <w:pPr>
              <w:pStyle w:val="TableParagraph"/>
              <w:spacing w:lineRule="exact" w:line="256"/>
              <w:ind w:left="105"/>
              <w:rPr>
                <w:sz w:val="24"/>
              </w:rPr>
            </w:pPr>
            <w:r>
              <w:rPr>
                <w:sz w:val="24"/>
              </w:rPr>
              <w:t>EBITDA %</w:t>
            </w:r>
          </w:p>
        </w:tc>
        <w:tc>
          <w:tcPr>
            <w:tcW w:type="dxa" w:w="2268"/>
          </w:tcPr>
          <w:p w:rsidRDefault="003A0D53" w:rsidP="001312FE" w:rsidR="00CD28A2">
            <w:pPr>
              <w:pStyle w:val="TableParagraph"/>
              <w:spacing w:lineRule="exact" w:line="256"/>
              <w:ind w:left="362"/>
              <w:jc w:val="center"/>
              <w:rPr>
                <w:sz w:val="24"/>
              </w:rPr>
            </w:pPr>
            <w:r>
              <w:rPr>
                <w:sz w:val="24"/>
              </w:rPr>
              <w:t>24,5%</w:t>
            </w:r>
          </w:p>
        </w:tc>
        <w:tc>
          <w:tcPr>
            <w:tcW w:type="dxa" w:w="2059"/>
          </w:tcPr>
          <w:p w:rsidRDefault="003A0D53" w:rsidP="001312FE" w:rsidR="00CD28A2">
            <w:pPr>
              <w:pStyle w:val="TableParagraph"/>
              <w:spacing w:lineRule="exact" w:line="256"/>
              <w:ind w:left="362"/>
              <w:jc w:val="center"/>
              <w:rPr>
                <w:sz w:val="24"/>
              </w:rPr>
            </w:pPr>
            <w:r>
              <w:rPr>
                <w:sz w:val="24"/>
              </w:rPr>
              <w:t>24,8%</w:t>
            </w:r>
          </w:p>
        </w:tc>
      </w:tr>
    </w:tbl>
    <w:p w:rsidRDefault="0065237C" w:rsidP="00062C1C" w:rsidR="008A6252">
      <w:pPr>
        <w:spacing w:lineRule="exact" w:line="227"/>
        <w:ind w:firstLine="168" w:left="966"/>
        <w:rPr>
          <w:b/>
          <w:i/>
          <w:sz w:val="20"/>
        </w:rPr>
      </w:pPr>
      <w:r>
        <w:rPr>
          <w:b/>
          <w:i/>
          <w:sz w:val="20"/>
        </w:rPr>
        <w:t xml:space="preserve">*NAPOMENA: </w:t>
      </w:r>
      <w:r w:rsidR="00D52FA1">
        <w:rPr>
          <w:b/>
          <w:i/>
          <w:sz w:val="20"/>
        </w:rPr>
        <w:t>Preliminarni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695140" w:rsidR="008A6252" w:rsidRPr="0012253B">
      <w:pPr>
        <w:tabs>
          <w:tab w:pos="1836" w:val="left"/>
        </w:tabs>
        <w:spacing w:before="1"/>
        <w:ind w:hanging="110" w:left="1210"/>
        <w:rPr>
          <w:b/>
          <w:sz w:val="24"/>
        </w:rPr>
      </w:pPr>
      <w:r>
        <w:rPr>
          <w:b/>
          <w:sz w:val="24"/>
        </w:rPr>
        <w:t>2.3.5.2.</w:t>
      </w:r>
      <w:r w:rsidR="00AB1309">
        <w:rPr>
          <w:b/>
          <w:sz w:val="24"/>
        </w:rPr>
        <w:t xml:space="preserve">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6252" w:rsidP="001312FE" w:rsidR="008A6252">
      <w:pPr>
        <w:pStyle w:val="Tijeloteksta"/>
        <w:spacing w:before="8"/>
        <w:rPr>
          <w:b/>
          <w:sz w:val="20"/>
        </w:rPr>
      </w:pPr>
    </w:p>
    <w:p w:rsidRDefault="008D7594" w:rsidP="009B28A5" w:rsidR="003E3507">
      <w:pPr>
        <w:pStyle w:val="Odlomakpopisa"/>
        <w:numPr>
          <w:ilvl w:val="0"/>
          <w:numId w:val="30"/>
        </w:numPr>
        <w:spacing w:lineRule="auto" w:line="276"/>
        <w:ind w:hanging="709" w:left="2127"/>
        <w:jc w:val="both"/>
        <w:rPr>
          <w:sz w:val="24"/>
          <w:szCs w:val="24"/>
        </w:rPr>
      </w:pPr>
      <w:r>
        <w:rPr>
          <w:sz w:val="24"/>
          <w:szCs w:val="24"/>
        </w:rPr>
        <w:t>Ostvareni prihodi od prodaje</w:t>
      </w:r>
      <w:r w:rsidR="003E3507" w:rsidRPr="003E3507">
        <w:rPr>
          <w:sz w:val="24"/>
          <w:szCs w:val="24"/>
        </w:rPr>
        <w:t xml:space="preserve"> u srpnju </w:t>
      </w:r>
      <w:r>
        <w:rPr>
          <w:sz w:val="24"/>
          <w:szCs w:val="24"/>
        </w:rPr>
        <w:t>su</w:t>
      </w:r>
      <w:r w:rsidR="003E3507" w:rsidRPr="003E3507">
        <w:rPr>
          <w:sz w:val="24"/>
          <w:szCs w:val="24"/>
        </w:rPr>
        <w:t xml:space="preserve"> ispod </w:t>
      </w:r>
      <w:r>
        <w:rPr>
          <w:sz w:val="24"/>
          <w:szCs w:val="24"/>
        </w:rPr>
        <w:t xml:space="preserve">plana, a </w:t>
      </w:r>
      <w:r w:rsidR="003E3507" w:rsidRPr="003E3507">
        <w:rPr>
          <w:sz w:val="24"/>
          <w:szCs w:val="24"/>
        </w:rPr>
        <w:t>najveći dio se odnosi na  kategoriju sladoleda.</w:t>
      </w:r>
      <w:r>
        <w:rPr>
          <w:sz w:val="24"/>
          <w:szCs w:val="24"/>
        </w:rPr>
        <w:t xml:space="preserve"> Nepovoljne vremenske prilike</w:t>
      </w:r>
      <w:r w:rsidR="003E3507" w:rsidRPr="003E3507">
        <w:rPr>
          <w:sz w:val="24"/>
          <w:szCs w:val="24"/>
        </w:rPr>
        <w:t>,</w:t>
      </w:r>
      <w:r w:rsidR="00F431B2">
        <w:rPr>
          <w:sz w:val="24"/>
          <w:szCs w:val="24"/>
        </w:rPr>
        <w:t xml:space="preserve"> od</w:t>
      </w:r>
      <w:r>
        <w:rPr>
          <w:sz w:val="24"/>
          <w:szCs w:val="24"/>
        </w:rPr>
        <w:t xml:space="preserve"> 22 kišna dana </w:t>
      </w:r>
      <w:r w:rsidR="00F431B2">
        <w:rPr>
          <w:sz w:val="24"/>
          <w:szCs w:val="24"/>
        </w:rPr>
        <w:t>su utjecale</w:t>
      </w:r>
      <w:r w:rsidR="003E3507" w:rsidRPr="003E3507">
        <w:rPr>
          <w:sz w:val="24"/>
          <w:szCs w:val="24"/>
        </w:rPr>
        <w:t xml:space="preserve"> na pad prodaje sladoleda koji je glavni nositelj prodaje u ovom periodu.</w:t>
      </w:r>
    </w:p>
    <w:p w:rsidRDefault="00036492" w:rsidP="001312FE" w:rsidR="00036492">
      <w:pPr>
        <w:pStyle w:val="Odlomakpopisa"/>
        <w:spacing w:lineRule="auto" w:line="276"/>
        <w:ind w:firstLine="0" w:left="720"/>
        <w:jc w:val="both"/>
        <w:rPr>
          <w:sz w:val="24"/>
          <w:szCs w:val="24"/>
        </w:rPr>
      </w:pPr>
    </w:p>
    <w:p w:rsidRDefault="00F431B2" w:rsidP="009B28A5" w:rsidR="00F431B2">
      <w:pPr>
        <w:pStyle w:val="Odlomakpopisa"/>
        <w:numPr>
          <w:ilvl w:val="0"/>
          <w:numId w:val="30"/>
        </w:numPr>
        <w:spacing w:lineRule="auto" w:line="276"/>
        <w:ind w:hanging="709" w:left="2127"/>
        <w:jc w:val="both"/>
        <w:rPr>
          <w:sz w:val="24"/>
          <w:szCs w:val="24"/>
        </w:rPr>
      </w:pPr>
      <w:r>
        <w:rPr>
          <w:sz w:val="24"/>
          <w:szCs w:val="24"/>
        </w:rPr>
        <w:t xml:space="preserve">Mjesečna </w:t>
      </w:r>
      <w:r w:rsidR="003E3507" w:rsidRPr="003E3507">
        <w:rPr>
          <w:sz w:val="24"/>
          <w:szCs w:val="24"/>
        </w:rPr>
        <w:t xml:space="preserve">EBITDA je ispod </w:t>
      </w:r>
      <w:r>
        <w:rPr>
          <w:sz w:val="24"/>
          <w:szCs w:val="24"/>
        </w:rPr>
        <w:t>planirane kao posljedica loše prodajne realizacije.</w:t>
      </w:r>
      <w:r w:rsidR="003E3507">
        <w:rPr>
          <w:sz w:val="24"/>
          <w:szCs w:val="24"/>
        </w:rPr>
        <w:t xml:space="preserve"> </w:t>
      </w:r>
    </w:p>
    <w:p w:rsidRDefault="00036492" w:rsidP="005864F9" w:rsidR="00036492" w:rsidRPr="00036492">
      <w:pPr>
        <w:pStyle w:val="Odlomakpopisa"/>
        <w:spacing w:lineRule="auto" w:line="276"/>
        <w:ind w:firstLine="0" w:left="1418"/>
        <w:jc w:val="both"/>
        <w:rPr>
          <w:sz w:val="24"/>
          <w:szCs w:val="24"/>
        </w:rPr>
      </w:pPr>
    </w:p>
    <w:p w:rsidRDefault="00F431B2" w:rsidP="005864F9" w:rsidR="00F431B2">
      <w:pPr>
        <w:pStyle w:val="Odlomakpopisa"/>
        <w:numPr>
          <w:ilvl w:val="0"/>
          <w:numId w:val="30"/>
        </w:numPr>
        <w:spacing w:lineRule="auto" w:line="276"/>
        <w:ind w:firstLine="0" w:left="1418"/>
        <w:jc w:val="both"/>
        <w:rPr>
          <w:sz w:val="24"/>
          <w:szCs w:val="24"/>
        </w:rPr>
      </w:pPr>
      <w:r>
        <w:rPr>
          <w:sz w:val="24"/>
          <w:szCs w:val="24"/>
        </w:rPr>
        <w:t>Ostvareni godišnji prihodi od prodaje i EBITDA su iznad plana.</w:t>
      </w:r>
    </w:p>
    <w:p w:rsidRDefault="00F431B2" w:rsidP="001312FE" w:rsidR="006B61B2" w:rsidRPr="00F431B2">
      <w:pPr>
        <w:spacing w:lineRule="auto" w:line="276"/>
        <w:jc w:val="both"/>
        <w:rPr>
          <w:sz w:val="24"/>
          <w:szCs w:val="24"/>
        </w:rPr>
      </w:pPr>
      <w:r>
        <w:rPr>
          <w:sz w:val="24"/>
          <w:szCs w:val="24"/>
        </w:rPr>
        <w:br w:type="page"/>
      </w:r>
    </w:p>
    <w:p w:rsidRDefault="008A6252" w:rsidP="001312FE" w:rsidR="008A6252">
      <w:pPr>
        <w:pStyle w:val="Tijeloteksta"/>
        <w:spacing w:before="6"/>
        <w:rPr>
          <w:sz w:val="12"/>
        </w:rPr>
      </w:pPr>
    </w:p>
    <w:p w:rsidRDefault="0012253B" w:rsidP="00695140" w:rsidR="008A6252" w:rsidRPr="0012253B">
      <w:pPr>
        <w:tabs>
          <w:tab w:pos="965" w:val="left"/>
        </w:tabs>
        <w:spacing w:before="93"/>
        <w:ind w:left="660"/>
        <w:outlineLvl w:val="1"/>
        <w:rPr>
          <w:b/>
          <w:sz w:val="24"/>
        </w:rPr>
      </w:pPr>
      <w:bookmarkStart w:name="_Toc509931086" w:id="28"/>
      <w:bookmarkStart w:name="_Toc523299359" w:id="29"/>
      <w:r>
        <w:rPr>
          <w:b/>
          <w:spacing w:val="3"/>
          <w:sz w:val="24"/>
        </w:rPr>
        <w:t xml:space="preserve">2.3.6.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Frikom</w:t>
      </w:r>
      <w:r w:rsidR="0065237C" w:rsidRPr="0012253B">
        <w:rPr>
          <w:b/>
          <w:spacing w:val="46"/>
          <w:sz w:val="24"/>
        </w:rPr>
        <w:t xml:space="preserve"> </w:t>
      </w:r>
      <w:r w:rsidR="0065237C" w:rsidRPr="0012253B">
        <w:rPr>
          <w:b/>
          <w:spacing w:val="3"/>
          <w:sz w:val="24"/>
        </w:rPr>
        <w:t>d.o.o.</w:t>
      </w:r>
      <w:bookmarkEnd w:id="28"/>
      <w:bookmarkEnd w:id="29"/>
    </w:p>
    <w:p w:rsidRDefault="008A6252" w:rsidP="001312FE" w:rsidR="008A6252">
      <w:pPr>
        <w:pStyle w:val="Tijeloteksta"/>
        <w:spacing w:before="2"/>
        <w:rPr>
          <w:b/>
          <w:sz w:val="34"/>
        </w:rPr>
      </w:pPr>
    </w:p>
    <w:p w:rsidRDefault="0012253B" w:rsidP="00695140" w:rsidR="008A6252" w:rsidRPr="0012253B">
      <w:pPr>
        <w:tabs>
          <w:tab w:pos="1966" w:val="left"/>
        </w:tabs>
        <w:ind w:left="1210"/>
        <w:rPr>
          <w:b/>
          <w:sz w:val="24"/>
        </w:rPr>
      </w:pPr>
      <w:r>
        <w:rPr>
          <w:b/>
          <w:sz w:val="24"/>
        </w:rPr>
        <w:t xml:space="preserve">2.3.6.1. </w:t>
      </w:r>
      <w:r w:rsidR="0065237C" w:rsidRPr="0012253B">
        <w:rPr>
          <w:b/>
          <w:sz w:val="24"/>
        </w:rPr>
        <w:t xml:space="preserve">Financijski rezultati od početka godine i ključni financijski </w:t>
      </w:r>
      <w:r w:rsidR="00062C1C">
        <w:rPr>
          <w:b/>
          <w:sz w:val="24"/>
        </w:rPr>
        <w:t>p</w:t>
      </w:r>
      <w:r w:rsidR="0065237C" w:rsidRPr="0012253B">
        <w:rPr>
          <w:b/>
          <w:sz w:val="24"/>
        </w:rPr>
        <w:t>okazatelji</w:t>
      </w:r>
      <w:r w:rsidR="0065237C" w:rsidRPr="0012253B">
        <w:rPr>
          <w:b/>
          <w:spacing w:val="-1"/>
          <w:sz w:val="24"/>
        </w:rPr>
        <w:t xml:space="preserve"> </w:t>
      </w:r>
      <w:r w:rsidR="0065237C" w:rsidRPr="0012253B">
        <w:rPr>
          <w:b/>
          <w:sz w:val="24"/>
        </w:rPr>
        <w:t>učinka</w:t>
      </w:r>
    </w:p>
    <w:p w:rsidRDefault="008A6252" w:rsidP="001312FE" w:rsidR="008A6252">
      <w:pPr>
        <w:pStyle w:val="Tijeloteksta"/>
        <w:rPr>
          <w:b/>
          <w:sz w:val="20"/>
        </w:rPr>
      </w:pPr>
    </w:p>
    <w:p w:rsidRDefault="008A6252" w:rsidP="001312FE" w:rsidR="008A6252">
      <w:pPr>
        <w:pStyle w:val="Tijeloteksta"/>
        <w:spacing w:after="1" w:before="1"/>
        <w:rPr>
          <w:b/>
          <w:sz w:val="22"/>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0"/>
        <w:gridCol w:w="2126"/>
        <w:gridCol w:w="2083"/>
      </w:tblGrid>
      <w:tr w:rsidTr="003C02CF" w:rsidR="00CD28A2">
        <w:trPr>
          <w:trHeight w:val="448"/>
          <w:jc w:val="center"/>
        </w:trPr>
        <w:tc>
          <w:tcPr>
            <w:tcW w:type="dxa" w:w="3110"/>
            <w:shd w:fill="C00000" w:color="auto" w:val="clear"/>
          </w:tcPr>
          <w:p w:rsidRDefault="00CD28A2" w:rsidP="001312FE" w:rsidR="00CD28A2">
            <w:pPr>
              <w:pStyle w:val="TableParagraph"/>
              <w:spacing w:before="82"/>
              <w:ind w:left="105"/>
              <w:rPr>
                <w:b/>
                <w:sz w:val="24"/>
              </w:rPr>
            </w:pPr>
            <w:r>
              <w:rPr>
                <w:b/>
                <w:color w:val="FFFFFF"/>
                <w:sz w:val="24"/>
              </w:rPr>
              <w:t>Financijski rezultati*</w:t>
            </w:r>
          </w:p>
        </w:tc>
        <w:tc>
          <w:tcPr>
            <w:tcW w:type="dxa" w:w="2126"/>
            <w:shd w:fill="C00000" w:color="auto" w:val="clear"/>
          </w:tcPr>
          <w:p w:rsidRDefault="006C1F86" w:rsidP="001312FE" w:rsidR="00013B40">
            <w:pPr>
              <w:pStyle w:val="TableParagraph"/>
              <w:spacing w:before="82"/>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B1516">
              <w:rPr>
                <w:b/>
                <w:color w:val="FFFFFF"/>
                <w:sz w:val="24"/>
              </w:rPr>
              <w:t>I</w:t>
            </w:r>
            <w:r w:rsidR="00CD28A2">
              <w:rPr>
                <w:b/>
                <w:color w:val="FFFFFF"/>
                <w:sz w:val="24"/>
              </w:rPr>
              <w:t xml:space="preserve">. 2018. </w:t>
            </w:r>
            <w:r w:rsidR="005173F5">
              <w:rPr>
                <w:b/>
                <w:color w:val="FFFFFF"/>
                <w:sz w:val="24"/>
              </w:rPr>
              <w:t xml:space="preserve"> </w:t>
            </w:r>
          </w:p>
          <w:p w:rsidRDefault="005173F5" w:rsidP="001312FE" w:rsidR="00CD28A2">
            <w:pPr>
              <w:pStyle w:val="TableParagraph"/>
              <w:spacing w:before="82"/>
              <w:ind w:left="362"/>
              <w:jc w:val="center"/>
              <w:rPr>
                <w:b/>
                <w:sz w:val="24"/>
              </w:rPr>
            </w:pPr>
            <w:r>
              <w:rPr>
                <w:b/>
                <w:color w:val="FFFFFF"/>
                <w:sz w:val="24"/>
              </w:rPr>
              <w:t xml:space="preserve"> </w:t>
            </w:r>
            <w:r w:rsidR="00CD28A2">
              <w:rPr>
                <w:b/>
                <w:color w:val="FFFFFF"/>
                <w:sz w:val="24"/>
              </w:rPr>
              <w:t>(mil. HRK)</w:t>
            </w:r>
          </w:p>
        </w:tc>
        <w:tc>
          <w:tcPr>
            <w:tcW w:type="dxa" w:w="2083"/>
            <w:shd w:fill="C00000" w:color="auto" w:val="clear"/>
          </w:tcPr>
          <w:p w:rsidRDefault="005173F5" w:rsidP="001312FE" w:rsidR="00013B40">
            <w:pPr>
              <w:pStyle w:val="TableParagraph"/>
              <w:spacing w:before="82"/>
              <w:ind w:left="362"/>
              <w:jc w:val="center"/>
            </w:pPr>
            <w:r>
              <w:rPr>
                <w:b/>
                <w:color w:val="FFFFFF"/>
                <w:sz w:val="24"/>
              </w:rPr>
              <w:t>Plan 2018.</w:t>
            </w:r>
            <w:r>
              <w:t xml:space="preserve"> </w:t>
            </w:r>
          </w:p>
          <w:p w:rsidRDefault="005173F5" w:rsidP="001312FE" w:rsidR="00CD28A2">
            <w:pPr>
              <w:pStyle w:val="TableParagraph"/>
              <w:spacing w:before="82"/>
              <w:ind w:left="362"/>
              <w:jc w:val="center"/>
              <w:rPr>
                <w:b/>
                <w:color w:val="FFFFFF"/>
                <w:sz w:val="24"/>
              </w:rPr>
            </w:pPr>
            <w:r w:rsidRPr="005173F5">
              <w:rPr>
                <w:b/>
                <w:color w:val="FFFFFF"/>
                <w:sz w:val="24"/>
              </w:rPr>
              <w:t>(mil. HRK)</w:t>
            </w:r>
          </w:p>
        </w:tc>
      </w:tr>
      <w:tr w:rsidTr="003C02CF"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Prihod</w:t>
            </w:r>
          </w:p>
        </w:tc>
        <w:tc>
          <w:tcPr>
            <w:tcW w:type="dxa" w:w="2126"/>
          </w:tcPr>
          <w:p w:rsidRDefault="003A0D53" w:rsidP="001312FE" w:rsidR="00CD28A2">
            <w:pPr>
              <w:pStyle w:val="TableParagraph"/>
              <w:spacing w:lineRule="exact" w:line="256"/>
              <w:ind w:left="362"/>
              <w:jc w:val="center"/>
              <w:rPr>
                <w:sz w:val="24"/>
              </w:rPr>
            </w:pPr>
            <w:r>
              <w:rPr>
                <w:sz w:val="24"/>
              </w:rPr>
              <w:t>543</w:t>
            </w:r>
          </w:p>
        </w:tc>
        <w:tc>
          <w:tcPr>
            <w:tcW w:type="dxa" w:w="2083"/>
          </w:tcPr>
          <w:p w:rsidRDefault="006F29E6" w:rsidP="001312FE" w:rsidR="00CD28A2">
            <w:pPr>
              <w:pStyle w:val="TableParagraph"/>
              <w:spacing w:lineRule="exact" w:line="256"/>
              <w:ind w:left="362"/>
              <w:jc w:val="center"/>
              <w:rPr>
                <w:sz w:val="24"/>
              </w:rPr>
            </w:pPr>
            <w:r>
              <w:rPr>
                <w:sz w:val="24"/>
              </w:rPr>
              <w:t>564</w:t>
            </w:r>
          </w:p>
        </w:tc>
      </w:tr>
      <w:tr w:rsidTr="003C02CF" w:rsidR="00CD28A2">
        <w:trPr>
          <w:trHeight w:val="275"/>
          <w:jc w:val="center"/>
        </w:trPr>
        <w:tc>
          <w:tcPr>
            <w:tcW w:type="dxa" w:w="3110"/>
          </w:tcPr>
          <w:p w:rsidRDefault="00CD28A2" w:rsidP="001312FE" w:rsidR="00CD28A2">
            <w:pPr>
              <w:pStyle w:val="TableParagraph"/>
              <w:spacing w:lineRule="exact" w:line="256"/>
              <w:ind w:left="105"/>
              <w:rPr>
                <w:sz w:val="24"/>
              </w:rPr>
            </w:pPr>
            <w:r>
              <w:rPr>
                <w:sz w:val="24"/>
              </w:rPr>
              <w:t>EBITDA</w:t>
            </w:r>
          </w:p>
        </w:tc>
        <w:tc>
          <w:tcPr>
            <w:tcW w:type="dxa" w:w="2126"/>
          </w:tcPr>
          <w:p w:rsidRDefault="003A0D53" w:rsidP="001312FE" w:rsidR="00CD28A2">
            <w:pPr>
              <w:pStyle w:val="TableParagraph"/>
              <w:spacing w:lineRule="exact" w:line="256"/>
              <w:ind w:left="362"/>
              <w:jc w:val="center"/>
              <w:rPr>
                <w:sz w:val="24"/>
              </w:rPr>
            </w:pPr>
            <w:r>
              <w:rPr>
                <w:sz w:val="24"/>
              </w:rPr>
              <w:t>153,4</w:t>
            </w:r>
          </w:p>
        </w:tc>
        <w:tc>
          <w:tcPr>
            <w:tcW w:type="dxa" w:w="2083"/>
          </w:tcPr>
          <w:p w:rsidRDefault="003A0D53" w:rsidP="001312FE" w:rsidR="00CD28A2">
            <w:pPr>
              <w:pStyle w:val="TableParagraph"/>
              <w:spacing w:lineRule="exact" w:line="256"/>
              <w:ind w:left="362"/>
              <w:jc w:val="center"/>
              <w:rPr>
                <w:sz w:val="24"/>
              </w:rPr>
            </w:pPr>
            <w:r>
              <w:rPr>
                <w:sz w:val="24"/>
              </w:rPr>
              <w:t>137,2</w:t>
            </w:r>
          </w:p>
        </w:tc>
      </w:tr>
      <w:tr w:rsidTr="003C02CF" w:rsidR="00CD28A2">
        <w:trPr>
          <w:trHeight w:val="276"/>
          <w:jc w:val="center"/>
        </w:trPr>
        <w:tc>
          <w:tcPr>
            <w:tcW w:type="dxa" w:w="3110"/>
          </w:tcPr>
          <w:p w:rsidRDefault="00CD28A2" w:rsidP="001312FE" w:rsidR="00CD28A2">
            <w:pPr>
              <w:pStyle w:val="TableParagraph"/>
              <w:spacing w:lineRule="exact" w:line="256"/>
              <w:ind w:left="105"/>
              <w:rPr>
                <w:sz w:val="24"/>
              </w:rPr>
            </w:pPr>
            <w:r>
              <w:rPr>
                <w:sz w:val="24"/>
              </w:rPr>
              <w:t>EBITDA %</w:t>
            </w:r>
          </w:p>
        </w:tc>
        <w:tc>
          <w:tcPr>
            <w:tcW w:type="dxa" w:w="2126"/>
          </w:tcPr>
          <w:p w:rsidRDefault="003A0D53" w:rsidP="001312FE" w:rsidR="00CD28A2">
            <w:pPr>
              <w:pStyle w:val="TableParagraph"/>
              <w:spacing w:lineRule="exact" w:line="256"/>
              <w:ind w:left="362"/>
              <w:jc w:val="center"/>
              <w:rPr>
                <w:sz w:val="24"/>
              </w:rPr>
            </w:pPr>
            <w:r>
              <w:rPr>
                <w:sz w:val="24"/>
              </w:rPr>
              <w:t>28,2%</w:t>
            </w:r>
          </w:p>
        </w:tc>
        <w:tc>
          <w:tcPr>
            <w:tcW w:type="dxa" w:w="2083"/>
          </w:tcPr>
          <w:p w:rsidRDefault="003A0D53" w:rsidP="001312FE" w:rsidR="00CD28A2">
            <w:pPr>
              <w:pStyle w:val="TableParagraph"/>
              <w:spacing w:lineRule="exact" w:line="256"/>
              <w:ind w:left="362"/>
              <w:jc w:val="center"/>
              <w:rPr>
                <w:sz w:val="24"/>
              </w:rPr>
            </w:pPr>
            <w:r>
              <w:rPr>
                <w:sz w:val="24"/>
              </w:rPr>
              <w:t>24,3%</w:t>
            </w:r>
          </w:p>
        </w:tc>
      </w:tr>
    </w:tbl>
    <w:p w:rsidRDefault="00D52FA1" w:rsidP="00062C1C" w:rsidR="008A6252">
      <w:pPr>
        <w:spacing w:lineRule="exact" w:line="227"/>
        <w:ind w:firstLine="310" w:left="966"/>
        <w:rPr>
          <w:b/>
          <w:i/>
          <w:sz w:val="20"/>
        </w:rPr>
      </w:pPr>
      <w:r>
        <w:rPr>
          <w:b/>
          <w:i/>
          <w:sz w:val="20"/>
        </w:rPr>
        <w:t xml:space="preserve">*NAPOMENA: Preliminarni </w:t>
      </w:r>
      <w:r w:rsidR="00C24214">
        <w:rPr>
          <w:b/>
          <w:i/>
          <w:sz w:val="20"/>
        </w:rPr>
        <w:t xml:space="preserve">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2.3.6.2.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rPr>
          <w:b/>
          <w:sz w:val="24"/>
        </w:rPr>
      </w:pPr>
    </w:p>
    <w:p w:rsidRDefault="00906C0A" w:rsidP="001312FE" w:rsidR="00906C0A" w:rsidRPr="00906C0A">
      <w:pPr>
        <w:jc w:val="both"/>
        <w:rPr>
          <w:sz w:val="24"/>
        </w:rPr>
      </w:pPr>
    </w:p>
    <w:p w:rsidRDefault="003D77F7" w:rsidP="009B28A5" w:rsidR="003E3507">
      <w:pPr>
        <w:pStyle w:val="Odlomakpopisa"/>
        <w:numPr>
          <w:ilvl w:val="0"/>
          <w:numId w:val="31"/>
        </w:numPr>
        <w:spacing w:lineRule="auto" w:line="276"/>
        <w:ind w:hanging="709" w:left="2127"/>
        <w:jc w:val="both"/>
        <w:rPr>
          <w:sz w:val="24"/>
        </w:rPr>
      </w:pPr>
      <w:r>
        <w:rPr>
          <w:sz w:val="24"/>
        </w:rPr>
        <w:t>N</w:t>
      </w:r>
      <w:r w:rsidR="003E3507" w:rsidRPr="003E3507">
        <w:rPr>
          <w:sz w:val="24"/>
        </w:rPr>
        <w:t xml:space="preserve">iži prihodi od prodaje u </w:t>
      </w:r>
      <w:r>
        <w:rPr>
          <w:sz w:val="24"/>
        </w:rPr>
        <w:t>srpnju u odnosu na plan</w:t>
      </w:r>
      <w:r w:rsidR="003E3507" w:rsidRPr="003E3507">
        <w:rPr>
          <w:sz w:val="24"/>
        </w:rPr>
        <w:t xml:space="preserve"> rezultat su izuzetn</w:t>
      </w:r>
      <w:r>
        <w:rPr>
          <w:sz w:val="24"/>
        </w:rPr>
        <w:t>o loših vremenskih prilika tijekom</w:t>
      </w:r>
      <w:r w:rsidR="003E3507" w:rsidRPr="003E3507">
        <w:rPr>
          <w:sz w:val="24"/>
        </w:rPr>
        <w:t xml:space="preserve"> c</w:t>
      </w:r>
      <w:r>
        <w:rPr>
          <w:sz w:val="24"/>
        </w:rPr>
        <w:t>ij</w:t>
      </w:r>
      <w:r w:rsidR="003E3507" w:rsidRPr="003E3507">
        <w:rPr>
          <w:sz w:val="24"/>
        </w:rPr>
        <w:t>elog m</w:t>
      </w:r>
      <w:r>
        <w:rPr>
          <w:sz w:val="24"/>
        </w:rPr>
        <w:t>j</w:t>
      </w:r>
      <w:r w:rsidR="003E3507" w:rsidRPr="003E3507">
        <w:rPr>
          <w:sz w:val="24"/>
        </w:rPr>
        <w:t>eseca, što je rezul</w:t>
      </w:r>
      <w:r w:rsidR="001E233D">
        <w:rPr>
          <w:sz w:val="24"/>
        </w:rPr>
        <w:t>t</w:t>
      </w:r>
      <w:r w:rsidR="003E3507" w:rsidRPr="003E3507">
        <w:rPr>
          <w:sz w:val="24"/>
        </w:rPr>
        <w:t xml:space="preserve">iralo padom prodaje najprodavanije kategorije proizvoda </w:t>
      </w:r>
      <w:r w:rsidR="00045ECF">
        <w:rPr>
          <w:sz w:val="24"/>
        </w:rPr>
        <w:t>-</w:t>
      </w:r>
      <w:r w:rsidR="003E3507" w:rsidRPr="003E3507">
        <w:rPr>
          <w:sz w:val="24"/>
        </w:rPr>
        <w:t xml:space="preserve"> sladoleda.</w:t>
      </w:r>
    </w:p>
    <w:p w:rsidRDefault="00036492" w:rsidP="005864F9" w:rsidR="00036492">
      <w:pPr>
        <w:pStyle w:val="Odlomakpopisa"/>
        <w:spacing w:lineRule="auto" w:line="276"/>
        <w:ind w:firstLine="0" w:left="1418"/>
        <w:jc w:val="both"/>
        <w:rPr>
          <w:sz w:val="24"/>
        </w:rPr>
      </w:pPr>
    </w:p>
    <w:p w:rsidRDefault="003D77F7" w:rsidP="009B28A5" w:rsidR="003E3507">
      <w:pPr>
        <w:pStyle w:val="Odlomakpopisa"/>
        <w:numPr>
          <w:ilvl w:val="0"/>
          <w:numId w:val="31"/>
        </w:numPr>
        <w:spacing w:lineRule="auto" w:line="276"/>
        <w:ind w:hanging="709" w:left="2127"/>
        <w:jc w:val="both"/>
        <w:rPr>
          <w:sz w:val="24"/>
        </w:rPr>
      </w:pPr>
      <w:r>
        <w:rPr>
          <w:sz w:val="24"/>
        </w:rPr>
        <w:t>Pad prihoda od prodaje djelo</w:t>
      </w:r>
      <w:r w:rsidR="003E3507" w:rsidRPr="003E3507">
        <w:rPr>
          <w:sz w:val="24"/>
        </w:rPr>
        <w:t xml:space="preserve">mično je ublažen rastom prodaje ostalih kategorija proizvoda, prvenstveno voća, povrća i </w:t>
      </w:r>
      <w:r>
        <w:rPr>
          <w:sz w:val="24"/>
        </w:rPr>
        <w:t>tijesta.</w:t>
      </w:r>
    </w:p>
    <w:p w:rsidRDefault="00036492" w:rsidP="005864F9" w:rsidR="00036492" w:rsidRPr="00036492">
      <w:pPr>
        <w:pStyle w:val="Odlomakpopisa"/>
        <w:spacing w:lineRule="auto" w:line="276"/>
        <w:ind w:firstLine="0" w:left="1418"/>
        <w:rPr>
          <w:sz w:val="24"/>
        </w:rPr>
      </w:pPr>
    </w:p>
    <w:p w:rsidRDefault="003E3507" w:rsidP="009B28A5" w:rsidR="003D77F7" w:rsidRPr="003D77F7">
      <w:pPr>
        <w:pStyle w:val="Odlomakpopisa"/>
        <w:numPr>
          <w:ilvl w:val="0"/>
          <w:numId w:val="31"/>
        </w:numPr>
        <w:spacing w:lineRule="auto" w:line="276"/>
        <w:ind w:hanging="709" w:left="2127"/>
        <w:jc w:val="both"/>
        <w:rPr>
          <w:sz w:val="24"/>
        </w:rPr>
      </w:pPr>
      <w:r w:rsidRPr="003E3507">
        <w:rPr>
          <w:sz w:val="24"/>
        </w:rPr>
        <w:t>Ostvarena m</w:t>
      </w:r>
      <w:r w:rsidR="003D77F7">
        <w:rPr>
          <w:sz w:val="24"/>
        </w:rPr>
        <w:t>j</w:t>
      </w:r>
      <w:r w:rsidRPr="003E3507">
        <w:rPr>
          <w:sz w:val="24"/>
        </w:rPr>
        <w:t>esečna EBITDA je niža od planirane dok je za period od početka godine do kraja izv</w:t>
      </w:r>
      <w:r w:rsidR="005864F9">
        <w:rPr>
          <w:sz w:val="24"/>
        </w:rPr>
        <w:t>j</w:t>
      </w:r>
      <w:r w:rsidRPr="003E3507">
        <w:rPr>
          <w:sz w:val="24"/>
        </w:rPr>
        <w:t xml:space="preserve">eštajnog </w:t>
      </w:r>
      <w:r w:rsidR="005864F9">
        <w:rPr>
          <w:sz w:val="24"/>
        </w:rPr>
        <w:t xml:space="preserve">razdoblja </w:t>
      </w:r>
      <w:r w:rsidRPr="003E3507">
        <w:rPr>
          <w:sz w:val="24"/>
        </w:rPr>
        <w:t>i</w:t>
      </w:r>
      <w:r w:rsidR="003D77F7">
        <w:rPr>
          <w:sz w:val="24"/>
        </w:rPr>
        <w:t xml:space="preserve"> dalje značajno iznad plana, prije</w:t>
      </w:r>
      <w:r w:rsidRPr="003E3507">
        <w:rPr>
          <w:sz w:val="24"/>
        </w:rPr>
        <w:t xml:space="preserve"> svega kao rezultat</w:t>
      </w:r>
      <w:r w:rsidR="003D77F7">
        <w:rPr>
          <w:sz w:val="24"/>
        </w:rPr>
        <w:t xml:space="preserve"> </w:t>
      </w:r>
      <w:r w:rsidRPr="003D77F7">
        <w:rPr>
          <w:sz w:val="24"/>
        </w:rPr>
        <w:t>podi</w:t>
      </w:r>
      <w:r w:rsidR="003D77F7" w:rsidRPr="003D77F7">
        <w:rPr>
          <w:sz w:val="24"/>
        </w:rPr>
        <w:t>zanja operativne efikasnosti,</w:t>
      </w:r>
      <w:r w:rsidR="003D77F7">
        <w:rPr>
          <w:sz w:val="24"/>
        </w:rPr>
        <w:t xml:space="preserve"> </w:t>
      </w:r>
      <w:r w:rsidRPr="003D77F7">
        <w:rPr>
          <w:sz w:val="24"/>
        </w:rPr>
        <w:t xml:space="preserve">fokusiranja </w:t>
      </w:r>
      <w:r w:rsidR="003D77F7" w:rsidRPr="003D77F7">
        <w:rPr>
          <w:sz w:val="24"/>
        </w:rPr>
        <w:t>na profitabilne grupe proizvoda te</w:t>
      </w:r>
      <w:r w:rsidR="003D77F7">
        <w:rPr>
          <w:sz w:val="24"/>
        </w:rPr>
        <w:t xml:space="preserve"> </w:t>
      </w:r>
      <w:r w:rsidR="003D77F7" w:rsidRPr="003D77F7">
        <w:rPr>
          <w:sz w:val="24"/>
        </w:rPr>
        <w:t>nižeg nivoa COGS-a</w:t>
      </w:r>
      <w:r w:rsidR="003D77F7">
        <w:rPr>
          <w:sz w:val="24"/>
        </w:rPr>
        <w:t>.</w:t>
      </w:r>
    </w:p>
    <w:p w:rsidRDefault="003D77F7" w:rsidP="001312FE" w:rsidR="003D77F7" w:rsidRPr="003D77F7">
      <w:pPr>
        <w:ind w:left="1080"/>
        <w:jc w:val="both"/>
        <w:rPr>
          <w:sz w:val="24"/>
        </w:rPr>
      </w:pPr>
    </w:p>
    <w:p w:rsidRDefault="003E3507" w:rsidP="001312FE" w:rsidR="003E3507" w:rsidRPr="003E3507">
      <w:pPr>
        <w:pStyle w:val="Odlomakpopisa"/>
        <w:ind w:firstLine="0" w:left="720"/>
        <w:jc w:val="both"/>
        <w:rPr>
          <w:sz w:val="24"/>
        </w:rPr>
      </w:pPr>
    </w:p>
    <w:p w:rsidRDefault="008A6252" w:rsidP="001312FE" w:rsidR="008A6252">
      <w:pPr>
        <w:pStyle w:val="Tijeloteksta"/>
        <w:rPr>
          <w:b/>
          <w:sz w:val="26"/>
        </w:rPr>
      </w:pPr>
    </w:p>
    <w:p w:rsidRDefault="005173F5" w:rsidP="001312FE" w:rsidR="005173F5" w:rsidRPr="005173F5">
      <w:pPr>
        <w:pStyle w:val="Odlomakpopisa"/>
        <w:tabs>
          <w:tab w:pos="979" w:val="left"/>
        </w:tabs>
        <w:spacing w:before="215"/>
        <w:ind w:firstLine="0"/>
        <w:jc w:val="both"/>
        <w:rPr>
          <w:sz w:val="24"/>
        </w:rPr>
      </w:pPr>
    </w:p>
    <w:p w:rsidRDefault="008A6252" w:rsidP="001312FE" w:rsidR="008A6252" w:rsidRPr="005173F5">
      <w:pPr>
        <w:pStyle w:val="Odlomakpopisa"/>
        <w:numPr>
          <w:ilvl w:val="0"/>
          <w:numId w:val="1"/>
        </w:numPr>
        <w:tabs>
          <w:tab w:pos="979" w:val="left"/>
        </w:tabs>
        <w:spacing w:before="215"/>
        <w:ind w:firstLine="0"/>
        <w:jc w:val="both"/>
        <w:rPr>
          <w:sz w:val="24"/>
        </w:rPr>
        <w:sectPr w:rsidSect="001312FE" w:rsidR="008A6252" w:rsidRPr="005173F5">
          <w:pgSz w:code="9" w:h="16840" w:w="11910"/>
          <w:pgMar w:gutter="0" w:footer="1316" w:header="709" w:left="1160" w:bottom="1560" w:right="860" w:top="1680"/>
          <w:cols w:space="720"/>
        </w:sectPr>
      </w:pPr>
    </w:p>
    <w:p w:rsidRDefault="008A6252" w:rsidP="001312FE" w:rsidR="008A6252">
      <w:pPr>
        <w:pStyle w:val="Tijeloteksta"/>
        <w:spacing w:before="4"/>
        <w:rPr>
          <w:sz w:val="12"/>
        </w:rPr>
      </w:pPr>
    </w:p>
    <w:p w:rsidRDefault="0012253B" w:rsidP="00CE7800" w:rsidR="008A6252" w:rsidRPr="0012253B">
      <w:pPr>
        <w:tabs>
          <w:tab w:pos="965" w:val="left"/>
        </w:tabs>
        <w:spacing w:before="92"/>
        <w:ind w:firstLine="402" w:left="258"/>
        <w:outlineLvl w:val="1"/>
        <w:rPr>
          <w:b/>
          <w:sz w:val="24"/>
        </w:rPr>
      </w:pPr>
      <w:bookmarkStart w:name="_Toc509931087" w:id="30"/>
      <w:bookmarkStart w:name="_Toc523299360" w:id="31"/>
      <w:r>
        <w:rPr>
          <w:b/>
          <w:spacing w:val="3"/>
          <w:sz w:val="24"/>
        </w:rPr>
        <w:t xml:space="preserve">2.3.7.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Zvijezda</w:t>
      </w:r>
      <w:r w:rsidR="0065237C" w:rsidRPr="0012253B">
        <w:rPr>
          <w:b/>
          <w:spacing w:val="46"/>
          <w:sz w:val="24"/>
        </w:rPr>
        <w:t xml:space="preserve"> </w:t>
      </w:r>
      <w:r w:rsidR="0065237C" w:rsidRPr="0012253B">
        <w:rPr>
          <w:b/>
          <w:spacing w:val="3"/>
          <w:sz w:val="24"/>
        </w:rPr>
        <w:t>d.d.</w:t>
      </w:r>
      <w:bookmarkEnd w:id="30"/>
      <w:bookmarkEnd w:id="31"/>
    </w:p>
    <w:p w:rsidRDefault="008A6252" w:rsidP="001312FE" w:rsidR="008A6252">
      <w:pPr>
        <w:pStyle w:val="Tijeloteksta"/>
        <w:spacing w:before="10"/>
        <w:rPr>
          <w:b/>
          <w:sz w:val="30"/>
        </w:rPr>
      </w:pPr>
    </w:p>
    <w:p w:rsidRDefault="0012253B" w:rsidP="001312FE" w:rsidR="008A6252" w:rsidRPr="0012253B">
      <w:pPr>
        <w:tabs>
          <w:tab w:pos="1698" w:val="left"/>
          <w:tab w:pos="1699" w:val="left"/>
          <w:tab w:pos="3149" w:val="left"/>
          <w:tab w:pos="4281" w:val="left"/>
          <w:tab w:pos="4787" w:val="left"/>
          <w:tab w:pos="5905" w:val="left"/>
          <w:tab w:pos="6903" w:val="left"/>
          <w:tab w:pos="7182" w:val="left"/>
          <w:tab w:pos="8153" w:val="left"/>
        </w:tabs>
        <w:spacing w:after="5"/>
        <w:ind w:left="1134"/>
        <w:rPr>
          <w:b/>
          <w:sz w:val="24"/>
        </w:rPr>
      </w:pPr>
      <w:r>
        <w:rPr>
          <w:b/>
          <w:sz w:val="24"/>
        </w:rPr>
        <w:t xml:space="preserve">2.3.7.1. </w:t>
      </w:r>
      <w:r w:rsidR="0065237C" w:rsidRPr="0012253B">
        <w:rPr>
          <w:b/>
          <w:sz w:val="24"/>
        </w:rPr>
        <w:t>Financijski</w:t>
      </w:r>
      <w:r w:rsidR="00AB1309">
        <w:rPr>
          <w:b/>
          <w:sz w:val="24"/>
        </w:rPr>
        <w:t xml:space="preserve"> </w:t>
      </w:r>
      <w:r w:rsidR="0065237C" w:rsidRPr="0012253B">
        <w:rPr>
          <w:b/>
          <w:sz w:val="24"/>
        </w:rPr>
        <w:t>rezultati</w:t>
      </w:r>
      <w:r w:rsidR="0065237C" w:rsidRPr="0012253B">
        <w:rPr>
          <w:b/>
          <w:sz w:val="24"/>
        </w:rPr>
        <w:tab/>
        <w:t>od</w:t>
      </w:r>
      <w:r w:rsidR="00AB1309">
        <w:rPr>
          <w:b/>
          <w:sz w:val="24"/>
        </w:rPr>
        <w:t xml:space="preserve"> </w:t>
      </w:r>
      <w:r w:rsidR="0065237C" w:rsidRPr="0012253B">
        <w:rPr>
          <w:b/>
          <w:sz w:val="24"/>
        </w:rPr>
        <w:t>početka</w:t>
      </w:r>
      <w:r w:rsidR="00AB1309">
        <w:rPr>
          <w:b/>
          <w:sz w:val="24"/>
        </w:rPr>
        <w:t xml:space="preserve"> </w:t>
      </w:r>
      <w:r w:rsidR="0065237C" w:rsidRPr="0012253B">
        <w:rPr>
          <w:b/>
          <w:sz w:val="24"/>
        </w:rPr>
        <w:t>godine</w:t>
      </w:r>
      <w:r>
        <w:rPr>
          <w:b/>
          <w:sz w:val="24"/>
        </w:rPr>
        <w:t xml:space="preserve"> </w:t>
      </w:r>
      <w:r w:rsidR="0065237C" w:rsidRPr="0012253B">
        <w:rPr>
          <w:b/>
          <w:sz w:val="24"/>
        </w:rPr>
        <w:t>i</w:t>
      </w:r>
      <w:r w:rsidR="00AB1309">
        <w:rPr>
          <w:b/>
          <w:sz w:val="24"/>
        </w:rPr>
        <w:t xml:space="preserve"> </w:t>
      </w:r>
      <w:r w:rsidR="0065237C" w:rsidRPr="0012253B">
        <w:rPr>
          <w:b/>
          <w:sz w:val="24"/>
        </w:rPr>
        <w:t>ključni</w:t>
      </w:r>
      <w:r>
        <w:rPr>
          <w:b/>
          <w:sz w:val="24"/>
        </w:rPr>
        <w:t xml:space="preserve"> </w:t>
      </w:r>
      <w:r w:rsidR="0065237C" w:rsidRPr="0012253B">
        <w:rPr>
          <w:b/>
          <w:sz w:val="24"/>
        </w:rPr>
        <w:t>financijski pokazatelji</w:t>
      </w:r>
      <w:r w:rsidR="0065237C" w:rsidRPr="0012253B">
        <w:rPr>
          <w:b/>
          <w:spacing w:val="-1"/>
          <w:sz w:val="24"/>
        </w:rPr>
        <w:t xml:space="preserve"> </w:t>
      </w:r>
      <w:r w:rsidR="0065237C" w:rsidRPr="0012253B">
        <w:rPr>
          <w:b/>
          <w:sz w:val="24"/>
        </w:rPr>
        <w:t>učinka</w:t>
      </w:r>
    </w:p>
    <w:p w:rsidRDefault="00013B40" w:rsidP="001312FE" w:rsidR="00013B40">
      <w:pPr>
        <w:pStyle w:val="Odlomakpopisa"/>
        <w:tabs>
          <w:tab w:pos="1698" w:val="left"/>
          <w:tab w:pos="1699" w:val="left"/>
          <w:tab w:pos="3149" w:val="left"/>
          <w:tab w:pos="4281" w:val="left"/>
          <w:tab w:pos="4787" w:val="left"/>
          <w:tab w:pos="5905" w:val="left"/>
          <w:tab w:pos="6903" w:val="left"/>
          <w:tab w:pos="7182" w:val="left"/>
          <w:tab w:pos="8153" w:val="left"/>
        </w:tabs>
        <w:spacing w:after="5"/>
        <w:ind w:firstLine="0" w:left="686"/>
        <w:rPr>
          <w:b/>
          <w:sz w:val="24"/>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72"/>
        <w:gridCol w:w="2112"/>
        <w:gridCol w:w="2131"/>
      </w:tblGrid>
      <w:tr w:rsidTr="003C02CF" w:rsidR="00AD7365">
        <w:trPr>
          <w:trHeight w:val="445"/>
          <w:jc w:val="center"/>
        </w:trPr>
        <w:tc>
          <w:tcPr>
            <w:tcW w:type="dxa" w:w="3172"/>
            <w:shd w:fill="C00000" w:color="auto" w:val="clear"/>
          </w:tcPr>
          <w:p w:rsidRDefault="00AD7365" w:rsidP="001312FE" w:rsidR="00AD7365">
            <w:pPr>
              <w:pStyle w:val="TableParagraph"/>
              <w:spacing w:before="79"/>
              <w:ind w:left="105"/>
              <w:rPr>
                <w:b/>
                <w:sz w:val="24"/>
              </w:rPr>
            </w:pPr>
            <w:r>
              <w:rPr>
                <w:b/>
                <w:color w:val="FFFFFF"/>
                <w:sz w:val="24"/>
              </w:rPr>
              <w:t>Financijski rezultati*</w:t>
            </w:r>
          </w:p>
        </w:tc>
        <w:tc>
          <w:tcPr>
            <w:tcW w:type="dxa" w:w="2112"/>
            <w:shd w:fill="C00000" w:color="auto" w:val="clear"/>
          </w:tcPr>
          <w:p w:rsidRDefault="006C1F86" w:rsidP="001312FE" w:rsidR="00013B40">
            <w:pPr>
              <w:pStyle w:val="TableParagraph"/>
              <w:spacing w:before="79"/>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B1516">
              <w:rPr>
                <w:b/>
                <w:color w:val="FFFFFF"/>
                <w:sz w:val="24"/>
              </w:rPr>
              <w:t>I</w:t>
            </w:r>
            <w:r w:rsidR="00AD7365">
              <w:rPr>
                <w:b/>
                <w:color w:val="FFFFFF"/>
                <w:sz w:val="24"/>
              </w:rPr>
              <w:t xml:space="preserve">. 2018.  </w:t>
            </w:r>
          </w:p>
          <w:p w:rsidRDefault="00AD7365" w:rsidP="001312FE" w:rsidR="00AD7365">
            <w:pPr>
              <w:pStyle w:val="TableParagraph"/>
              <w:spacing w:before="79"/>
              <w:ind w:left="362"/>
              <w:jc w:val="center"/>
              <w:rPr>
                <w:b/>
                <w:sz w:val="24"/>
              </w:rPr>
            </w:pPr>
            <w:r>
              <w:rPr>
                <w:b/>
                <w:color w:val="FFFFFF"/>
                <w:sz w:val="24"/>
              </w:rPr>
              <w:t>(mil. HRK)</w:t>
            </w:r>
          </w:p>
        </w:tc>
        <w:tc>
          <w:tcPr>
            <w:tcW w:type="dxa" w:w="2131"/>
            <w:shd w:fill="C00000" w:color="auto" w:val="clear"/>
          </w:tcPr>
          <w:p w:rsidRDefault="00AD7365" w:rsidP="001312FE" w:rsidR="00013B40">
            <w:pPr>
              <w:pStyle w:val="TableParagraph"/>
              <w:spacing w:before="79"/>
              <w:ind w:left="362"/>
              <w:jc w:val="center"/>
              <w:rPr>
                <w:b/>
                <w:color w:val="FFFFFF"/>
                <w:sz w:val="24"/>
              </w:rPr>
            </w:pPr>
            <w:r w:rsidRPr="00AD7365">
              <w:rPr>
                <w:b/>
                <w:color w:val="FFFFFF"/>
                <w:sz w:val="24"/>
              </w:rPr>
              <w:t>Plan 2018.</w:t>
            </w:r>
          </w:p>
          <w:p w:rsidRDefault="00AD7365" w:rsidP="001312FE" w:rsidR="00AD7365">
            <w:pPr>
              <w:pStyle w:val="TableParagraph"/>
              <w:spacing w:before="79"/>
              <w:ind w:left="362"/>
              <w:jc w:val="center"/>
              <w:rPr>
                <w:b/>
                <w:color w:val="FFFFFF"/>
                <w:sz w:val="24"/>
              </w:rPr>
            </w:pPr>
            <w:r w:rsidRPr="00AD7365">
              <w:rPr>
                <w:b/>
                <w:color w:val="FFFFFF"/>
                <w:sz w:val="24"/>
              </w:rPr>
              <w:t xml:space="preserve"> (mil. HRK)</w:t>
            </w:r>
          </w:p>
        </w:tc>
      </w:tr>
      <w:tr w:rsidTr="003C02CF"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Prihod</w:t>
            </w:r>
          </w:p>
        </w:tc>
        <w:tc>
          <w:tcPr>
            <w:tcW w:type="dxa" w:w="2112"/>
          </w:tcPr>
          <w:p w:rsidRDefault="003A0D53" w:rsidP="001312FE" w:rsidR="00AD7365">
            <w:pPr>
              <w:pStyle w:val="TableParagraph"/>
              <w:spacing w:lineRule="exact" w:line="256"/>
              <w:ind w:left="362"/>
              <w:jc w:val="center"/>
              <w:rPr>
                <w:sz w:val="24"/>
              </w:rPr>
            </w:pPr>
            <w:r>
              <w:rPr>
                <w:sz w:val="24"/>
              </w:rPr>
              <w:t>406</w:t>
            </w:r>
          </w:p>
        </w:tc>
        <w:tc>
          <w:tcPr>
            <w:tcW w:type="dxa" w:w="2131"/>
          </w:tcPr>
          <w:p w:rsidRDefault="003A0D53" w:rsidP="001312FE" w:rsidR="00AD7365">
            <w:pPr>
              <w:pStyle w:val="TableParagraph"/>
              <w:spacing w:lineRule="exact" w:line="256"/>
              <w:ind w:left="362"/>
              <w:jc w:val="center"/>
              <w:rPr>
                <w:sz w:val="24"/>
              </w:rPr>
            </w:pPr>
            <w:r>
              <w:rPr>
                <w:sz w:val="24"/>
              </w:rPr>
              <w:t>388</w:t>
            </w:r>
          </w:p>
        </w:tc>
      </w:tr>
      <w:tr w:rsidTr="003C02CF"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w:t>
            </w:r>
          </w:p>
        </w:tc>
        <w:tc>
          <w:tcPr>
            <w:tcW w:type="dxa" w:w="2112"/>
          </w:tcPr>
          <w:p w:rsidRDefault="003A0D53" w:rsidP="001312FE" w:rsidR="00AD7365">
            <w:pPr>
              <w:pStyle w:val="TableParagraph"/>
              <w:spacing w:lineRule="exact" w:line="256"/>
              <w:ind w:left="362"/>
              <w:jc w:val="center"/>
              <w:rPr>
                <w:sz w:val="24"/>
              </w:rPr>
            </w:pPr>
            <w:r>
              <w:rPr>
                <w:sz w:val="24"/>
              </w:rPr>
              <w:t>42,9</w:t>
            </w:r>
          </w:p>
        </w:tc>
        <w:tc>
          <w:tcPr>
            <w:tcW w:type="dxa" w:w="2131"/>
          </w:tcPr>
          <w:p w:rsidRDefault="003A0D53" w:rsidP="001312FE" w:rsidR="00AD7365">
            <w:pPr>
              <w:pStyle w:val="TableParagraph"/>
              <w:spacing w:lineRule="exact" w:line="256"/>
              <w:ind w:left="362"/>
              <w:jc w:val="center"/>
              <w:rPr>
                <w:sz w:val="24"/>
              </w:rPr>
            </w:pPr>
            <w:r>
              <w:rPr>
                <w:sz w:val="24"/>
              </w:rPr>
              <w:t>36,8</w:t>
            </w:r>
          </w:p>
        </w:tc>
      </w:tr>
      <w:tr w:rsidTr="003C02CF" w:rsidR="00AD7365">
        <w:trPr>
          <w:trHeight w:val="275"/>
          <w:jc w:val="center"/>
        </w:trPr>
        <w:tc>
          <w:tcPr>
            <w:tcW w:type="dxa" w:w="3172"/>
          </w:tcPr>
          <w:p w:rsidRDefault="00AD7365" w:rsidP="001312FE" w:rsidR="00AD7365">
            <w:pPr>
              <w:pStyle w:val="TableParagraph"/>
              <w:spacing w:lineRule="exact" w:line="256"/>
              <w:ind w:left="105"/>
              <w:rPr>
                <w:sz w:val="24"/>
              </w:rPr>
            </w:pPr>
            <w:r>
              <w:rPr>
                <w:sz w:val="24"/>
              </w:rPr>
              <w:t>EBITDA %</w:t>
            </w:r>
          </w:p>
        </w:tc>
        <w:tc>
          <w:tcPr>
            <w:tcW w:type="dxa" w:w="2112"/>
          </w:tcPr>
          <w:p w:rsidRDefault="003A0D53" w:rsidP="001312FE" w:rsidR="00AD7365">
            <w:pPr>
              <w:pStyle w:val="TableParagraph"/>
              <w:spacing w:lineRule="exact" w:line="256"/>
              <w:ind w:left="362"/>
              <w:jc w:val="center"/>
              <w:rPr>
                <w:sz w:val="24"/>
              </w:rPr>
            </w:pPr>
            <w:r>
              <w:rPr>
                <w:sz w:val="24"/>
              </w:rPr>
              <w:t>10,6%</w:t>
            </w:r>
          </w:p>
        </w:tc>
        <w:tc>
          <w:tcPr>
            <w:tcW w:type="dxa" w:w="2131"/>
          </w:tcPr>
          <w:p w:rsidRDefault="003A0D53" w:rsidP="001312FE" w:rsidR="00AD7365">
            <w:pPr>
              <w:pStyle w:val="TableParagraph"/>
              <w:spacing w:lineRule="exact" w:line="256"/>
              <w:ind w:left="362"/>
              <w:jc w:val="center"/>
              <w:rPr>
                <w:sz w:val="24"/>
              </w:rPr>
            </w:pPr>
            <w:r>
              <w:rPr>
                <w:sz w:val="24"/>
              </w:rPr>
              <w:t>9,5%</w:t>
            </w:r>
          </w:p>
        </w:tc>
      </w:tr>
    </w:tbl>
    <w:p w:rsidRDefault="0065237C" w:rsidP="00062C1C" w:rsidR="008A6252">
      <w:pPr>
        <w:ind w:firstLine="310" w:left="966"/>
        <w:rPr>
          <w:b/>
          <w:i/>
          <w:sz w:val="20"/>
        </w:rPr>
      </w:pPr>
      <w:r>
        <w:rPr>
          <w:b/>
          <w:i/>
          <w:sz w:val="20"/>
        </w:rPr>
        <w:t xml:space="preserve">*NAPOMENA: </w:t>
      </w:r>
      <w:r w:rsidR="00C24214">
        <w:rPr>
          <w:b/>
          <w:i/>
          <w:sz w:val="20"/>
        </w:rPr>
        <w:t>Preliminirani  rezultati</w:t>
      </w:r>
    </w:p>
    <w:p w:rsidRDefault="008A6252" w:rsidP="001312FE" w:rsidR="008A6252">
      <w:pPr>
        <w:pStyle w:val="Tijeloteksta"/>
        <w:rPr>
          <w:b/>
          <w:i/>
          <w:sz w:val="22"/>
        </w:rPr>
      </w:pPr>
    </w:p>
    <w:p w:rsidRDefault="008A6252" w:rsidP="001312FE" w:rsidR="008A6252">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2.3.7.2.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6252" w:rsidP="001312FE" w:rsidR="008A6252">
      <w:pPr>
        <w:pStyle w:val="Tijeloteksta"/>
        <w:spacing w:before="10"/>
        <w:rPr>
          <w:b/>
          <w:sz w:val="20"/>
        </w:rPr>
      </w:pPr>
    </w:p>
    <w:p w:rsidRDefault="006C1F86" w:rsidP="001312FE" w:rsidR="006C1F86" w:rsidRPr="006C1F86">
      <w:pPr>
        <w:pStyle w:val="Odlomakpopisa"/>
        <w:tabs>
          <w:tab w:pos="979" w:val="left"/>
        </w:tabs>
        <w:ind w:firstLine="0"/>
        <w:jc w:val="both"/>
        <w:rPr>
          <w:sz w:val="24"/>
        </w:rPr>
      </w:pPr>
    </w:p>
    <w:p w:rsidRDefault="00045ECF" w:rsidP="005864F9" w:rsidR="003E3507">
      <w:pPr>
        <w:pStyle w:val="Odlomakpopisa"/>
        <w:widowControl/>
        <w:numPr>
          <w:ilvl w:val="0"/>
          <w:numId w:val="12"/>
        </w:numPr>
        <w:tabs>
          <w:tab w:pos="720" w:val="clear"/>
          <w:tab w:pos="1418" w:val="num"/>
        </w:tabs>
        <w:autoSpaceDE/>
        <w:autoSpaceDN/>
        <w:spacing w:lineRule="auto" w:line="276" w:after="120"/>
        <w:ind w:hanging="567" w:left="2127"/>
        <w:contextualSpacing/>
        <w:jc w:val="both"/>
        <w:rPr>
          <w:sz w:val="24"/>
          <w:szCs w:val="24"/>
        </w:rPr>
      </w:pPr>
      <w:r>
        <w:rPr>
          <w:sz w:val="24"/>
          <w:szCs w:val="24"/>
        </w:rPr>
        <w:t>S</w:t>
      </w:r>
      <w:r w:rsidR="003E3507" w:rsidRPr="00095B34">
        <w:rPr>
          <w:sz w:val="24"/>
          <w:szCs w:val="24"/>
        </w:rPr>
        <w:t xml:space="preserve">rpanj je po prihodu i EBITDA </w:t>
      </w:r>
      <w:r>
        <w:rPr>
          <w:sz w:val="24"/>
          <w:szCs w:val="24"/>
        </w:rPr>
        <w:t>izraz</w:t>
      </w:r>
      <w:r w:rsidR="003E3507" w:rsidRPr="00095B34">
        <w:rPr>
          <w:sz w:val="24"/>
          <w:szCs w:val="24"/>
        </w:rPr>
        <w:t>i</w:t>
      </w:r>
      <w:r>
        <w:rPr>
          <w:sz w:val="24"/>
          <w:szCs w:val="24"/>
        </w:rPr>
        <w:t>to uspješan</w:t>
      </w:r>
      <w:r w:rsidR="003E3507" w:rsidRPr="00095B34">
        <w:rPr>
          <w:sz w:val="24"/>
          <w:szCs w:val="24"/>
        </w:rPr>
        <w:t xml:space="preserve"> mjesec </w:t>
      </w:r>
      <w:r w:rsidR="003D77F7">
        <w:rPr>
          <w:sz w:val="24"/>
          <w:szCs w:val="24"/>
        </w:rPr>
        <w:t>za Zvijezdu.</w:t>
      </w:r>
    </w:p>
    <w:p w:rsidRDefault="00036492" w:rsidP="005864F9" w:rsidR="00036492">
      <w:pPr>
        <w:pStyle w:val="Odlomakpopisa"/>
        <w:widowControl/>
        <w:tabs>
          <w:tab w:pos="1418" w:val="num"/>
        </w:tabs>
        <w:autoSpaceDE/>
        <w:autoSpaceDN/>
        <w:spacing w:lineRule="auto" w:line="276" w:after="120"/>
        <w:ind w:hanging="567" w:left="2127"/>
        <w:contextualSpacing/>
        <w:jc w:val="both"/>
        <w:rPr>
          <w:sz w:val="24"/>
          <w:szCs w:val="24"/>
        </w:rPr>
      </w:pPr>
    </w:p>
    <w:p w:rsidRDefault="003D77F7" w:rsidP="005864F9" w:rsidR="003E3507">
      <w:pPr>
        <w:pStyle w:val="Odlomakpopisa"/>
        <w:widowControl/>
        <w:numPr>
          <w:ilvl w:val="0"/>
          <w:numId w:val="12"/>
        </w:numPr>
        <w:tabs>
          <w:tab w:pos="720" w:val="clear"/>
          <w:tab w:pos="1418" w:val="num"/>
        </w:tabs>
        <w:autoSpaceDE/>
        <w:autoSpaceDN/>
        <w:spacing w:lineRule="auto" w:line="276" w:after="120"/>
        <w:ind w:hanging="567" w:left="2127"/>
        <w:contextualSpacing/>
        <w:jc w:val="both"/>
        <w:rPr>
          <w:sz w:val="24"/>
          <w:szCs w:val="24"/>
        </w:rPr>
      </w:pPr>
      <w:r>
        <w:rPr>
          <w:sz w:val="24"/>
          <w:szCs w:val="24"/>
        </w:rPr>
        <w:t>Ostvareni mjesečni prihodi od prodaje i EBITDA su iznad plana.</w:t>
      </w:r>
    </w:p>
    <w:p w:rsidRDefault="00036492" w:rsidP="005864F9" w:rsidR="00036492" w:rsidRPr="00036492">
      <w:pPr>
        <w:pStyle w:val="Odlomakpopisa"/>
        <w:tabs>
          <w:tab w:pos="1418" w:val="num"/>
        </w:tabs>
        <w:spacing w:lineRule="auto" w:line="276"/>
        <w:ind w:hanging="567" w:left="2127"/>
        <w:jc w:val="both"/>
        <w:rPr>
          <w:sz w:val="24"/>
          <w:szCs w:val="24"/>
        </w:rPr>
      </w:pPr>
    </w:p>
    <w:p w:rsidRDefault="003E3507" w:rsidP="005864F9" w:rsidR="003E3507">
      <w:pPr>
        <w:pStyle w:val="Odlomakpopisa"/>
        <w:widowControl/>
        <w:numPr>
          <w:ilvl w:val="0"/>
          <w:numId w:val="12"/>
        </w:numPr>
        <w:tabs>
          <w:tab w:pos="720" w:val="clear"/>
          <w:tab w:pos="1418" w:val="num"/>
        </w:tabs>
        <w:autoSpaceDE/>
        <w:autoSpaceDN/>
        <w:spacing w:lineRule="auto" w:line="276" w:after="120"/>
        <w:ind w:hanging="567" w:left="2127"/>
        <w:contextualSpacing/>
        <w:jc w:val="both"/>
        <w:rPr>
          <w:sz w:val="24"/>
          <w:szCs w:val="24"/>
        </w:rPr>
      </w:pPr>
      <w:r>
        <w:rPr>
          <w:sz w:val="24"/>
          <w:szCs w:val="24"/>
        </w:rPr>
        <w:t>R</w:t>
      </w:r>
      <w:r w:rsidRPr="00767977">
        <w:rPr>
          <w:sz w:val="24"/>
          <w:szCs w:val="24"/>
        </w:rPr>
        <w:t xml:space="preserve">ast realizacije </w:t>
      </w:r>
      <w:r>
        <w:rPr>
          <w:sz w:val="24"/>
          <w:szCs w:val="24"/>
        </w:rPr>
        <w:t>je vidljiv u svim ključnim</w:t>
      </w:r>
      <w:r w:rsidRPr="00767977">
        <w:rPr>
          <w:sz w:val="24"/>
          <w:szCs w:val="24"/>
        </w:rPr>
        <w:t xml:space="preserve"> kategorija</w:t>
      </w:r>
      <w:r>
        <w:rPr>
          <w:sz w:val="24"/>
          <w:szCs w:val="24"/>
        </w:rPr>
        <w:t xml:space="preserve">ma </w:t>
      </w:r>
      <w:r w:rsidRPr="00767977">
        <w:rPr>
          <w:sz w:val="24"/>
          <w:szCs w:val="24"/>
        </w:rPr>
        <w:t xml:space="preserve">na </w:t>
      </w:r>
      <w:r w:rsidR="003D77F7">
        <w:rPr>
          <w:sz w:val="24"/>
          <w:szCs w:val="24"/>
        </w:rPr>
        <w:t>domaćem i izvoznim tržištima</w:t>
      </w:r>
      <w:r w:rsidRPr="00767977">
        <w:rPr>
          <w:sz w:val="24"/>
          <w:szCs w:val="24"/>
        </w:rPr>
        <w:t xml:space="preserve"> </w:t>
      </w:r>
      <w:r>
        <w:rPr>
          <w:sz w:val="24"/>
          <w:szCs w:val="24"/>
        </w:rPr>
        <w:t>- ulja</w:t>
      </w:r>
      <w:r w:rsidRPr="00767977">
        <w:rPr>
          <w:sz w:val="24"/>
          <w:szCs w:val="24"/>
        </w:rPr>
        <w:t>, mar</w:t>
      </w:r>
      <w:r>
        <w:rPr>
          <w:sz w:val="24"/>
          <w:szCs w:val="24"/>
        </w:rPr>
        <w:t>garini, majoneze i ketchup</w:t>
      </w:r>
      <w:r w:rsidR="003D77F7">
        <w:rPr>
          <w:sz w:val="24"/>
          <w:szCs w:val="24"/>
        </w:rPr>
        <w:t>.</w:t>
      </w:r>
    </w:p>
    <w:p w:rsidRDefault="00036492" w:rsidP="005864F9" w:rsidR="00036492" w:rsidRPr="00036492">
      <w:pPr>
        <w:pStyle w:val="Odlomakpopisa"/>
        <w:tabs>
          <w:tab w:pos="1418" w:val="num"/>
        </w:tabs>
        <w:spacing w:lineRule="auto" w:line="276"/>
        <w:ind w:hanging="567" w:left="2127"/>
        <w:jc w:val="both"/>
        <w:rPr>
          <w:sz w:val="24"/>
          <w:szCs w:val="24"/>
        </w:rPr>
      </w:pPr>
    </w:p>
    <w:p w:rsidRDefault="003E3507" w:rsidP="005864F9" w:rsidR="003E3507">
      <w:pPr>
        <w:pStyle w:val="Odlomakpopisa"/>
        <w:widowControl/>
        <w:numPr>
          <w:ilvl w:val="0"/>
          <w:numId w:val="12"/>
        </w:numPr>
        <w:tabs>
          <w:tab w:pos="720" w:val="clear"/>
          <w:tab w:pos="1418" w:val="num"/>
        </w:tabs>
        <w:autoSpaceDE/>
        <w:autoSpaceDN/>
        <w:spacing w:lineRule="auto" w:line="276" w:after="120"/>
        <w:ind w:hanging="567" w:left="2127"/>
        <w:contextualSpacing/>
        <w:jc w:val="both"/>
        <w:rPr>
          <w:sz w:val="24"/>
          <w:szCs w:val="24"/>
        </w:rPr>
      </w:pPr>
      <w:r>
        <w:rPr>
          <w:sz w:val="24"/>
          <w:szCs w:val="24"/>
        </w:rPr>
        <w:t>Glavna izvozna tržišta,</w:t>
      </w:r>
      <w:r w:rsidRPr="00767977">
        <w:rPr>
          <w:sz w:val="24"/>
          <w:szCs w:val="24"/>
        </w:rPr>
        <w:t xml:space="preserve"> Slovenija i Bosna i Hercegovina bilježe također pozitivne rezultate u srpnju</w:t>
      </w:r>
      <w:r w:rsidR="003D77F7">
        <w:rPr>
          <w:sz w:val="24"/>
          <w:szCs w:val="24"/>
        </w:rPr>
        <w:t>.</w:t>
      </w:r>
    </w:p>
    <w:p w:rsidRDefault="00036492" w:rsidP="005864F9" w:rsidR="00036492" w:rsidRPr="00036492">
      <w:pPr>
        <w:pStyle w:val="Odlomakpopisa"/>
        <w:tabs>
          <w:tab w:pos="1418" w:val="num"/>
        </w:tabs>
        <w:spacing w:lineRule="auto" w:line="276"/>
        <w:ind w:hanging="567" w:left="2127"/>
        <w:jc w:val="both"/>
        <w:rPr>
          <w:sz w:val="24"/>
          <w:szCs w:val="24"/>
        </w:rPr>
      </w:pPr>
    </w:p>
    <w:p w:rsidRDefault="003D77F7" w:rsidP="005864F9" w:rsidR="003E3507">
      <w:pPr>
        <w:pStyle w:val="Odlomakpopisa"/>
        <w:widowControl/>
        <w:numPr>
          <w:ilvl w:val="0"/>
          <w:numId w:val="12"/>
        </w:numPr>
        <w:tabs>
          <w:tab w:pos="720" w:val="clear"/>
          <w:tab w:pos="1418" w:val="num"/>
        </w:tabs>
        <w:autoSpaceDE/>
        <w:autoSpaceDN/>
        <w:spacing w:lineRule="auto" w:line="276" w:after="200"/>
        <w:ind w:hanging="567" w:left="2127"/>
        <w:contextualSpacing/>
        <w:jc w:val="both"/>
        <w:rPr>
          <w:sz w:val="24"/>
          <w:szCs w:val="24"/>
        </w:rPr>
      </w:pPr>
      <w:r>
        <w:rPr>
          <w:sz w:val="24"/>
          <w:szCs w:val="24"/>
        </w:rPr>
        <w:t>Marketinške aktivnosti su</w:t>
      </w:r>
      <w:r w:rsidR="003E3507">
        <w:rPr>
          <w:sz w:val="24"/>
          <w:szCs w:val="24"/>
        </w:rPr>
        <w:t xml:space="preserve"> usmjeren</w:t>
      </w:r>
      <w:r>
        <w:rPr>
          <w:sz w:val="24"/>
          <w:szCs w:val="24"/>
        </w:rPr>
        <w:t>e</w:t>
      </w:r>
      <w:r w:rsidR="003E3507">
        <w:rPr>
          <w:sz w:val="24"/>
          <w:szCs w:val="24"/>
        </w:rPr>
        <w:t xml:space="preserve"> na izrazito sezonske artikle</w:t>
      </w:r>
      <w:r>
        <w:rPr>
          <w:sz w:val="24"/>
          <w:szCs w:val="24"/>
        </w:rPr>
        <w:t xml:space="preserve"> </w:t>
      </w:r>
      <w:r w:rsidR="003E3507">
        <w:rPr>
          <w:sz w:val="24"/>
          <w:szCs w:val="24"/>
        </w:rPr>
        <w:t>- maslinovo ulje</w:t>
      </w:r>
      <w:r>
        <w:rPr>
          <w:sz w:val="24"/>
          <w:szCs w:val="24"/>
        </w:rPr>
        <w:t>.</w:t>
      </w:r>
    </w:p>
    <w:p w:rsidRDefault="006B1516" w:rsidP="001312FE" w:rsidR="006B1516" w:rsidRPr="0050611A">
      <w:pPr>
        <w:rPr>
          <w:sz w:val="12"/>
          <w:szCs w:val="24"/>
        </w:rPr>
      </w:pPr>
      <w:r w:rsidRPr="0050611A">
        <w:rPr>
          <w:sz w:val="12"/>
        </w:rPr>
        <w:br w:type="page"/>
      </w:r>
    </w:p>
    <w:p w:rsidRDefault="008A6252" w:rsidP="001312FE" w:rsidR="008A6252">
      <w:pPr>
        <w:pStyle w:val="Tijeloteksta"/>
        <w:spacing w:before="4"/>
        <w:rPr>
          <w:sz w:val="12"/>
        </w:rPr>
      </w:pPr>
    </w:p>
    <w:p w:rsidRDefault="0012253B" w:rsidP="00062C1C" w:rsidR="008A6252" w:rsidRPr="0012253B">
      <w:pPr>
        <w:tabs>
          <w:tab w:pos="965" w:val="left"/>
        </w:tabs>
        <w:spacing w:before="92"/>
        <w:ind w:left="660"/>
        <w:outlineLvl w:val="1"/>
        <w:rPr>
          <w:b/>
          <w:sz w:val="24"/>
        </w:rPr>
      </w:pPr>
      <w:bookmarkStart w:name="_Toc509931088" w:id="32"/>
      <w:bookmarkStart w:name="_Toc523299361" w:id="33"/>
      <w:r>
        <w:rPr>
          <w:b/>
          <w:spacing w:val="3"/>
          <w:sz w:val="24"/>
        </w:rPr>
        <w:t xml:space="preserve">2.3.8.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3"/>
          <w:sz w:val="24"/>
        </w:rPr>
        <w:t>Dijamant</w:t>
      </w:r>
      <w:r w:rsidR="0065237C" w:rsidRPr="0012253B">
        <w:rPr>
          <w:b/>
          <w:spacing w:val="58"/>
          <w:sz w:val="24"/>
        </w:rPr>
        <w:t xml:space="preserve"> </w:t>
      </w:r>
      <w:r w:rsidR="0065237C" w:rsidRPr="0012253B">
        <w:rPr>
          <w:b/>
          <w:spacing w:val="3"/>
          <w:sz w:val="24"/>
        </w:rPr>
        <w:t>a.d.</w:t>
      </w:r>
      <w:bookmarkEnd w:id="32"/>
      <w:bookmarkEnd w:id="33"/>
    </w:p>
    <w:p w:rsidRDefault="008A6252" w:rsidP="001312FE" w:rsidR="008A6252">
      <w:pPr>
        <w:pStyle w:val="Tijeloteksta"/>
        <w:spacing w:before="10"/>
        <w:rPr>
          <w:b/>
          <w:sz w:val="30"/>
        </w:rPr>
      </w:pPr>
    </w:p>
    <w:p w:rsidRDefault="0012253B" w:rsidP="001312FE" w:rsidR="008A6252" w:rsidRPr="0012253B">
      <w:pPr>
        <w:tabs>
          <w:tab w:pos="1981" w:val="left"/>
          <w:tab w:pos="1982" w:val="left"/>
          <w:tab w:pos="3432" w:val="left"/>
          <w:tab w:pos="4564" w:val="left"/>
          <w:tab w:pos="5070" w:val="left"/>
          <w:tab w:pos="6191" w:val="left"/>
          <w:tab w:pos="7189" w:val="left"/>
          <w:tab w:pos="7467" w:val="left"/>
          <w:tab w:pos="8441" w:val="left"/>
        </w:tabs>
        <w:ind w:left="1134"/>
        <w:rPr>
          <w:b/>
          <w:sz w:val="24"/>
        </w:rPr>
      </w:pPr>
      <w:r>
        <w:rPr>
          <w:b/>
          <w:sz w:val="24"/>
        </w:rPr>
        <w:t>2.3.8.1.</w:t>
      </w:r>
      <w:r w:rsidR="00AB1309">
        <w:rPr>
          <w:b/>
          <w:sz w:val="24"/>
        </w:rPr>
        <w:t xml:space="preserve">Financijski </w:t>
      </w:r>
      <w:r w:rsidR="0065237C" w:rsidRPr="0012253B">
        <w:rPr>
          <w:b/>
          <w:sz w:val="24"/>
        </w:rPr>
        <w:t>rezultati</w:t>
      </w:r>
      <w:r w:rsidR="00AB1309">
        <w:rPr>
          <w:b/>
          <w:sz w:val="24"/>
        </w:rPr>
        <w:t xml:space="preserve"> </w:t>
      </w:r>
      <w:r w:rsidR="0065237C" w:rsidRPr="0012253B">
        <w:rPr>
          <w:b/>
          <w:sz w:val="24"/>
        </w:rPr>
        <w:t>od</w:t>
      </w:r>
      <w:r w:rsidR="0065237C" w:rsidRPr="0012253B">
        <w:rPr>
          <w:b/>
          <w:sz w:val="24"/>
        </w:rPr>
        <w:tab/>
        <w:t>početka</w:t>
      </w:r>
      <w:r w:rsidR="00AB1309">
        <w:rPr>
          <w:b/>
          <w:sz w:val="24"/>
        </w:rPr>
        <w:t xml:space="preserve"> </w:t>
      </w:r>
      <w:r w:rsidR="0065237C" w:rsidRPr="0012253B">
        <w:rPr>
          <w:b/>
          <w:sz w:val="24"/>
        </w:rPr>
        <w:t>godine</w:t>
      </w:r>
      <w:r w:rsidR="00AB1309">
        <w:rPr>
          <w:b/>
          <w:sz w:val="24"/>
        </w:rPr>
        <w:t xml:space="preserve"> </w:t>
      </w:r>
      <w:r w:rsidR="0065237C" w:rsidRPr="0012253B">
        <w:rPr>
          <w:b/>
          <w:sz w:val="24"/>
        </w:rPr>
        <w:t>i</w:t>
      </w:r>
      <w:r w:rsidR="00AB1309">
        <w:rPr>
          <w:b/>
          <w:sz w:val="24"/>
        </w:rPr>
        <w:t xml:space="preserve"> </w:t>
      </w:r>
      <w:r w:rsidR="0065237C" w:rsidRPr="0012253B">
        <w:rPr>
          <w:b/>
          <w:sz w:val="24"/>
        </w:rPr>
        <w:t>ključni</w:t>
      </w:r>
      <w:r w:rsidR="0065237C" w:rsidRPr="0012253B">
        <w:rPr>
          <w:b/>
          <w:sz w:val="24"/>
        </w:rPr>
        <w:tab/>
        <w:t>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before="6"/>
        <w:rPr>
          <w:b/>
          <w:sz w:val="21"/>
        </w:rPr>
      </w:pPr>
    </w:p>
    <w:tbl>
      <w:tblPr>
        <w:tblW w:type="auto" w:w="0"/>
        <w:jc w:val="center"/>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011"/>
        <w:gridCol w:w="2268"/>
        <w:gridCol w:w="2127"/>
      </w:tblGrid>
      <w:tr w:rsidTr="003C02CF" w:rsidR="00107992">
        <w:trPr>
          <w:trHeight w:val="448"/>
          <w:jc w:val="center"/>
        </w:trPr>
        <w:tc>
          <w:tcPr>
            <w:tcW w:type="dxa" w:w="3011"/>
            <w:shd w:fill="C00000" w:color="auto" w:val="clear"/>
          </w:tcPr>
          <w:p w:rsidRDefault="00107992" w:rsidP="001312FE" w:rsidR="00107992">
            <w:pPr>
              <w:pStyle w:val="TableParagraph"/>
              <w:spacing w:before="82"/>
              <w:ind w:left="105"/>
              <w:rPr>
                <w:b/>
                <w:sz w:val="24"/>
              </w:rPr>
            </w:pPr>
            <w:r>
              <w:rPr>
                <w:b/>
                <w:color w:val="FFFFFF"/>
                <w:sz w:val="24"/>
              </w:rPr>
              <w:t>Financijski rezultati*</w:t>
            </w:r>
          </w:p>
        </w:tc>
        <w:tc>
          <w:tcPr>
            <w:tcW w:type="dxa" w:w="2268"/>
            <w:shd w:fill="C00000" w:color="auto" w:val="clear"/>
          </w:tcPr>
          <w:p w:rsidRDefault="006C1F86" w:rsidP="001312FE" w:rsidR="00F3510C">
            <w:pPr>
              <w:pStyle w:val="TableParagraph"/>
              <w:spacing w:before="82"/>
              <w:ind w:left="362"/>
              <w:jc w:val="center"/>
              <w:rPr>
                <w:b/>
                <w:color w:val="FFFFFF"/>
                <w:sz w:val="24"/>
              </w:rPr>
            </w:pPr>
            <w:r>
              <w:rPr>
                <w:b/>
                <w:color w:val="FFFFFF"/>
                <w:sz w:val="24"/>
              </w:rPr>
              <w:t>I.-</w:t>
            </w:r>
            <w:r w:rsidR="00CD1B87">
              <w:rPr>
                <w:b/>
                <w:color w:val="FFFFFF"/>
                <w:sz w:val="24"/>
              </w:rPr>
              <w:t>V</w:t>
            </w:r>
            <w:r w:rsidR="006B61B2">
              <w:rPr>
                <w:b/>
                <w:color w:val="FFFFFF"/>
                <w:sz w:val="24"/>
              </w:rPr>
              <w:t>I</w:t>
            </w:r>
            <w:r w:rsidR="006B1516">
              <w:rPr>
                <w:b/>
                <w:color w:val="FFFFFF"/>
                <w:sz w:val="24"/>
              </w:rPr>
              <w:t>I</w:t>
            </w:r>
            <w:r w:rsidR="00107992">
              <w:rPr>
                <w:b/>
                <w:color w:val="FFFFFF"/>
                <w:sz w:val="24"/>
              </w:rPr>
              <w:t xml:space="preserve">. 2018.   </w:t>
            </w:r>
          </w:p>
          <w:p w:rsidRDefault="003C02CF" w:rsidP="003C02CF" w:rsidR="00107992">
            <w:pPr>
              <w:pStyle w:val="TableParagraph"/>
              <w:spacing w:before="82"/>
              <w:ind w:left="362"/>
              <w:rPr>
                <w:b/>
                <w:sz w:val="24"/>
              </w:rPr>
            </w:pPr>
            <w:r>
              <w:rPr>
                <w:b/>
                <w:color w:val="FFFFFF"/>
                <w:sz w:val="24"/>
              </w:rPr>
              <w:t xml:space="preserve">     </w:t>
            </w:r>
            <w:r w:rsidR="00107992">
              <w:rPr>
                <w:b/>
                <w:color w:val="FFFFFF"/>
                <w:sz w:val="24"/>
              </w:rPr>
              <w:t>(mil. HRK)</w:t>
            </w:r>
          </w:p>
        </w:tc>
        <w:tc>
          <w:tcPr>
            <w:tcW w:type="dxa" w:w="2127"/>
            <w:shd w:fill="C00000" w:color="auto" w:val="clear"/>
          </w:tcPr>
          <w:p w:rsidRDefault="00107992" w:rsidP="001312FE" w:rsidR="00F3510C">
            <w:pPr>
              <w:pStyle w:val="TableParagraph"/>
              <w:spacing w:before="82"/>
              <w:ind w:left="362"/>
              <w:jc w:val="center"/>
              <w:rPr>
                <w:b/>
                <w:color w:val="FFFFFF"/>
                <w:sz w:val="24"/>
              </w:rPr>
            </w:pPr>
            <w:r>
              <w:rPr>
                <w:b/>
                <w:color w:val="FFFFFF"/>
                <w:sz w:val="24"/>
              </w:rPr>
              <w:t xml:space="preserve">Plan </w:t>
            </w:r>
            <w:r w:rsidRPr="00107992">
              <w:rPr>
                <w:b/>
                <w:color w:val="FFFFFF"/>
                <w:sz w:val="24"/>
              </w:rPr>
              <w:t xml:space="preserve">2018. </w:t>
            </w:r>
          </w:p>
          <w:p w:rsidRDefault="00107992" w:rsidP="001312FE" w:rsidR="00107992">
            <w:pPr>
              <w:pStyle w:val="TableParagraph"/>
              <w:spacing w:before="82"/>
              <w:ind w:left="362"/>
              <w:rPr>
                <w:b/>
                <w:color w:val="FFFFFF"/>
                <w:sz w:val="24"/>
              </w:rPr>
            </w:pPr>
            <w:r w:rsidRPr="00107992">
              <w:rPr>
                <w:b/>
                <w:color w:val="FFFFFF"/>
                <w:sz w:val="24"/>
              </w:rPr>
              <w:t>(mil. HRK)</w:t>
            </w:r>
          </w:p>
        </w:tc>
      </w:tr>
      <w:tr w:rsidTr="003C02CF"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Prihod</w:t>
            </w:r>
          </w:p>
        </w:tc>
        <w:tc>
          <w:tcPr>
            <w:tcW w:type="dxa" w:w="2268"/>
          </w:tcPr>
          <w:p w:rsidRDefault="003A0D53" w:rsidP="001312FE" w:rsidR="00107992">
            <w:pPr>
              <w:pStyle w:val="TableParagraph"/>
              <w:spacing w:lineRule="exact" w:line="256"/>
              <w:ind w:left="362"/>
              <w:jc w:val="center"/>
              <w:rPr>
                <w:sz w:val="24"/>
              </w:rPr>
            </w:pPr>
            <w:r>
              <w:rPr>
                <w:sz w:val="24"/>
              </w:rPr>
              <w:t>401</w:t>
            </w:r>
          </w:p>
        </w:tc>
        <w:tc>
          <w:tcPr>
            <w:tcW w:type="dxa" w:w="2127"/>
          </w:tcPr>
          <w:p w:rsidRDefault="003A0D53" w:rsidP="001312FE" w:rsidR="00107992">
            <w:pPr>
              <w:pStyle w:val="TableParagraph"/>
              <w:spacing w:lineRule="exact" w:line="256"/>
              <w:ind w:left="362"/>
              <w:jc w:val="center"/>
              <w:rPr>
                <w:sz w:val="24"/>
              </w:rPr>
            </w:pPr>
            <w:r>
              <w:rPr>
                <w:sz w:val="24"/>
              </w:rPr>
              <w:t>477</w:t>
            </w:r>
          </w:p>
        </w:tc>
      </w:tr>
      <w:tr w:rsidTr="003C02CF"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w:t>
            </w:r>
          </w:p>
        </w:tc>
        <w:tc>
          <w:tcPr>
            <w:tcW w:type="dxa" w:w="2268"/>
          </w:tcPr>
          <w:p w:rsidRDefault="003A0D53" w:rsidP="001312FE" w:rsidR="00107992">
            <w:pPr>
              <w:pStyle w:val="TableParagraph"/>
              <w:spacing w:lineRule="exact" w:line="256"/>
              <w:ind w:left="362"/>
              <w:jc w:val="center"/>
              <w:rPr>
                <w:sz w:val="24"/>
              </w:rPr>
            </w:pPr>
            <w:r>
              <w:rPr>
                <w:sz w:val="24"/>
              </w:rPr>
              <w:t>12,8</w:t>
            </w:r>
          </w:p>
        </w:tc>
        <w:tc>
          <w:tcPr>
            <w:tcW w:type="dxa" w:w="2127"/>
          </w:tcPr>
          <w:p w:rsidRDefault="003A0D53" w:rsidP="001312FE" w:rsidR="00107992">
            <w:pPr>
              <w:pStyle w:val="TableParagraph"/>
              <w:spacing w:lineRule="exact" w:line="256"/>
              <w:ind w:left="362"/>
              <w:jc w:val="center"/>
              <w:rPr>
                <w:sz w:val="24"/>
              </w:rPr>
            </w:pPr>
            <w:r>
              <w:rPr>
                <w:sz w:val="24"/>
              </w:rPr>
              <w:t>22,4</w:t>
            </w:r>
          </w:p>
        </w:tc>
      </w:tr>
      <w:tr w:rsidTr="003C02CF" w:rsidR="00107992">
        <w:trPr>
          <w:trHeight w:val="275"/>
          <w:jc w:val="center"/>
        </w:trPr>
        <w:tc>
          <w:tcPr>
            <w:tcW w:type="dxa" w:w="3011"/>
          </w:tcPr>
          <w:p w:rsidRDefault="00107992" w:rsidP="001312FE" w:rsidR="00107992">
            <w:pPr>
              <w:pStyle w:val="TableParagraph"/>
              <w:spacing w:lineRule="exact" w:line="256"/>
              <w:ind w:left="105"/>
              <w:rPr>
                <w:sz w:val="24"/>
              </w:rPr>
            </w:pPr>
            <w:r>
              <w:rPr>
                <w:sz w:val="24"/>
              </w:rPr>
              <w:t>EBITDA %</w:t>
            </w:r>
          </w:p>
        </w:tc>
        <w:tc>
          <w:tcPr>
            <w:tcW w:type="dxa" w:w="2268"/>
          </w:tcPr>
          <w:p w:rsidRDefault="003A0D53" w:rsidP="001312FE" w:rsidR="00107992">
            <w:pPr>
              <w:pStyle w:val="TableParagraph"/>
              <w:spacing w:lineRule="exact" w:line="256"/>
              <w:ind w:left="361"/>
              <w:jc w:val="center"/>
              <w:rPr>
                <w:sz w:val="24"/>
              </w:rPr>
            </w:pPr>
            <w:r>
              <w:rPr>
                <w:sz w:val="24"/>
              </w:rPr>
              <w:t>3,2%</w:t>
            </w:r>
          </w:p>
        </w:tc>
        <w:tc>
          <w:tcPr>
            <w:tcW w:type="dxa" w:w="2127"/>
          </w:tcPr>
          <w:p w:rsidRDefault="003A0D53" w:rsidP="001312FE" w:rsidR="00107992">
            <w:pPr>
              <w:pStyle w:val="TableParagraph"/>
              <w:spacing w:lineRule="exact" w:line="256"/>
              <w:ind w:left="361"/>
              <w:jc w:val="center"/>
              <w:rPr>
                <w:sz w:val="24"/>
              </w:rPr>
            </w:pPr>
            <w:r>
              <w:rPr>
                <w:sz w:val="24"/>
              </w:rPr>
              <w:t>4,7%</w:t>
            </w:r>
          </w:p>
        </w:tc>
      </w:tr>
    </w:tbl>
    <w:p w:rsidRDefault="008C5D3B" w:rsidP="001312FE" w:rsidR="008A6252">
      <w:pPr>
        <w:ind w:left="966"/>
        <w:rPr>
          <w:b/>
          <w:i/>
        </w:rPr>
      </w:pPr>
      <w:r>
        <w:rPr>
          <w:b/>
          <w:i/>
          <w:sz w:val="20"/>
        </w:rPr>
        <w:t xml:space="preserve">    </w:t>
      </w:r>
      <w:r w:rsidR="0065237C">
        <w:rPr>
          <w:b/>
          <w:i/>
          <w:sz w:val="20"/>
        </w:rPr>
        <w:t xml:space="preserve">*NAPOMENA: </w:t>
      </w:r>
      <w:r w:rsidR="00C24214">
        <w:rPr>
          <w:b/>
          <w:i/>
          <w:sz w:val="20"/>
        </w:rPr>
        <w:t xml:space="preserve">Preliminirani </w:t>
      </w:r>
      <w:r w:rsidR="0065237C">
        <w:rPr>
          <w:b/>
          <w:i/>
          <w:sz w:val="20"/>
        </w:rPr>
        <w:t xml:space="preserve"> rezultati</w:t>
      </w:r>
      <w:r w:rsidR="00C24214">
        <w:rPr>
          <w:b/>
          <w:i/>
        </w:rPr>
        <w:t xml:space="preserve"> </w:t>
      </w:r>
    </w:p>
    <w:p w:rsidRDefault="008A6252" w:rsidP="001312FE" w:rsidR="008A6252">
      <w:pPr>
        <w:pStyle w:val="Tijeloteksta"/>
        <w:spacing w:before="9"/>
        <w:rPr>
          <w:b/>
          <w:i/>
          <w:sz w:val="19"/>
        </w:rPr>
      </w:pPr>
    </w:p>
    <w:p w:rsidRDefault="00091438" w:rsidP="001312FE" w:rsidR="00091438">
      <w:pPr>
        <w:pStyle w:val="Tijeloteksta"/>
        <w:spacing w:before="9"/>
        <w:rPr>
          <w:b/>
          <w:i/>
          <w:sz w:val="19"/>
        </w:rPr>
      </w:pPr>
    </w:p>
    <w:p w:rsidRDefault="00091438" w:rsidP="001312FE" w:rsidR="00091438">
      <w:pPr>
        <w:pStyle w:val="Tijeloteksta"/>
        <w:spacing w:before="9"/>
        <w:rPr>
          <w:b/>
          <w:i/>
          <w:sz w:val="19"/>
        </w:rPr>
      </w:pPr>
    </w:p>
    <w:p w:rsidRDefault="0012253B" w:rsidP="001312FE" w:rsidR="008A6252" w:rsidRPr="0012253B">
      <w:pPr>
        <w:tabs>
          <w:tab w:pos="1836" w:val="left"/>
        </w:tabs>
        <w:spacing w:before="1"/>
        <w:ind w:left="1134"/>
        <w:rPr>
          <w:b/>
          <w:sz w:val="24"/>
        </w:rPr>
      </w:pPr>
      <w:r>
        <w:rPr>
          <w:b/>
          <w:sz w:val="24"/>
        </w:rPr>
        <w:t xml:space="preserve">2.3.8.2.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4E2F8F" w:rsidP="001312FE" w:rsidR="004E2F8F">
      <w:pPr>
        <w:tabs>
          <w:tab w:pos="1836" w:val="left"/>
        </w:tabs>
        <w:spacing w:before="1"/>
        <w:ind w:left="966"/>
        <w:rPr>
          <w:b/>
          <w:sz w:val="24"/>
        </w:rPr>
      </w:pPr>
    </w:p>
    <w:p w:rsidRDefault="003E3507" w:rsidP="009B28A5" w:rsidR="003D77F7">
      <w:pPr>
        <w:pStyle w:val="Odlomakpopisa"/>
        <w:numPr>
          <w:ilvl w:val="0"/>
          <w:numId w:val="32"/>
        </w:numPr>
        <w:spacing w:lineRule="auto" w:line="276"/>
        <w:ind w:hanging="567" w:left="2127"/>
        <w:jc w:val="both"/>
        <w:rPr>
          <w:sz w:val="24"/>
          <w:szCs w:val="24"/>
        </w:rPr>
      </w:pPr>
      <w:r w:rsidRPr="003E3507">
        <w:rPr>
          <w:sz w:val="24"/>
          <w:szCs w:val="24"/>
        </w:rPr>
        <w:t xml:space="preserve">Ostvareni prihodi </w:t>
      </w:r>
      <w:r w:rsidR="003D77F7">
        <w:rPr>
          <w:sz w:val="24"/>
          <w:szCs w:val="24"/>
        </w:rPr>
        <w:t>od prodaje u srpnju</w:t>
      </w:r>
      <w:r w:rsidRPr="003E3507">
        <w:rPr>
          <w:sz w:val="24"/>
          <w:szCs w:val="24"/>
        </w:rPr>
        <w:t xml:space="preserve"> su značajno v</w:t>
      </w:r>
      <w:r w:rsidR="00045ECF">
        <w:rPr>
          <w:sz w:val="24"/>
          <w:szCs w:val="24"/>
        </w:rPr>
        <w:t>iši</w:t>
      </w:r>
      <w:r w:rsidRPr="003E3507">
        <w:rPr>
          <w:sz w:val="24"/>
          <w:szCs w:val="24"/>
        </w:rPr>
        <w:t xml:space="preserve"> od planiranih gotovo na svim kategorijama proizvoda:</w:t>
      </w:r>
      <w:r w:rsidR="00166CD4">
        <w:rPr>
          <w:sz w:val="24"/>
          <w:szCs w:val="24"/>
        </w:rPr>
        <w:t xml:space="preserve"> ulja,</w:t>
      </w:r>
      <w:r w:rsidRPr="003E3507">
        <w:rPr>
          <w:sz w:val="24"/>
          <w:szCs w:val="24"/>
        </w:rPr>
        <w:t xml:space="preserve"> </w:t>
      </w:r>
      <w:r w:rsidR="003D77F7">
        <w:rPr>
          <w:sz w:val="24"/>
          <w:szCs w:val="24"/>
        </w:rPr>
        <w:t>margarini, majoneze, preljevi i trgovačka roba.</w:t>
      </w:r>
    </w:p>
    <w:p w:rsidRDefault="00036492" w:rsidP="009B28A5" w:rsidR="00036492">
      <w:pPr>
        <w:pStyle w:val="Odlomakpopisa"/>
        <w:spacing w:lineRule="auto" w:line="276"/>
        <w:ind w:hanging="567" w:left="2127"/>
        <w:jc w:val="both"/>
        <w:rPr>
          <w:sz w:val="24"/>
          <w:szCs w:val="24"/>
        </w:rPr>
      </w:pPr>
    </w:p>
    <w:p w:rsidRDefault="003D77F7" w:rsidP="009B28A5" w:rsidR="003E3507">
      <w:pPr>
        <w:pStyle w:val="Odlomakpopisa"/>
        <w:numPr>
          <w:ilvl w:val="0"/>
          <w:numId w:val="32"/>
        </w:numPr>
        <w:spacing w:lineRule="auto" w:line="276"/>
        <w:ind w:hanging="567" w:left="2127"/>
        <w:jc w:val="both"/>
        <w:rPr>
          <w:sz w:val="24"/>
          <w:szCs w:val="24"/>
        </w:rPr>
      </w:pPr>
      <w:r>
        <w:rPr>
          <w:sz w:val="24"/>
          <w:szCs w:val="24"/>
        </w:rPr>
        <w:t xml:space="preserve">Pozitivan utjecaj na rast prihoda imao </w:t>
      </w:r>
      <w:r w:rsidR="00031E7C">
        <w:rPr>
          <w:sz w:val="24"/>
          <w:szCs w:val="24"/>
        </w:rPr>
        <w:t xml:space="preserve">je </w:t>
      </w:r>
      <w:r>
        <w:rPr>
          <w:sz w:val="24"/>
          <w:szCs w:val="24"/>
        </w:rPr>
        <w:t>i izvoz</w:t>
      </w:r>
      <w:r w:rsidR="003E3507" w:rsidRPr="003E3507">
        <w:rPr>
          <w:sz w:val="24"/>
          <w:szCs w:val="24"/>
        </w:rPr>
        <w:t xml:space="preserve"> </w:t>
      </w:r>
      <w:r>
        <w:rPr>
          <w:sz w:val="24"/>
          <w:szCs w:val="24"/>
        </w:rPr>
        <w:t>ulja na nova tr</w:t>
      </w:r>
      <w:r w:rsidR="00C37E3B">
        <w:rPr>
          <w:sz w:val="24"/>
          <w:szCs w:val="24"/>
        </w:rPr>
        <w:t>ž</w:t>
      </w:r>
      <w:r>
        <w:rPr>
          <w:sz w:val="24"/>
          <w:szCs w:val="24"/>
        </w:rPr>
        <w:t>i</w:t>
      </w:r>
      <w:r w:rsidR="00C37E3B">
        <w:rPr>
          <w:sz w:val="24"/>
          <w:szCs w:val="24"/>
        </w:rPr>
        <w:t>š</w:t>
      </w:r>
      <w:r>
        <w:rPr>
          <w:sz w:val="24"/>
          <w:szCs w:val="24"/>
        </w:rPr>
        <w:t xml:space="preserve">ta </w:t>
      </w:r>
      <w:r w:rsidR="00E50495">
        <w:rPr>
          <w:sz w:val="24"/>
          <w:szCs w:val="24"/>
        </w:rPr>
        <w:t>izvan Adri</w:t>
      </w:r>
      <w:r w:rsidR="00384CBA">
        <w:rPr>
          <w:sz w:val="24"/>
          <w:szCs w:val="24"/>
        </w:rPr>
        <w:t>a regije</w:t>
      </w:r>
      <w:r>
        <w:rPr>
          <w:sz w:val="24"/>
          <w:szCs w:val="24"/>
        </w:rPr>
        <w:t xml:space="preserve">, </w:t>
      </w:r>
      <w:r w:rsidR="00031E7C">
        <w:rPr>
          <w:sz w:val="24"/>
          <w:szCs w:val="24"/>
        </w:rPr>
        <w:t>rast volumena</w:t>
      </w:r>
      <w:r w:rsidR="003E3507" w:rsidRPr="003E3507">
        <w:rPr>
          <w:sz w:val="24"/>
          <w:szCs w:val="24"/>
        </w:rPr>
        <w:t xml:space="preserve"> skoro s</w:t>
      </w:r>
      <w:r w:rsidR="00031E7C">
        <w:rPr>
          <w:sz w:val="24"/>
          <w:szCs w:val="24"/>
        </w:rPr>
        <w:t>vih proizvodnih kate</w:t>
      </w:r>
      <w:r w:rsidR="00C37E3B">
        <w:rPr>
          <w:sz w:val="24"/>
          <w:szCs w:val="24"/>
        </w:rPr>
        <w:t>g</w:t>
      </w:r>
      <w:r w:rsidR="00031E7C">
        <w:rPr>
          <w:sz w:val="24"/>
          <w:szCs w:val="24"/>
        </w:rPr>
        <w:t>orija, kao i prodaja</w:t>
      </w:r>
      <w:r w:rsidR="003E3507" w:rsidRPr="003E3507">
        <w:rPr>
          <w:sz w:val="24"/>
          <w:szCs w:val="24"/>
        </w:rPr>
        <w:t xml:space="preserve"> sojine sačme.</w:t>
      </w:r>
    </w:p>
    <w:p w:rsidRDefault="00036492" w:rsidP="009B28A5" w:rsidR="00036492" w:rsidRPr="00036492">
      <w:pPr>
        <w:pStyle w:val="Odlomakpopisa"/>
        <w:spacing w:lineRule="auto" w:line="276"/>
        <w:ind w:hanging="567" w:left="2127"/>
        <w:jc w:val="both"/>
        <w:rPr>
          <w:sz w:val="24"/>
          <w:szCs w:val="24"/>
        </w:rPr>
      </w:pPr>
    </w:p>
    <w:p w:rsidRDefault="00946D11" w:rsidP="009B28A5" w:rsidR="00946D11">
      <w:pPr>
        <w:pStyle w:val="Odlomakpopisa"/>
        <w:numPr>
          <w:ilvl w:val="0"/>
          <w:numId w:val="32"/>
        </w:numPr>
        <w:spacing w:lineRule="auto" w:line="276"/>
        <w:ind w:hanging="567" w:left="2127"/>
        <w:jc w:val="both"/>
        <w:rPr>
          <w:sz w:val="24"/>
          <w:szCs w:val="24"/>
        </w:rPr>
      </w:pPr>
      <w:r>
        <w:rPr>
          <w:sz w:val="24"/>
          <w:szCs w:val="24"/>
        </w:rPr>
        <w:t>Zbog remonta tvornice u srpnju, koji je negativno utjecao na fiksne troškove, ostvarena mjesečna EBITDA je ispod plana.</w:t>
      </w:r>
    </w:p>
    <w:p w:rsidRDefault="006B61B2" w:rsidP="001312FE" w:rsidR="006B61B2" w:rsidRPr="003D77F7">
      <w:pPr>
        <w:pStyle w:val="Odlomakpopisa"/>
        <w:numPr>
          <w:ilvl w:val="0"/>
          <w:numId w:val="32"/>
        </w:numPr>
        <w:ind w:firstLine="0"/>
        <w:jc w:val="both"/>
        <w:rPr>
          <w:sz w:val="24"/>
          <w:szCs w:val="24"/>
        </w:rPr>
      </w:pPr>
      <w:r w:rsidRPr="003D77F7">
        <w:rPr>
          <w:sz w:val="12"/>
        </w:rPr>
        <w:br w:type="page"/>
      </w:r>
    </w:p>
    <w:p w:rsidRDefault="008A6252" w:rsidP="001312FE" w:rsidR="008A6252">
      <w:pPr>
        <w:pStyle w:val="Tijeloteksta"/>
        <w:spacing w:before="4"/>
        <w:rPr>
          <w:sz w:val="12"/>
        </w:rPr>
      </w:pPr>
    </w:p>
    <w:p w:rsidRDefault="0012253B" w:rsidP="00062C1C" w:rsidR="008A6252" w:rsidRPr="0012253B">
      <w:pPr>
        <w:tabs>
          <w:tab w:pos="965" w:val="left"/>
        </w:tabs>
        <w:spacing w:before="92"/>
        <w:ind w:left="660"/>
        <w:outlineLvl w:val="1"/>
        <w:rPr>
          <w:b/>
          <w:sz w:val="24"/>
        </w:rPr>
      </w:pPr>
      <w:bookmarkStart w:name="_Toc509931089" w:id="34"/>
      <w:bookmarkStart w:name="_Toc523299362" w:id="35"/>
      <w:r>
        <w:rPr>
          <w:b/>
          <w:spacing w:val="3"/>
          <w:sz w:val="24"/>
        </w:rPr>
        <w:t xml:space="preserve">2.3.9. </w:t>
      </w:r>
      <w:r w:rsidR="0065237C" w:rsidRPr="0012253B">
        <w:rPr>
          <w:b/>
          <w:spacing w:val="3"/>
          <w:sz w:val="24"/>
        </w:rPr>
        <w:t xml:space="preserve">Kompanije </w:t>
      </w:r>
      <w:r w:rsidR="0065237C" w:rsidRPr="0012253B">
        <w:rPr>
          <w:b/>
          <w:sz w:val="24"/>
        </w:rPr>
        <w:t xml:space="preserve">u </w:t>
      </w:r>
      <w:r w:rsidR="0065237C" w:rsidRPr="0012253B">
        <w:rPr>
          <w:b/>
          <w:spacing w:val="3"/>
          <w:sz w:val="24"/>
        </w:rPr>
        <w:t xml:space="preserve">poslovnoj grupi </w:t>
      </w:r>
      <w:r w:rsidR="0065237C" w:rsidRPr="0012253B">
        <w:rPr>
          <w:b/>
          <w:spacing w:val="4"/>
          <w:sz w:val="24"/>
        </w:rPr>
        <w:t xml:space="preserve">Prehrana: </w:t>
      </w:r>
      <w:r w:rsidR="0065237C" w:rsidRPr="0012253B">
        <w:rPr>
          <w:b/>
          <w:spacing w:val="2"/>
          <w:sz w:val="24"/>
        </w:rPr>
        <w:t xml:space="preserve">PIK </w:t>
      </w:r>
      <w:r w:rsidR="0065237C" w:rsidRPr="0012253B">
        <w:rPr>
          <w:b/>
          <w:spacing w:val="3"/>
          <w:sz w:val="24"/>
        </w:rPr>
        <w:t>Vrbovec</w:t>
      </w:r>
      <w:r w:rsidR="0065237C" w:rsidRPr="0012253B">
        <w:rPr>
          <w:b/>
          <w:spacing w:val="54"/>
          <w:sz w:val="24"/>
        </w:rPr>
        <w:t xml:space="preserve"> </w:t>
      </w:r>
      <w:r w:rsidR="0065237C" w:rsidRPr="0012253B">
        <w:rPr>
          <w:b/>
          <w:spacing w:val="3"/>
          <w:sz w:val="24"/>
        </w:rPr>
        <w:t>d.d.</w:t>
      </w:r>
      <w:bookmarkEnd w:id="34"/>
      <w:bookmarkEnd w:id="35"/>
    </w:p>
    <w:p w:rsidRDefault="008A6252" w:rsidP="001312FE" w:rsidR="008A6252">
      <w:pPr>
        <w:pStyle w:val="Tijeloteksta"/>
        <w:spacing w:before="7"/>
        <w:rPr>
          <w:b/>
          <w:sz w:val="34"/>
        </w:rPr>
      </w:pPr>
    </w:p>
    <w:p w:rsidRDefault="0012253B" w:rsidP="001312FE" w:rsidR="008A6252" w:rsidRPr="0012253B">
      <w:pPr>
        <w:tabs>
          <w:tab w:pos="1966" w:val="left"/>
        </w:tabs>
        <w:spacing w:lineRule="auto" w:line="276" w:before="1"/>
        <w:ind w:left="1134"/>
        <w:rPr>
          <w:b/>
          <w:sz w:val="24"/>
        </w:rPr>
      </w:pPr>
      <w:r>
        <w:rPr>
          <w:b/>
          <w:sz w:val="24"/>
        </w:rPr>
        <w:t xml:space="preserve">2.3.9.1. </w:t>
      </w:r>
      <w:r w:rsidR="0065237C" w:rsidRPr="0012253B">
        <w:rPr>
          <w:b/>
          <w:sz w:val="24"/>
        </w:rPr>
        <w:t>Financijski rezultati od početka godine i ključni financijski pokazatelji</w:t>
      </w:r>
      <w:r w:rsidR="0065237C" w:rsidRPr="0012253B">
        <w:rPr>
          <w:b/>
          <w:spacing w:val="-1"/>
          <w:sz w:val="24"/>
        </w:rPr>
        <w:t xml:space="preserve"> </w:t>
      </w:r>
      <w:r w:rsidR="0065237C" w:rsidRPr="0012253B">
        <w:rPr>
          <w:b/>
          <w:sz w:val="24"/>
        </w:rPr>
        <w:t>učinka</w:t>
      </w:r>
    </w:p>
    <w:p w:rsidRDefault="008A6252" w:rsidP="001312FE" w:rsidR="008A6252">
      <w:pPr>
        <w:pStyle w:val="Tijeloteksta"/>
        <w:spacing w:after="1" w:before="6"/>
        <w:rPr>
          <w:b/>
          <w:sz w:val="17"/>
        </w:rPr>
      </w:pPr>
    </w:p>
    <w:tbl>
      <w:tblPr>
        <w:tblW w:type="auto" w:w="0"/>
        <w:tblInd w:type="dxa" w:w="1139"/>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61"/>
        <w:gridCol w:w="2126"/>
        <w:gridCol w:w="2126"/>
      </w:tblGrid>
      <w:tr w:rsidTr="003C02CF" w:rsidR="006F0E7D">
        <w:trPr>
          <w:trHeight w:val="664"/>
        </w:trPr>
        <w:tc>
          <w:tcPr>
            <w:tcW w:type="dxa" w:w="3261"/>
            <w:shd w:fill="C00000" w:color="auto" w:val="clear"/>
            <w:vAlign w:val="center"/>
          </w:tcPr>
          <w:p w:rsidRDefault="006F0E7D" w:rsidP="003C02CF" w:rsidR="006F0E7D">
            <w:pPr>
              <w:pStyle w:val="TableParagraph"/>
              <w:spacing w:before="79"/>
              <w:ind w:left="105"/>
              <w:rPr>
                <w:b/>
                <w:sz w:val="24"/>
              </w:rPr>
            </w:pPr>
            <w:r>
              <w:rPr>
                <w:b/>
                <w:color w:val="FFFFFF"/>
                <w:sz w:val="24"/>
              </w:rPr>
              <w:t>Financijski rezultati*</w:t>
            </w:r>
          </w:p>
        </w:tc>
        <w:tc>
          <w:tcPr>
            <w:tcW w:type="dxa" w:w="2126"/>
            <w:shd w:fill="C00000" w:color="auto" w:val="clear"/>
            <w:vAlign w:val="center"/>
          </w:tcPr>
          <w:p w:rsidRDefault="006C1F86" w:rsidP="003C02CF" w:rsidR="00F3510C">
            <w:pPr>
              <w:pStyle w:val="TableParagraph"/>
              <w:spacing w:before="79"/>
              <w:jc w:val="center"/>
              <w:rPr>
                <w:b/>
                <w:color w:val="FFFFFF"/>
                <w:sz w:val="24"/>
              </w:rPr>
            </w:pPr>
            <w:r>
              <w:rPr>
                <w:b/>
                <w:color w:val="FFFFFF"/>
                <w:sz w:val="24"/>
              </w:rPr>
              <w:t>I.-</w:t>
            </w:r>
            <w:r w:rsidR="00CD1B87">
              <w:rPr>
                <w:b/>
                <w:color w:val="FFFFFF"/>
                <w:sz w:val="24"/>
              </w:rPr>
              <w:t>V</w:t>
            </w:r>
            <w:r w:rsidR="006B1516">
              <w:rPr>
                <w:b/>
                <w:color w:val="FFFFFF"/>
                <w:sz w:val="24"/>
              </w:rPr>
              <w:t>I</w:t>
            </w:r>
            <w:r w:rsidR="006B61B2">
              <w:rPr>
                <w:b/>
                <w:color w:val="FFFFFF"/>
                <w:sz w:val="24"/>
              </w:rPr>
              <w:t>I</w:t>
            </w:r>
            <w:r>
              <w:rPr>
                <w:b/>
                <w:color w:val="FFFFFF"/>
                <w:sz w:val="24"/>
              </w:rPr>
              <w:t>.</w:t>
            </w:r>
            <w:r w:rsidR="006F0E7D">
              <w:rPr>
                <w:b/>
                <w:color w:val="FFFFFF"/>
                <w:sz w:val="24"/>
              </w:rPr>
              <w:t xml:space="preserve"> 2018.</w:t>
            </w:r>
          </w:p>
          <w:p w:rsidRDefault="006F0E7D" w:rsidP="003C02CF" w:rsidR="006F0E7D">
            <w:pPr>
              <w:pStyle w:val="TableParagraph"/>
              <w:spacing w:before="79"/>
              <w:jc w:val="center"/>
              <w:rPr>
                <w:b/>
                <w:sz w:val="24"/>
              </w:rPr>
            </w:pPr>
            <w:r>
              <w:rPr>
                <w:b/>
                <w:color w:val="FFFFFF"/>
                <w:sz w:val="24"/>
              </w:rPr>
              <w:t>(mil. HRK)</w:t>
            </w:r>
          </w:p>
        </w:tc>
        <w:tc>
          <w:tcPr>
            <w:tcW w:type="dxa" w:w="2126"/>
            <w:shd w:fill="C00000" w:color="auto" w:val="clear"/>
            <w:vAlign w:val="center"/>
          </w:tcPr>
          <w:p w:rsidRDefault="006F0E7D" w:rsidP="003C02CF" w:rsidR="00F3510C">
            <w:pPr>
              <w:pStyle w:val="TableParagraph"/>
              <w:spacing w:before="79"/>
              <w:jc w:val="center"/>
              <w:rPr>
                <w:b/>
                <w:color w:val="FFFFFF"/>
                <w:sz w:val="24"/>
              </w:rPr>
            </w:pPr>
            <w:r>
              <w:rPr>
                <w:b/>
                <w:color w:val="FFFFFF"/>
                <w:sz w:val="24"/>
              </w:rPr>
              <w:t>Plan 2018.</w:t>
            </w:r>
          </w:p>
          <w:p w:rsidRDefault="006F0E7D" w:rsidP="003C02CF" w:rsidR="006F0E7D">
            <w:pPr>
              <w:pStyle w:val="TableParagraph"/>
              <w:spacing w:before="79"/>
              <w:jc w:val="center"/>
              <w:rPr>
                <w:b/>
                <w:color w:val="FFFFFF"/>
                <w:sz w:val="24"/>
              </w:rPr>
            </w:pPr>
            <w:r w:rsidRPr="006F0E7D">
              <w:rPr>
                <w:b/>
                <w:color w:val="FFFFFF"/>
                <w:sz w:val="24"/>
              </w:rPr>
              <w:t>(mil. HRK)</w:t>
            </w:r>
          </w:p>
        </w:tc>
      </w:tr>
      <w:tr w:rsidTr="003C02CF" w:rsidR="006F0E7D">
        <w:trPr>
          <w:trHeight w:val="363"/>
        </w:trPr>
        <w:tc>
          <w:tcPr>
            <w:tcW w:type="dxa" w:w="3261"/>
            <w:vAlign w:val="center"/>
          </w:tcPr>
          <w:p w:rsidRDefault="006F0E7D" w:rsidP="003C02CF" w:rsidR="006F0E7D">
            <w:pPr>
              <w:pStyle w:val="TableParagraph"/>
              <w:spacing w:lineRule="exact" w:line="256"/>
              <w:ind w:left="105"/>
              <w:rPr>
                <w:sz w:val="24"/>
              </w:rPr>
            </w:pPr>
            <w:r>
              <w:rPr>
                <w:sz w:val="24"/>
              </w:rPr>
              <w:t>Prihod</w:t>
            </w:r>
          </w:p>
        </w:tc>
        <w:tc>
          <w:tcPr>
            <w:tcW w:type="dxa" w:w="2126"/>
            <w:vAlign w:val="center"/>
          </w:tcPr>
          <w:p w:rsidRDefault="003A0D53" w:rsidP="003C02CF" w:rsidR="006F0E7D">
            <w:pPr>
              <w:pStyle w:val="TableParagraph"/>
              <w:spacing w:lineRule="exact" w:line="256"/>
              <w:ind w:left="361"/>
              <w:jc w:val="center"/>
              <w:rPr>
                <w:sz w:val="24"/>
              </w:rPr>
            </w:pPr>
            <w:r>
              <w:rPr>
                <w:sz w:val="24"/>
              </w:rPr>
              <w:t>968</w:t>
            </w:r>
          </w:p>
        </w:tc>
        <w:tc>
          <w:tcPr>
            <w:tcW w:type="dxa" w:w="2126"/>
            <w:vAlign w:val="center"/>
          </w:tcPr>
          <w:p w:rsidRDefault="003A0D53" w:rsidP="003C02CF" w:rsidR="006F0E7D">
            <w:pPr>
              <w:pStyle w:val="TableParagraph"/>
              <w:spacing w:lineRule="exact" w:line="256"/>
              <w:ind w:left="361"/>
              <w:jc w:val="center"/>
              <w:rPr>
                <w:sz w:val="24"/>
              </w:rPr>
            </w:pPr>
            <w:r>
              <w:rPr>
                <w:sz w:val="24"/>
              </w:rPr>
              <w:t>1.016</w:t>
            </w:r>
          </w:p>
        </w:tc>
      </w:tr>
      <w:tr w:rsidTr="003C02CF" w:rsidR="006F0E7D">
        <w:trPr>
          <w:trHeight w:val="411"/>
        </w:trPr>
        <w:tc>
          <w:tcPr>
            <w:tcW w:type="dxa" w:w="3261"/>
            <w:vAlign w:val="center"/>
          </w:tcPr>
          <w:p w:rsidRDefault="006F0E7D" w:rsidP="003C02CF" w:rsidR="006F0E7D">
            <w:pPr>
              <w:pStyle w:val="TableParagraph"/>
              <w:spacing w:lineRule="exact" w:line="256"/>
              <w:ind w:left="105"/>
              <w:rPr>
                <w:sz w:val="24"/>
              </w:rPr>
            </w:pPr>
            <w:r>
              <w:rPr>
                <w:sz w:val="24"/>
              </w:rPr>
              <w:t>EBITDA</w:t>
            </w:r>
          </w:p>
        </w:tc>
        <w:tc>
          <w:tcPr>
            <w:tcW w:type="dxa" w:w="2126"/>
            <w:vAlign w:val="center"/>
          </w:tcPr>
          <w:p w:rsidRDefault="003A0D53" w:rsidP="003C02CF" w:rsidR="006F0E7D">
            <w:pPr>
              <w:pStyle w:val="TableParagraph"/>
              <w:spacing w:lineRule="exact" w:line="256"/>
              <w:ind w:left="362"/>
              <w:jc w:val="center"/>
              <w:rPr>
                <w:sz w:val="24"/>
              </w:rPr>
            </w:pPr>
            <w:r>
              <w:rPr>
                <w:sz w:val="24"/>
              </w:rPr>
              <w:t>91,2</w:t>
            </w:r>
          </w:p>
        </w:tc>
        <w:tc>
          <w:tcPr>
            <w:tcW w:type="dxa" w:w="2126"/>
            <w:vAlign w:val="center"/>
          </w:tcPr>
          <w:p w:rsidRDefault="003A0D53" w:rsidP="003C02CF" w:rsidR="006F0E7D">
            <w:pPr>
              <w:pStyle w:val="TableParagraph"/>
              <w:spacing w:lineRule="exact" w:line="256"/>
              <w:ind w:left="362"/>
              <w:jc w:val="center"/>
              <w:rPr>
                <w:sz w:val="24"/>
              </w:rPr>
            </w:pPr>
            <w:r>
              <w:rPr>
                <w:sz w:val="24"/>
              </w:rPr>
              <w:t>81,4</w:t>
            </w:r>
          </w:p>
        </w:tc>
      </w:tr>
      <w:tr w:rsidTr="003C02CF" w:rsidR="006F0E7D">
        <w:trPr>
          <w:trHeight w:val="414"/>
        </w:trPr>
        <w:tc>
          <w:tcPr>
            <w:tcW w:type="dxa" w:w="3261"/>
            <w:vAlign w:val="center"/>
          </w:tcPr>
          <w:p w:rsidRDefault="006F0E7D" w:rsidP="003C02CF" w:rsidR="006F0E7D">
            <w:pPr>
              <w:pStyle w:val="TableParagraph"/>
              <w:spacing w:lineRule="exact" w:line="258"/>
              <w:ind w:left="105"/>
              <w:rPr>
                <w:sz w:val="24"/>
              </w:rPr>
            </w:pPr>
            <w:r>
              <w:rPr>
                <w:sz w:val="24"/>
              </w:rPr>
              <w:t>EBITDA %</w:t>
            </w:r>
          </w:p>
        </w:tc>
        <w:tc>
          <w:tcPr>
            <w:tcW w:type="dxa" w:w="2126"/>
            <w:vAlign w:val="center"/>
          </w:tcPr>
          <w:p w:rsidRDefault="003A0D53" w:rsidP="003C02CF" w:rsidR="006F0E7D">
            <w:pPr>
              <w:pStyle w:val="TableParagraph"/>
              <w:spacing w:lineRule="exact" w:line="258"/>
              <w:ind w:left="361"/>
              <w:jc w:val="center"/>
              <w:rPr>
                <w:sz w:val="24"/>
              </w:rPr>
            </w:pPr>
            <w:r>
              <w:rPr>
                <w:sz w:val="24"/>
              </w:rPr>
              <w:t>9,4%</w:t>
            </w:r>
          </w:p>
        </w:tc>
        <w:tc>
          <w:tcPr>
            <w:tcW w:type="dxa" w:w="2126"/>
            <w:vAlign w:val="center"/>
          </w:tcPr>
          <w:p w:rsidRDefault="003A0D53" w:rsidP="003C02CF" w:rsidR="006F0E7D">
            <w:pPr>
              <w:pStyle w:val="TableParagraph"/>
              <w:spacing w:lineRule="exact" w:line="258"/>
              <w:ind w:left="361"/>
              <w:jc w:val="center"/>
              <w:rPr>
                <w:sz w:val="24"/>
              </w:rPr>
            </w:pPr>
            <w:r>
              <w:rPr>
                <w:sz w:val="24"/>
              </w:rPr>
              <w:t>8,0%</w:t>
            </w:r>
          </w:p>
        </w:tc>
      </w:tr>
    </w:tbl>
    <w:p w:rsidRDefault="003C02CF" w:rsidP="001312FE" w:rsidR="008A6252">
      <w:pPr>
        <w:ind w:left="966"/>
        <w:rPr>
          <w:b/>
          <w:i/>
          <w:sz w:val="20"/>
        </w:rPr>
      </w:pPr>
      <w:r>
        <w:rPr>
          <w:b/>
          <w:i/>
          <w:sz w:val="20"/>
        </w:rPr>
        <w:t xml:space="preserve">  </w:t>
      </w:r>
      <w:r w:rsidR="0065237C">
        <w:rPr>
          <w:b/>
          <w:i/>
          <w:sz w:val="20"/>
        </w:rPr>
        <w:t xml:space="preserve">*NAPOMENA: </w:t>
      </w:r>
      <w:r w:rsidR="00C24214">
        <w:rPr>
          <w:b/>
          <w:i/>
          <w:sz w:val="20"/>
        </w:rPr>
        <w:t xml:space="preserve">Preliminarni </w:t>
      </w:r>
      <w:r w:rsidR="0065237C">
        <w:rPr>
          <w:b/>
          <w:i/>
          <w:sz w:val="20"/>
        </w:rPr>
        <w:t>rezultati</w:t>
      </w:r>
    </w:p>
    <w:p w:rsidRDefault="008A6252" w:rsidP="001312FE" w:rsidR="008A6252">
      <w:pPr>
        <w:pStyle w:val="Tijeloteksta"/>
        <w:rPr>
          <w:b/>
          <w:i/>
          <w:sz w:val="22"/>
        </w:rPr>
      </w:pPr>
    </w:p>
    <w:p w:rsidRDefault="002E41B3" w:rsidP="001312FE" w:rsidR="002E41B3">
      <w:pPr>
        <w:pStyle w:val="Tijeloteksta"/>
        <w:rPr>
          <w:b/>
          <w:i/>
          <w:sz w:val="22"/>
        </w:rPr>
      </w:pPr>
    </w:p>
    <w:p w:rsidRDefault="008A6252" w:rsidP="001312FE" w:rsidR="008A6252">
      <w:pPr>
        <w:pStyle w:val="Tijeloteksta"/>
        <w:spacing w:before="9"/>
        <w:rPr>
          <w:b/>
          <w:i/>
          <w:sz w:val="19"/>
        </w:rPr>
      </w:pPr>
    </w:p>
    <w:p w:rsidRDefault="0012253B" w:rsidP="001312FE" w:rsidR="008A6252">
      <w:pPr>
        <w:tabs>
          <w:tab w:pos="1836" w:val="left"/>
        </w:tabs>
        <w:spacing w:before="1"/>
        <w:ind w:left="1134"/>
        <w:rPr>
          <w:b/>
          <w:sz w:val="24"/>
        </w:rPr>
      </w:pPr>
      <w:r>
        <w:rPr>
          <w:b/>
          <w:sz w:val="24"/>
        </w:rPr>
        <w:t xml:space="preserve">2.3.9.2. </w:t>
      </w:r>
      <w:r w:rsidR="0065237C" w:rsidRPr="0012253B">
        <w:rPr>
          <w:b/>
          <w:sz w:val="24"/>
        </w:rPr>
        <w:t>Komentari na tekuće</w:t>
      </w:r>
      <w:r w:rsidR="0065237C" w:rsidRPr="0012253B">
        <w:rPr>
          <w:b/>
          <w:spacing w:val="-4"/>
          <w:sz w:val="24"/>
        </w:rPr>
        <w:t xml:space="preserve"> </w:t>
      </w:r>
      <w:r w:rsidR="0065237C" w:rsidRPr="0012253B">
        <w:rPr>
          <w:b/>
          <w:sz w:val="24"/>
        </w:rPr>
        <w:t>poslovanje</w:t>
      </w:r>
    </w:p>
    <w:p w:rsidRDefault="008A4A4E" w:rsidP="001312FE" w:rsidR="008A4A4E" w:rsidRPr="0012253B">
      <w:pPr>
        <w:tabs>
          <w:tab w:pos="1836" w:val="left"/>
        </w:tabs>
        <w:spacing w:before="1"/>
        <w:ind w:left="1134"/>
        <w:rPr>
          <w:b/>
          <w:sz w:val="24"/>
        </w:rPr>
      </w:pPr>
    </w:p>
    <w:p w:rsidRDefault="00031E7C" w:rsidP="009B28A5" w:rsidR="00031E7C">
      <w:pPr>
        <w:pStyle w:val="Odlomakpopisa"/>
        <w:numPr>
          <w:ilvl w:val="0"/>
          <w:numId w:val="32"/>
        </w:numPr>
        <w:spacing w:lineRule="auto" w:line="276"/>
        <w:ind w:hanging="709" w:left="2127"/>
        <w:jc w:val="both"/>
        <w:rPr>
          <w:sz w:val="24"/>
          <w:szCs w:val="24"/>
        </w:rPr>
      </w:pPr>
      <w:r>
        <w:rPr>
          <w:sz w:val="24"/>
          <w:szCs w:val="24"/>
        </w:rPr>
        <w:t xml:space="preserve">Mjesečna EBITDA je viša od plana zbog </w:t>
      </w:r>
      <w:r w:rsidR="00946D11">
        <w:rPr>
          <w:sz w:val="24"/>
          <w:szCs w:val="24"/>
        </w:rPr>
        <w:t xml:space="preserve">povećane operativne efikasnosti, bolje strukture prodanih proizvoda </w:t>
      </w:r>
      <w:r>
        <w:rPr>
          <w:sz w:val="24"/>
          <w:szCs w:val="24"/>
        </w:rPr>
        <w:t>i pravovremene pripremljenosti za sezonu.</w:t>
      </w:r>
    </w:p>
    <w:p w:rsidRDefault="00AB1309" w:rsidP="009B28A5" w:rsidR="00AB1309">
      <w:pPr>
        <w:pStyle w:val="Odlomakpopisa"/>
        <w:spacing w:lineRule="auto" w:line="276"/>
        <w:ind w:hanging="709" w:left="2127"/>
        <w:jc w:val="both"/>
        <w:rPr>
          <w:sz w:val="24"/>
          <w:szCs w:val="24"/>
        </w:rPr>
      </w:pPr>
    </w:p>
    <w:p w:rsidRDefault="00031E7C" w:rsidP="009B28A5" w:rsidR="00031E7C">
      <w:pPr>
        <w:pStyle w:val="Odlomakpopisa"/>
        <w:numPr>
          <w:ilvl w:val="0"/>
          <w:numId w:val="32"/>
        </w:numPr>
        <w:spacing w:lineRule="auto" w:line="276"/>
        <w:ind w:hanging="709" w:left="2127"/>
        <w:jc w:val="both"/>
        <w:rPr>
          <w:sz w:val="24"/>
          <w:szCs w:val="24"/>
        </w:rPr>
      </w:pPr>
      <w:r>
        <w:rPr>
          <w:sz w:val="24"/>
          <w:szCs w:val="24"/>
        </w:rPr>
        <w:t>Ostvareni prihodi od prodaje u srpnju su neznatno niži od plana. Unatoč rastu količinske prodaje u odnosu na plan, niža cijena sirovine je utjecala na formiranje nižih prodajnih cijena pa i na konačan rezultat prodaje.</w:t>
      </w:r>
    </w:p>
    <w:p w:rsidRDefault="00AB1309" w:rsidP="009B28A5" w:rsidR="00AB1309">
      <w:pPr>
        <w:pStyle w:val="Odlomakpopisa"/>
        <w:spacing w:lineRule="auto" w:line="276"/>
        <w:ind w:hanging="709" w:left="2127"/>
        <w:jc w:val="both"/>
        <w:rPr>
          <w:sz w:val="24"/>
          <w:szCs w:val="24"/>
        </w:rPr>
      </w:pPr>
    </w:p>
    <w:p w:rsidRDefault="00031E7C" w:rsidP="009B28A5" w:rsidR="003E3507" w:rsidRPr="003E3507">
      <w:pPr>
        <w:pStyle w:val="Odlomakpopisa"/>
        <w:numPr>
          <w:ilvl w:val="0"/>
          <w:numId w:val="32"/>
        </w:numPr>
        <w:spacing w:lineRule="auto" w:line="276"/>
        <w:ind w:hanging="709" w:left="2127"/>
        <w:jc w:val="both"/>
        <w:rPr>
          <w:sz w:val="24"/>
          <w:szCs w:val="24"/>
        </w:rPr>
      </w:pPr>
      <w:r>
        <w:rPr>
          <w:sz w:val="24"/>
          <w:szCs w:val="24"/>
        </w:rPr>
        <w:t xml:space="preserve">U srpnju je ostvaren </w:t>
      </w:r>
      <w:r w:rsidR="003E3507" w:rsidRPr="003E3507">
        <w:rPr>
          <w:sz w:val="24"/>
          <w:szCs w:val="24"/>
        </w:rPr>
        <w:t>rast prodaje mesnih prerađevina pri čemu</w:t>
      </w:r>
      <w:r>
        <w:rPr>
          <w:sz w:val="24"/>
          <w:szCs w:val="24"/>
        </w:rPr>
        <w:t xml:space="preserve"> se ističe prodaja  programa</w:t>
      </w:r>
      <w:r w:rsidR="009E1022">
        <w:rPr>
          <w:sz w:val="24"/>
          <w:szCs w:val="24"/>
        </w:rPr>
        <w:t xml:space="preserve"> narezaka</w:t>
      </w:r>
      <w:r>
        <w:rPr>
          <w:sz w:val="24"/>
          <w:szCs w:val="24"/>
        </w:rPr>
        <w:t xml:space="preserve">. </w:t>
      </w:r>
      <w:r w:rsidR="003E3507" w:rsidRPr="003E3507">
        <w:rPr>
          <w:sz w:val="24"/>
          <w:szCs w:val="24"/>
        </w:rPr>
        <w:t>Istovremeno, kod svježeg mesa ostvarena je v</w:t>
      </w:r>
      <w:r>
        <w:rPr>
          <w:sz w:val="24"/>
          <w:szCs w:val="24"/>
        </w:rPr>
        <w:t>iša</w:t>
      </w:r>
      <w:r w:rsidR="003E3507" w:rsidRPr="003E3507">
        <w:rPr>
          <w:sz w:val="24"/>
          <w:szCs w:val="24"/>
        </w:rPr>
        <w:t xml:space="preserve"> prodaja</w:t>
      </w:r>
      <w:r>
        <w:rPr>
          <w:sz w:val="24"/>
          <w:szCs w:val="24"/>
        </w:rPr>
        <w:t xml:space="preserve"> pakiranog mesa i specijaliteta.</w:t>
      </w:r>
    </w:p>
    <w:p w:rsidRDefault="00A60F7A" w:rsidP="001312FE" w:rsidR="00A60F7A">
      <w:pPr>
        <w:pStyle w:val="Odlomakpopisa"/>
        <w:spacing w:lineRule="auto" w:line="276" w:afterAutospacing="true" w:after="100" w:beforeAutospacing="true" w:before="100"/>
        <w:ind w:firstLine="0" w:left="720"/>
        <w:rPr>
          <w:sz w:val="24"/>
          <w:szCs w:val="24"/>
        </w:rPr>
      </w:pPr>
    </w:p>
    <w:p w:rsidRDefault="001420E7" w:rsidP="001312FE" w:rsidR="001420E7" w:rsidRPr="001420E7">
      <w:pPr>
        <w:pStyle w:val="Odlomakpopisa"/>
        <w:spacing w:afterAutospacing="true" w:after="100" w:beforeAutospacing="true" w:before="100"/>
        <w:ind w:firstLine="0" w:left="720"/>
        <w:rPr>
          <w:sz w:val="24"/>
          <w:szCs w:val="24"/>
        </w:rPr>
      </w:pPr>
    </w:p>
    <w:p w:rsidRDefault="006F0E7D" w:rsidP="001312FE" w:rsidR="006F0E7D" w:rsidRPr="001420E7">
      <w:pPr>
        <w:tabs>
          <w:tab w:pos="979" w:val="left"/>
        </w:tabs>
        <w:spacing w:lineRule="auto" w:line="276" w:before="186"/>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A76210" w:rsidP="001312FE" w:rsidR="00A76210">
      <w:pPr>
        <w:pStyle w:val="Odlomakpopisa"/>
        <w:tabs>
          <w:tab w:pos="979" w:val="left"/>
        </w:tabs>
        <w:spacing w:lineRule="auto" w:line="276" w:before="186"/>
        <w:ind w:firstLine="0"/>
        <w:jc w:val="both"/>
        <w:rPr>
          <w:sz w:val="24"/>
        </w:rPr>
      </w:pPr>
    </w:p>
    <w:p w:rsidRDefault="00A76210" w:rsidP="001312FE" w:rsidR="00A76210">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4E2F8F" w:rsidP="001312FE" w:rsidR="004E2F8F">
      <w:pPr>
        <w:pStyle w:val="Odlomakpopisa"/>
        <w:tabs>
          <w:tab w:pos="979" w:val="left"/>
        </w:tabs>
        <w:spacing w:lineRule="auto" w:line="276" w:before="186"/>
        <w:ind w:firstLine="0"/>
        <w:jc w:val="both"/>
        <w:rPr>
          <w:sz w:val="24"/>
        </w:rPr>
      </w:pPr>
    </w:p>
    <w:p w:rsidRDefault="0012253B" w:rsidP="00062C1C" w:rsidR="00A76210" w:rsidRPr="00387338">
      <w:pPr>
        <w:ind w:firstLine="110"/>
        <w:outlineLvl w:val="1"/>
        <w:rPr>
          <w:b/>
          <w:sz w:val="24"/>
          <w:szCs w:val="24"/>
        </w:rPr>
      </w:pPr>
      <w:bookmarkStart w:name="_Toc523299363" w:id="36"/>
      <w:r>
        <w:rPr>
          <w:b/>
          <w:sz w:val="24"/>
          <w:szCs w:val="24"/>
        </w:rPr>
        <w:t xml:space="preserve">2.4. </w:t>
      </w:r>
      <w:r w:rsidR="00A76210" w:rsidRPr="00387338">
        <w:rPr>
          <w:b/>
          <w:sz w:val="24"/>
          <w:szCs w:val="24"/>
        </w:rPr>
        <w:t>Kompanije u poslovnoj grupi Poljoprivreda</w:t>
      </w:r>
      <w:bookmarkEnd w:id="36"/>
    </w:p>
    <w:p w:rsidRDefault="00A76210" w:rsidP="001312FE" w:rsidR="00A76210" w:rsidRPr="00387338">
      <w:pPr>
        <w:rPr>
          <w:sz w:val="24"/>
          <w:szCs w:val="24"/>
        </w:rPr>
      </w:pPr>
    </w:p>
    <w:p w:rsidRDefault="00A76210" w:rsidP="007304E5" w:rsidR="00A76210" w:rsidRPr="00387338">
      <w:pPr>
        <w:spacing w:lineRule="auto" w:line="278"/>
        <w:ind w:left="221"/>
        <w:rPr>
          <w:sz w:val="24"/>
          <w:szCs w:val="24"/>
        </w:rPr>
      </w:pPr>
      <w:r w:rsidRPr="00387338">
        <w:rPr>
          <w:sz w:val="24"/>
          <w:szCs w:val="24"/>
        </w:rPr>
        <w:t>Kompanije u poslovnoj grupi Poljoprivreda su: Belje, PIK Vinkovci i Vupik. Tablica ispod prikazuje kumulativni prihod i EBITDA-u za poslovnu grupu, dok su rezultati za pojedine kompanije unutar poslovne grupe izneseni kasnije u ovom poglavlju.</w:t>
      </w:r>
    </w:p>
    <w:p w:rsidRDefault="001D4987" w:rsidP="001312FE" w:rsidR="00A76210" w:rsidRPr="00A76210">
      <w:r>
        <w:rPr>
          <w:noProof/>
          <w:lang w:bidi="ar-SA"/>
        </w:rPr>
        <w:pict>
          <v:shape fillcolor="#c00" stroked="f" id="_x0000_s1036" style="position:absolute;margin-left:82pt;margin-top:17.15pt;width:393.45pt;height:60.8pt;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
            <v:textbox inset="0,0,0,0">
              <w:txbxContent>
                <w:p w:rsidRDefault="00CC3F8B" w:rsidP="00A76210" w:rsidR="00CC3F8B">
                  <w:pPr>
                    <w:spacing w:before="118"/>
                    <w:ind w:hanging="1923" w:left="2449"/>
                    <w:rPr>
                      <w:b/>
                      <w:sz w:val="30"/>
                    </w:rPr>
                  </w:pPr>
                  <w:r>
                    <w:rPr>
                      <w:b/>
                      <w:color w:val="FFFFFF"/>
                      <w:sz w:val="30"/>
                    </w:rPr>
                    <w:t>Kumulativni prihod i EBITDA po mjesecima, 2018. (mil. HRK)*</w:t>
                  </w:r>
                </w:p>
              </w:txbxContent>
            </v:textbox>
            <w10:wrap anchorx="page" type="topAndBottom"/>
          </v:shape>
        </w:pict>
      </w:r>
    </w:p>
    <w:p w:rsidRDefault="001D4987" w:rsidP="001312FE" w:rsidR="00A76210" w:rsidRPr="00A76210">
      <w:r>
        <w:rPr>
          <w:noProof/>
          <w:lang w:bidi="ar-SA"/>
        </w:rPr>
        <w:pict>
          <v:rect fillcolor="#00234c" strokecolor="windowText" id="_x0000_s1037" style="position:absolute;margin-left:24.05pt;margin-top:66.5pt;width:393.45pt;height:21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v:shadow origin=",.5" offset="0,.63889mm" opacity="22937f" color="black" on="t"/>
            <v:textbox>
              <w:txbxContent>
                <w:p w:rsidRDefault="00CC3F8B" w:rsidP="00A76210" w:rsidR="00CC3F8B">
                  <w:r>
                    <w:rPr>
                      <w:rFonts w:eastAsia="+mn-ea"/>
                      <w:b/>
                      <w:bCs/>
                      <w:color w:val="FFFFFF"/>
                      <w:kern w:val="24"/>
                    </w:rPr>
                    <w:t>Poljoprivreda</w:t>
                  </w:r>
                </w:p>
              </w:txbxContent>
            </v:textbox>
          </v:rect>
        </w:pict>
      </w:r>
      <w:r w:rsidR="00A76210" w:rsidRPr="00A76210">
        <w:tab/>
        <w:t xml:space="preserve"> </w:t>
      </w:r>
    </w:p>
    <w:p w:rsidRDefault="00A76210" w:rsidP="001312FE" w:rsidR="00A76210" w:rsidRPr="00A76210"/>
    <w:p w:rsidRDefault="00A76210" w:rsidP="001312FE" w:rsidR="00A76210" w:rsidRPr="00A76210">
      <w:r w:rsidRPr="00A76210">
        <w:t xml:space="preserve">        </w:t>
      </w:r>
    </w:p>
    <w:p w:rsidRDefault="005C63B7" w:rsidP="001312FE" w:rsidR="00A76210" w:rsidRPr="00A76210">
      <w:r>
        <w:rPr>
          <w:noProof/>
          <w:lang w:bidi="ar-SA"/>
        </w:rPr>
        <w:drawing>
          <wp:anchor allowOverlap="true" layoutInCell="true" locked="false" behindDoc="false" relativeHeight="251688448" simplePos="false" distR="114300" distL="114300" distB="0" distT="0">
            <wp:simplePos y="0" x="0"/>
            <wp:positionH relativeFrom="column">
              <wp:posOffset>1016635</wp:posOffset>
            </wp:positionH>
            <wp:positionV relativeFrom="paragraph">
              <wp:posOffset>2632710</wp:posOffset>
            </wp:positionV>
            <wp:extent cy="272415" cx="1587500"/>
            <wp:effectExtent b="0" r="0" t="0" l="0"/>
            <wp:wrapNone/>
            <wp:docPr name="Picture 25" id="25"/>
            <wp:cNvGraphicFramePr>
              <a:graphicFrameLocks noChangeAspect="true"/>
            </wp:cNvGraphicFramePr>
            <a:graphic>
              <a:graphicData uri="http://schemas.openxmlformats.org/drawingml/2006/picture">
                <pic:pic>
                  <pic:nvPicPr>
                    <pic:cNvPr name="" id="0"/>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272415" cx="1587500"/>
                    </a:xfrm>
                    <a:prstGeom prst="rect">
                      <a:avLst/>
                    </a:prstGeom>
                  </pic:spPr>
                </pic:pic>
              </a:graphicData>
            </a:graphic>
          </wp:anchor>
        </w:drawing>
      </w:r>
      <w:r>
        <w:rPr>
          <w:noProof/>
          <w:lang w:bidi="ar-SA"/>
        </w:rPr>
        <w:drawing>
          <wp:anchor allowOverlap="true" layoutInCell="true" locked="false" behindDoc="false" relativeHeight="251689472" simplePos="false" distR="114300" distL="114300" distB="0" distT="0">
            <wp:simplePos y="0" x="0"/>
            <wp:positionH relativeFrom="column">
              <wp:posOffset>3434715</wp:posOffset>
            </wp:positionH>
            <wp:positionV relativeFrom="paragraph">
              <wp:posOffset>2598590</wp:posOffset>
            </wp:positionV>
            <wp:extent cy="305145" cx="1553370"/>
            <wp:effectExtent b="0" r="0" t="0" l="0"/>
            <wp:wrapNone/>
            <wp:docPr name="Picture 27" id="27"/>
            <wp:cNvGraphicFramePr>
              <a:graphicFrameLocks noChangeAspect="true"/>
            </wp:cNvGraphicFramePr>
            <a:graphic>
              <a:graphicData uri="http://schemas.openxmlformats.org/drawingml/2006/picture">
                <pic:pic>
                  <pic:nvPicPr>
                    <pic:cNvPr name="" id="0"/>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305145" cx="1553370"/>
                    </a:xfrm>
                    <a:prstGeom prst="rect">
                      <a:avLst/>
                    </a:prstGeom>
                  </pic:spPr>
                </pic:pic>
              </a:graphicData>
            </a:graphic>
          </wp:anchor>
        </w:drawing>
      </w:r>
      <w:r w:rsidR="00387338">
        <w:tab/>
      </w:r>
      <w:r w:rsidR="00387338">
        <w:rPr>
          <w:noProof/>
          <w:lang w:bidi="ar-SA"/>
        </w:rPr>
        <w:drawing>
          <wp:inline distR="0" distL="0" distB="0" distT="0">
            <wp:extent cy="2945219" cx="2413590"/>
            <wp:effectExtent b="26670" r="25400" t="0" l="0"/>
            <wp:docPr name="Chart 10" id="10"/>
            <wp:cNvGraphicFramePr/>
            <a:graphic>
              <a:graphicData uri="http://schemas.openxmlformats.org/drawingml/2006/chart">
                <c:chart r:id="rId27"/>
              </a:graphicData>
            </a:graphic>
          </wp:inline>
        </w:drawing>
      </w:r>
      <w:r w:rsidR="00387338" w:rsidRPr="00387338">
        <w:rPr>
          <w:noProof/>
          <w:lang w:bidi="ar-SA"/>
        </w:rPr>
        <w:t xml:space="preserve"> </w:t>
      </w:r>
      <w:r w:rsidR="00387338">
        <w:rPr>
          <w:noProof/>
          <w:lang w:bidi="ar-SA"/>
        </w:rPr>
        <w:drawing>
          <wp:inline distR="0" distL="0" distB="0" distT="0">
            <wp:extent cy="2945219" cx="2286000"/>
            <wp:effectExtent b="26670" r="19050" t="0" l="0"/>
            <wp:docPr name="Chart 15" id="15"/>
            <wp:cNvGraphicFramePr/>
            <a:graphic>
              <a:graphicData uri="http://schemas.openxmlformats.org/drawingml/2006/chart">
                <c:chart r:id="rId28"/>
              </a:graphicData>
            </a:graphic>
          </wp:inline>
        </w:drawing>
      </w:r>
    </w:p>
    <w:p w:rsidRDefault="00A76210" w:rsidP="001312FE" w:rsidR="00A76210" w:rsidRPr="00A76210">
      <w:r w:rsidRPr="00A76210">
        <w:tab/>
      </w:r>
      <w:r w:rsidRPr="00A76210">
        <w:tab/>
      </w:r>
      <w:r w:rsidRPr="00A76210">
        <w:tab/>
      </w:r>
      <w:r w:rsidRPr="00A76210">
        <w:tab/>
      </w:r>
    </w:p>
    <w:p w:rsidRDefault="00A76210" w:rsidP="001312FE" w:rsidR="00A76210" w:rsidRPr="00AA2679">
      <w:pPr>
        <w:ind w:left="720"/>
        <w:rPr>
          <w:b/>
          <w:i/>
        </w:rPr>
      </w:pPr>
      <w:r w:rsidRPr="00AA2679">
        <w:rPr>
          <w:b/>
          <w:i/>
        </w:rPr>
        <w:t>*NAPOMENA: Preliminarni rezultati</w:t>
      </w:r>
    </w:p>
    <w:p w:rsidRDefault="00A76210" w:rsidP="001312FE" w:rsidR="00A76210" w:rsidRPr="00A76210">
      <w:pPr>
        <w:ind w:left="720"/>
      </w:pPr>
    </w:p>
    <w:p w:rsidRDefault="001D4987" w:rsidP="001312FE" w:rsidR="00A76210" w:rsidRPr="00A76210">
      <w:r>
        <w:rPr>
          <w:noProof/>
          <w:lang w:bidi="ar-SA"/>
        </w:rPr>
        <w:pict>
          <v:shape filled="f" strokeweight="2pt" strokecolor="gray" o:spid="_x0000_s1038" id="Text Box 23" style="position:absolute;margin-left:47.55pt;margin-top:-.2pt;width:306.5pt;height:50.2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type="#_x0000_t202" o:gfxdata="">
            <v:textbox inset="0,0,0,0">
              <w:txbxContent>
                <w:p w:rsidRDefault="00CC3F8B" w:rsidP="00A76210" w:rsidR="00CC3F8B">
                  <w:pPr>
                    <w:spacing w:before="35"/>
                    <w:ind w:left="832"/>
                  </w:pPr>
                  <w:r>
                    <w:t>Uključuje zbrojene rezultate tri kompanije:</w:t>
                  </w:r>
                </w:p>
                <w:p w:rsidRDefault="00CC3F8B" w:rsidP="00A76210" w:rsidR="00CC3F8B">
                  <w:pPr>
                    <w:spacing w:before="35"/>
                    <w:ind w:left="832"/>
                  </w:pPr>
                  <w:r>
                    <w:t>Belje, PIK Vinkovci i Vupik</w:t>
                  </w:r>
                </w:p>
              </w:txbxContent>
            </v:textbox>
          </v:shape>
        </w:pict>
      </w:r>
    </w:p>
    <w:p w:rsidRDefault="00A76210" w:rsidP="001312FE" w:rsidR="00A76210" w:rsidRPr="00A76210"/>
    <w:p w:rsidRDefault="00A76210" w:rsidP="001312FE" w:rsidR="00A76210" w:rsidRPr="00A76210"/>
    <w:p w:rsidRDefault="00A76210" w:rsidP="001312FE" w:rsidR="00A76210" w:rsidRPr="00A76210">
      <w:r w:rsidRPr="00A76210">
        <w:tab/>
        <w:t xml:space="preserve">   </w:t>
      </w:r>
    </w:p>
    <w:p w:rsidRDefault="00A76210" w:rsidP="001312FE" w:rsidR="00A76210">
      <w:r w:rsidRPr="00A76210">
        <w:tab/>
        <w:t xml:space="preserve">      </w:t>
      </w:r>
      <w:r w:rsidR="00AA2679">
        <w:rPr>
          <w:noProof/>
          <w:lang w:bidi="ar-SA"/>
        </w:rPr>
        <w:drawing>
          <wp:inline distR="0" distL="0" distB="0" distT="0">
            <wp:extent cy="447675" cx="3952875"/>
            <wp:effectExtent b="9525" r="9525" t="0" l="0"/>
            <wp:docPr name="Picture 26" id="26"/>
            <wp:cNvGraphicFramePr>
              <a:graphicFrameLocks noChangeAspect="true"/>
            </wp:cNvGraphicFramePr>
            <a:graphic>
              <a:graphicData uri="http://schemas.openxmlformats.org/drawingml/2006/picture">
                <pic:pic>
                  <pic:nvPicPr>
                    <pic:cNvPr name="" id="0"/>
                    <pic:cNvPicPr/>
                  </pic:nvPicPr>
                  <pic:blipFill>
                    <a:blip r:embed="rId18"/>
                    <a:stretch>
                      <a:fillRect/>
                    </a:stretch>
                  </pic:blipFill>
                  <pic:spPr>
                    <a:xfrm>
                      <a:off y="0" x="0"/>
                      <a:ext cy="447675" cx="3952875"/>
                    </a:xfrm>
                    <a:prstGeom prst="rect">
                      <a:avLst/>
                    </a:prstGeom>
                  </pic:spPr>
                </pic:pic>
              </a:graphicData>
            </a:graphic>
          </wp:inline>
        </w:drawing>
      </w:r>
      <w:r w:rsidRPr="00A76210">
        <w:t xml:space="preserve"> </w:t>
      </w:r>
    </w:p>
    <w:p w:rsidRDefault="005C63B7" w:rsidP="001312FE" w:rsidR="005C63B7"/>
    <w:p w:rsidRDefault="005C63B7" w:rsidP="001312FE" w:rsidR="005C63B7"/>
    <w:p w:rsidRDefault="005C63B7" w:rsidP="001312FE" w:rsidR="005C63B7" w:rsidRPr="00A76210">
      <w:pPr>
        <w:sectPr w:rsidSect="001312FE" w:rsidR="005C63B7" w:rsidRPr="00A76210">
          <w:pgSz w:code="9" w:h="16840" w:w="11910"/>
          <w:pgMar w:gutter="0" w:footer="1316" w:header="709" w:left="1160" w:bottom="1560" w:right="860" w:top="1680"/>
          <w:cols w:space="720"/>
        </w:sectPr>
      </w:pPr>
    </w:p>
    <w:p w:rsidRDefault="00A76210" w:rsidP="001312FE" w:rsidR="00A76210" w:rsidRPr="00A76210"/>
    <w:p w:rsidRDefault="0012253B" w:rsidP="00062C1C" w:rsidR="00A76210" w:rsidRPr="00A76210">
      <w:pPr>
        <w:ind w:firstLine="660"/>
        <w:outlineLvl w:val="2"/>
        <w:rPr>
          <w:b/>
          <w:sz w:val="24"/>
        </w:rPr>
      </w:pPr>
      <w:bookmarkStart w:name="_Toc523299364" w:id="37"/>
      <w:r>
        <w:rPr>
          <w:b/>
          <w:sz w:val="24"/>
        </w:rPr>
        <w:t xml:space="preserve">2.4.1. </w:t>
      </w:r>
      <w:r w:rsidR="00A76210" w:rsidRPr="00A76210">
        <w:rPr>
          <w:b/>
          <w:sz w:val="24"/>
        </w:rPr>
        <w:t>Kompanije u poslovnoj grupi Poljoprivreda: Belje d.d.</w:t>
      </w:r>
      <w:bookmarkEnd w:id="37"/>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2.4.1.1.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561"/>
        <w:tblInd w:type="dxa" w:w="110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53"/>
        <w:gridCol w:w="2268"/>
        <w:gridCol w:w="2140"/>
      </w:tblGrid>
      <w:tr w:rsidTr="00CE3910" w:rsidR="00A76210" w:rsidRPr="00A76210">
        <w:trPr>
          <w:trHeight w:val="445"/>
        </w:trPr>
        <w:tc>
          <w:tcPr>
            <w:tcW w:type="dxa" w:w="3153"/>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387338">
              <w:rPr>
                <w:b/>
                <w:sz w:val="24"/>
              </w:rPr>
              <w:t>I</w:t>
            </w:r>
            <w:r w:rsidRPr="00A76210">
              <w:rPr>
                <w:b/>
                <w:sz w:val="24"/>
              </w:rPr>
              <w:t>I. 2018</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A76210" w:rsidP="001312FE" w:rsidR="00A76210" w:rsidRPr="00A76210">
            <w:pPr>
              <w:ind w:left="264"/>
              <w:jc w:val="center"/>
              <w:rPr>
                <w:b/>
                <w:sz w:val="24"/>
              </w:rPr>
            </w:pPr>
            <w:r w:rsidRPr="00A76210">
              <w:rPr>
                <w:b/>
                <w:sz w:val="24"/>
              </w:rPr>
              <w:t>Plan 2018.</w:t>
            </w:r>
          </w:p>
          <w:p w:rsidRDefault="00A76210" w:rsidP="001312FE" w:rsidR="00A76210" w:rsidRPr="00A76210">
            <w:pPr>
              <w:ind w:left="264"/>
              <w:jc w:val="center"/>
              <w:rPr>
                <w:b/>
                <w:sz w:val="24"/>
              </w:rPr>
            </w:pPr>
            <w:r w:rsidRPr="00A76210">
              <w:rPr>
                <w:b/>
                <w:sz w:val="24"/>
              </w:rPr>
              <w:t>(mil. HRK)</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69</w:t>
            </w:r>
            <w:r w:rsidR="00A76210" w:rsidRPr="00A76210">
              <w:t>2</w:t>
            </w:r>
          </w:p>
        </w:tc>
        <w:tc>
          <w:tcPr>
            <w:tcW w:type="dxa" w:w="2140"/>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769</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67,4</w:t>
            </w:r>
          </w:p>
        </w:tc>
        <w:tc>
          <w:tcPr>
            <w:tcW w:type="dxa" w:w="2140"/>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106</w:t>
            </w:r>
            <w:r w:rsidR="00A76210" w:rsidRPr="00A76210">
              <w:t>,</w:t>
            </w:r>
            <w:r>
              <w:t>1</w:t>
            </w:r>
          </w:p>
        </w:tc>
      </w:tr>
      <w:tr w:rsidTr="00CE3910" w:rsidR="00A76210" w:rsidRPr="00A76210">
        <w:trPr>
          <w:trHeight w:val="275"/>
        </w:trPr>
        <w:tc>
          <w:tcPr>
            <w:tcW w:type="dxa" w:w="3153"/>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9,</w:t>
            </w:r>
            <w:r w:rsidR="00387338">
              <w:t>7</w:t>
            </w:r>
            <w:r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13,</w:t>
            </w:r>
            <w:r w:rsidR="00387338">
              <w:t>8</w:t>
            </w:r>
            <w:r w:rsidRPr="00A76210">
              <w:t>%</w:t>
            </w:r>
          </w:p>
        </w:tc>
      </w:tr>
    </w:tbl>
    <w:p w:rsidRDefault="00A76210" w:rsidP="001312FE" w:rsidR="00A76210" w:rsidRPr="00A76210">
      <w:pPr>
        <w:ind w:left="1021"/>
        <w:rPr>
          <w:b/>
          <w:sz w:val="20"/>
        </w:rPr>
      </w:pPr>
      <w:r w:rsidRPr="00A76210">
        <w:rPr>
          <w:b/>
          <w:sz w:val="20"/>
        </w:rPr>
        <w:t>*NAPOMENA: Preliminarni rezultati</w:t>
      </w:r>
    </w:p>
    <w:p w:rsidRDefault="00A76210" w:rsidP="001312FE" w:rsidR="00A76210" w:rsidRPr="00A76210"/>
    <w:p w:rsidRDefault="00A76210" w:rsidP="001312FE" w:rsidR="00A76210" w:rsidRPr="00A76210"/>
    <w:p w:rsidRDefault="0012253B" w:rsidP="00062C1C" w:rsidR="00A76210" w:rsidRPr="00A76210">
      <w:pPr>
        <w:numPr>
          <w:ilvl w:val="3"/>
          <w:numId w:val="0"/>
        </w:numPr>
        <w:ind w:firstLine="1100"/>
        <w:rPr>
          <w:b/>
          <w:sz w:val="24"/>
        </w:rPr>
      </w:pPr>
      <w:r>
        <w:rPr>
          <w:b/>
          <w:sz w:val="24"/>
        </w:rPr>
        <w:t xml:space="preserve">2.4.1.2. </w:t>
      </w:r>
      <w:r w:rsidR="00A76210" w:rsidRPr="00A76210">
        <w:rPr>
          <w:b/>
          <w:sz w:val="24"/>
        </w:rPr>
        <w:t>Komentari na tekuće poslovanje</w:t>
      </w:r>
    </w:p>
    <w:p w:rsidRDefault="00A76210" w:rsidP="001312FE" w:rsidR="00A76210" w:rsidRPr="00A76210"/>
    <w:p w:rsidRDefault="00C03304" w:rsidP="009B28A5" w:rsidR="00C03304" w:rsidRPr="002B2805">
      <w:pPr>
        <w:numPr>
          <w:ilvl w:val="0"/>
          <w:numId w:val="46"/>
        </w:numPr>
        <w:spacing w:lineRule="auto" w:line="276"/>
        <w:ind w:hanging="709" w:left="2127"/>
        <w:jc w:val="both"/>
        <w:rPr>
          <w:sz w:val="24"/>
          <w:szCs w:val="24"/>
        </w:rPr>
      </w:pPr>
      <w:r w:rsidRPr="002B2805">
        <w:rPr>
          <w:sz w:val="24"/>
          <w:szCs w:val="24"/>
        </w:rPr>
        <w:t xml:space="preserve">Ostvareni prihod od proizvoda i usluga u tekućem razdoblju je ispod planiranih vrijednosti, uglavnom zbog ostvarenih cijena tovljenika i polutvrdog sira koje su znatno ispod planiranih prodajnih cijena. Upravo zbog nižih ostvarenih prodajnih cijena tovljenika i polutvrdog sira od planiranih, ostvareni  EBITDA u tekućem razdoblju je niži od planiranog. Efekt razlike između planirane i ostvarene cijene na </w:t>
      </w:r>
      <w:r w:rsidR="005F4216" w:rsidRPr="002B2805">
        <w:rPr>
          <w:sz w:val="24"/>
          <w:szCs w:val="24"/>
        </w:rPr>
        <w:t>polutvrdom siru iznosio je 17,2 milijuna kuna,</w:t>
      </w:r>
      <w:r w:rsidRPr="002B2805">
        <w:rPr>
          <w:sz w:val="24"/>
          <w:szCs w:val="24"/>
        </w:rPr>
        <w:t xml:space="preserve"> a na tovljenicima 22,4 m</w:t>
      </w:r>
      <w:r w:rsidR="005F4216" w:rsidRPr="002B2805">
        <w:rPr>
          <w:sz w:val="24"/>
          <w:szCs w:val="24"/>
        </w:rPr>
        <w:t>ilijuna kuna</w:t>
      </w:r>
      <w:r w:rsidRPr="002B2805">
        <w:rPr>
          <w:sz w:val="24"/>
          <w:szCs w:val="24"/>
        </w:rPr>
        <w:t>. Ukupni utjecaj na EBITDA niže ostvarenih cijena tovljenik</w:t>
      </w:r>
      <w:r w:rsidR="005F4216" w:rsidRPr="002B2805">
        <w:rPr>
          <w:sz w:val="24"/>
          <w:szCs w:val="24"/>
        </w:rPr>
        <w:t>a i polutvrdog sira je 39,6 milijuna</w:t>
      </w:r>
      <w:r w:rsidRPr="002B2805">
        <w:rPr>
          <w:sz w:val="24"/>
          <w:szCs w:val="24"/>
        </w:rPr>
        <w:t xml:space="preserve"> k</w:t>
      </w:r>
      <w:r w:rsidR="005F4216" w:rsidRPr="002B2805">
        <w:rPr>
          <w:sz w:val="24"/>
          <w:szCs w:val="24"/>
        </w:rPr>
        <w:t>u</w:t>
      </w:r>
      <w:r w:rsidRPr="002B2805">
        <w:rPr>
          <w:sz w:val="24"/>
          <w:szCs w:val="24"/>
        </w:rPr>
        <w:t>n</w:t>
      </w:r>
      <w:r w:rsidR="005F4216" w:rsidRPr="002B2805">
        <w:rPr>
          <w:sz w:val="24"/>
          <w:szCs w:val="24"/>
        </w:rPr>
        <w:t>a.</w:t>
      </w:r>
    </w:p>
    <w:p w:rsidRDefault="00C03304" w:rsidP="009B28A5" w:rsidR="00C03304" w:rsidRPr="002B2805">
      <w:pPr>
        <w:spacing w:lineRule="auto" w:line="276"/>
        <w:ind w:hanging="709" w:left="2127"/>
        <w:jc w:val="both"/>
        <w:rPr>
          <w:sz w:val="24"/>
          <w:szCs w:val="24"/>
        </w:rPr>
      </w:pPr>
    </w:p>
    <w:p w:rsidRDefault="00C03304" w:rsidP="009B28A5" w:rsidR="00C03304" w:rsidRPr="002B2805">
      <w:pPr>
        <w:numPr>
          <w:ilvl w:val="0"/>
          <w:numId w:val="46"/>
        </w:numPr>
        <w:spacing w:lineRule="auto" w:line="276"/>
        <w:ind w:hanging="709" w:left="2127"/>
        <w:jc w:val="both"/>
        <w:rPr>
          <w:sz w:val="24"/>
          <w:szCs w:val="24"/>
        </w:rPr>
      </w:pPr>
      <w:r w:rsidRPr="002B2805">
        <w:rPr>
          <w:sz w:val="24"/>
          <w:szCs w:val="24"/>
        </w:rPr>
        <w:t>Ostvareni prinosi ozimih usjeva (pšenice, ječma, uljane repice) su na planiranoj razini. Isto tako, ostvareni trošak po jedinici proizvoda tih kultura je u skladu s ciljnim troškovima</w:t>
      </w:r>
      <w:r w:rsidR="005F4216" w:rsidRPr="002B2805">
        <w:rPr>
          <w:sz w:val="24"/>
          <w:szCs w:val="24"/>
        </w:rPr>
        <w:t>.</w:t>
      </w:r>
    </w:p>
    <w:p w:rsidRDefault="00C03304" w:rsidP="009B28A5" w:rsidR="00C03304" w:rsidRPr="002B2805">
      <w:pPr>
        <w:spacing w:lineRule="auto" w:line="276"/>
        <w:ind w:hanging="709" w:left="2127"/>
        <w:jc w:val="both"/>
        <w:rPr>
          <w:sz w:val="24"/>
          <w:szCs w:val="24"/>
        </w:rPr>
      </w:pPr>
    </w:p>
    <w:p w:rsidRDefault="00C03304" w:rsidP="009B28A5" w:rsidR="005F4216" w:rsidRPr="002B2805">
      <w:pPr>
        <w:numPr>
          <w:ilvl w:val="0"/>
          <w:numId w:val="46"/>
        </w:numPr>
        <w:spacing w:lineRule="auto" w:line="276"/>
        <w:ind w:hanging="709" w:left="2127"/>
        <w:jc w:val="both"/>
        <w:rPr>
          <w:sz w:val="24"/>
          <w:szCs w:val="24"/>
        </w:rPr>
      </w:pPr>
      <w:r w:rsidRPr="002B2805">
        <w:rPr>
          <w:sz w:val="24"/>
          <w:szCs w:val="24"/>
        </w:rPr>
        <w:t xml:space="preserve">U okviru sustava upravljanja troškovima, dakle i troškovima poslovnih procesa kao jednim od značajnih aspekata obuhvaćanja troškova, kontinuirano se radi na optimizaciji troškova što rezultira nižim </w:t>
      </w:r>
      <w:r w:rsidR="005F4216" w:rsidRPr="002B2805">
        <w:rPr>
          <w:sz w:val="24"/>
          <w:szCs w:val="24"/>
        </w:rPr>
        <w:t xml:space="preserve">troškom </w:t>
      </w:r>
      <w:r w:rsidRPr="002B2805">
        <w:rPr>
          <w:sz w:val="24"/>
          <w:szCs w:val="24"/>
        </w:rPr>
        <w:t>po jedinici proizvoda.</w:t>
      </w:r>
      <w:r w:rsidR="005F4216" w:rsidRPr="002B2805">
        <w:rPr>
          <w:sz w:val="24"/>
          <w:szCs w:val="24"/>
        </w:rPr>
        <w:t xml:space="preserve"> </w:t>
      </w:r>
      <w:r w:rsidRPr="002B2805">
        <w:rPr>
          <w:sz w:val="24"/>
          <w:szCs w:val="24"/>
        </w:rPr>
        <w:t>Ostvarene su znatne uštede na troškovima sirovina i materijala, uglavnom zbog nižih ulaznih cijena sirovina za proizvodnju stočne hrane, sjemena ratarskih kultura, sredstava za zaštitu bilja</w:t>
      </w:r>
      <w:r w:rsidR="005F4216" w:rsidRPr="002B2805">
        <w:rPr>
          <w:sz w:val="24"/>
          <w:szCs w:val="24"/>
        </w:rPr>
        <w:t xml:space="preserve"> i</w:t>
      </w:r>
      <w:r w:rsidRPr="002B2805">
        <w:rPr>
          <w:sz w:val="24"/>
          <w:szCs w:val="24"/>
        </w:rPr>
        <w:t xml:space="preserve"> mesa za proizvodnju suhomesnatih proizvoda. Uspostavlj</w:t>
      </w:r>
      <w:r w:rsidR="005F4216" w:rsidRPr="002B2805">
        <w:rPr>
          <w:sz w:val="24"/>
          <w:szCs w:val="24"/>
        </w:rPr>
        <w:t>a</w:t>
      </w:r>
      <w:r w:rsidRPr="002B2805">
        <w:rPr>
          <w:sz w:val="24"/>
          <w:szCs w:val="24"/>
        </w:rPr>
        <w:t>nje direkt</w:t>
      </w:r>
      <w:r w:rsidR="009744EF">
        <w:rPr>
          <w:sz w:val="24"/>
          <w:szCs w:val="24"/>
        </w:rPr>
        <w:t>n</w:t>
      </w:r>
      <w:r w:rsidRPr="002B2805">
        <w:rPr>
          <w:sz w:val="24"/>
          <w:szCs w:val="24"/>
        </w:rPr>
        <w:t>og odnosa s dobavljačima također je rezultiralo nižim ulaznim cijenama komponenti za stočnu hranu te ambalaže.</w:t>
      </w:r>
    </w:p>
    <w:p w:rsidRDefault="00A76210" w:rsidP="001312FE" w:rsidR="00A76210" w:rsidRPr="00A76210">
      <w:pPr>
        <w:spacing w:lineRule="auto" w:line="276"/>
        <w:ind w:left="720"/>
        <w:jc w:val="both"/>
      </w:pPr>
    </w:p>
    <w:p w:rsidRDefault="00A76210" w:rsidP="001312FE" w:rsidR="00A76210" w:rsidRPr="00A76210">
      <w:pPr>
        <w:spacing w:lineRule="auto" w:line="276"/>
        <w:jc w:val="both"/>
      </w:pPr>
    </w:p>
    <w:p w:rsidRDefault="00A76210" w:rsidP="001312FE" w:rsidR="00A76210">
      <w:pPr>
        <w:numPr>
          <w:ilvl w:val="0"/>
          <w:numId w:val="46"/>
        </w:numPr>
        <w:ind w:firstLine="0"/>
        <w:jc w:val="both"/>
      </w:pPr>
      <w:r w:rsidRPr="00A76210">
        <w:br w:type="page"/>
      </w:r>
    </w:p>
    <w:p w:rsidRDefault="0012253B" w:rsidP="001312FE" w:rsidR="0012253B" w:rsidRPr="00A76210">
      <w:pPr>
        <w:ind w:left="720"/>
        <w:jc w:val="both"/>
      </w:pPr>
    </w:p>
    <w:p w:rsidRDefault="0012253B" w:rsidP="00062C1C" w:rsidR="00A76210" w:rsidRPr="00A76210">
      <w:pPr>
        <w:ind w:left="660"/>
        <w:outlineLvl w:val="2"/>
        <w:rPr>
          <w:b/>
          <w:sz w:val="24"/>
        </w:rPr>
      </w:pPr>
      <w:bookmarkStart w:name="_Toc523299365" w:id="38"/>
      <w:r>
        <w:rPr>
          <w:b/>
          <w:sz w:val="24"/>
        </w:rPr>
        <w:t xml:space="preserve">2.4.2. </w:t>
      </w:r>
      <w:r w:rsidR="00A76210" w:rsidRPr="00A76210">
        <w:rPr>
          <w:b/>
          <w:sz w:val="24"/>
        </w:rPr>
        <w:t>Kompanije u poslovnoj grupi Poljoprivreda: PIK Vinkovci d.d.</w:t>
      </w:r>
      <w:bookmarkEnd w:id="38"/>
    </w:p>
    <w:p w:rsidRDefault="00A76210" w:rsidP="001312FE" w:rsidR="00A76210" w:rsidRPr="00A76210"/>
    <w:p w:rsidRDefault="0012253B" w:rsidP="00062C1C" w:rsidR="00A76210" w:rsidRPr="00A76210">
      <w:pPr>
        <w:numPr>
          <w:ilvl w:val="3"/>
          <w:numId w:val="0"/>
        </w:numPr>
        <w:ind w:left="1100"/>
        <w:rPr>
          <w:b/>
          <w:sz w:val="24"/>
        </w:rPr>
      </w:pPr>
      <w:r>
        <w:rPr>
          <w:b/>
          <w:sz w:val="24"/>
        </w:rPr>
        <w:t xml:space="preserve">2.4.2.1.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962"/>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296"/>
        <w:gridCol w:w="2268"/>
        <w:gridCol w:w="2140"/>
      </w:tblGrid>
      <w:tr w:rsidTr="00CE3910" w:rsidR="00A76210" w:rsidRPr="00A76210">
        <w:trPr>
          <w:trHeight w:val="445"/>
        </w:trPr>
        <w:tc>
          <w:tcPr>
            <w:tcW w:type="dxa" w:w="3296"/>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387338">
              <w:rPr>
                <w:b/>
                <w:sz w:val="24"/>
              </w:rPr>
              <w:t>I</w:t>
            </w:r>
            <w:r w:rsidRPr="00A76210">
              <w:rPr>
                <w:b/>
                <w:sz w:val="24"/>
              </w:rPr>
              <w:t>I. 2018</w:t>
            </w:r>
          </w:p>
          <w:p w:rsidRDefault="00A76210" w:rsidP="001312FE" w:rsidR="00A76210" w:rsidRPr="00A76210">
            <w:pPr>
              <w:ind w:left="264"/>
              <w:rPr>
                <w:b/>
                <w:sz w:val="24"/>
              </w:rPr>
            </w:pPr>
            <w:r w:rsidRPr="00A76210">
              <w:rPr>
                <w:b/>
                <w:sz w:val="24"/>
              </w:rPr>
              <w:t>(mil. HRK)</w:t>
            </w:r>
          </w:p>
        </w:tc>
        <w:tc>
          <w:tcPr>
            <w:tcW w:type="dxa" w:w="2140"/>
            <w:tcBorders>
              <w:top w:space="0" w:sz="4" w:color="000000" w:val="single"/>
              <w:left w:space="0" w:sz="4" w:color="000000" w:val="single"/>
              <w:bottom w:space="0" w:sz="4" w:color="000000" w:val="single"/>
              <w:right w:space="0" w:sz="4" w:color="000000" w:val="single"/>
            </w:tcBorders>
            <w:shd w:fill="C00000" w:color="auto" w:val="clear"/>
          </w:tcPr>
          <w:p w:rsidRDefault="00A76210" w:rsidP="001312FE" w:rsidR="00A76210" w:rsidRPr="00A76210">
            <w:pPr>
              <w:ind w:left="264"/>
              <w:jc w:val="center"/>
              <w:rPr>
                <w:b/>
                <w:sz w:val="24"/>
              </w:rPr>
            </w:pPr>
            <w:r w:rsidRPr="00A76210">
              <w:rPr>
                <w:b/>
                <w:sz w:val="24"/>
              </w:rPr>
              <w:t>Plan 2018.</w:t>
            </w:r>
          </w:p>
          <w:p w:rsidRDefault="00A76210" w:rsidP="001312FE" w:rsidR="00A76210" w:rsidRPr="00A76210">
            <w:pPr>
              <w:ind w:left="264"/>
              <w:jc w:val="center"/>
              <w:rPr>
                <w:b/>
                <w:sz w:val="24"/>
              </w:rPr>
            </w:pPr>
            <w:r w:rsidRPr="00A76210">
              <w:rPr>
                <w:b/>
                <w:sz w:val="24"/>
              </w:rPr>
              <w:t>(mil. HRK)</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370</w:t>
            </w:r>
          </w:p>
        </w:tc>
        <w:tc>
          <w:tcPr>
            <w:tcW w:type="dxa" w:w="2140"/>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3</w:t>
            </w:r>
            <w:r w:rsidR="00387338">
              <w:t>85</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11,4</w:t>
            </w:r>
          </w:p>
        </w:tc>
        <w:tc>
          <w:tcPr>
            <w:tcW w:type="dxa" w:w="2140"/>
            <w:tcBorders>
              <w:top w:space="0" w:sz="4" w:color="000000" w:val="single"/>
              <w:left w:space="0" w:sz="4" w:color="000000" w:val="single"/>
              <w:bottom w:space="0" w:sz="4" w:color="000000" w:val="single"/>
              <w:right w:space="0" w:sz="4" w:color="000000" w:val="single"/>
            </w:tcBorders>
          </w:tcPr>
          <w:p w:rsidRDefault="00387338" w:rsidP="001312FE" w:rsidR="00A76210" w:rsidRPr="00A76210">
            <w:pPr>
              <w:jc w:val="center"/>
            </w:pPr>
            <w:r>
              <w:t>9,2</w:t>
            </w:r>
          </w:p>
        </w:tc>
      </w:tr>
      <w:tr w:rsidTr="00CE3910" w:rsidR="00A76210" w:rsidRPr="00A76210">
        <w:trPr>
          <w:trHeight w:val="275"/>
        </w:trPr>
        <w:tc>
          <w:tcPr>
            <w:tcW w:type="dxa" w:w="3296"/>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3,</w:t>
            </w:r>
            <w:r w:rsidR="0086299C">
              <w:t>1</w:t>
            </w:r>
            <w:r w:rsidRPr="00A76210">
              <w:t>%</w:t>
            </w:r>
          </w:p>
        </w:tc>
        <w:tc>
          <w:tcPr>
            <w:tcW w:type="dxa" w:w="2140"/>
            <w:tcBorders>
              <w:top w:space="0" w:sz="4" w:color="000000" w:val="single"/>
              <w:left w:space="0" w:sz="4" w:color="000000" w:val="single"/>
              <w:bottom w:space="0" w:sz="4" w:color="000000" w:val="single"/>
              <w:right w:space="0" w:sz="4" w:color="000000" w:val="single"/>
            </w:tcBorders>
          </w:tcPr>
          <w:p w:rsidRDefault="0086299C" w:rsidP="001312FE" w:rsidR="00A76210" w:rsidRPr="00A76210">
            <w:pPr>
              <w:jc w:val="center"/>
            </w:pPr>
            <w:r>
              <w:t>2</w:t>
            </w:r>
            <w:r w:rsidR="00A76210" w:rsidRPr="00A76210">
              <w:t>,4%</w:t>
            </w:r>
          </w:p>
        </w:tc>
      </w:tr>
    </w:tbl>
    <w:p w:rsidRDefault="00A76210" w:rsidP="00062C1C" w:rsidR="00A76210" w:rsidRPr="00A76210">
      <w:pPr>
        <w:ind w:left="990"/>
        <w:rPr>
          <w:b/>
          <w:sz w:val="20"/>
        </w:rPr>
      </w:pPr>
      <w:r w:rsidRPr="00A76210">
        <w:rPr>
          <w:b/>
          <w:sz w:val="20"/>
        </w:rPr>
        <w:t>*NAPOMENA: Preliminarni  rezultati</w:t>
      </w:r>
    </w:p>
    <w:p w:rsidRDefault="00A76210" w:rsidP="001312FE" w:rsidR="00A76210" w:rsidRPr="00A76210"/>
    <w:p w:rsidRDefault="00A76210" w:rsidP="001312FE" w:rsidR="00A76210" w:rsidRPr="00A76210"/>
    <w:p w:rsidRDefault="00A76210" w:rsidP="001312FE" w:rsidR="00A76210" w:rsidRPr="00A76210"/>
    <w:p w:rsidRDefault="0012253B" w:rsidP="00062C1C" w:rsidR="00A76210" w:rsidRPr="00A76210">
      <w:pPr>
        <w:numPr>
          <w:ilvl w:val="3"/>
          <w:numId w:val="0"/>
        </w:numPr>
        <w:ind w:hanging="110" w:left="1100"/>
        <w:rPr>
          <w:b/>
          <w:sz w:val="24"/>
        </w:rPr>
      </w:pPr>
      <w:r>
        <w:rPr>
          <w:b/>
          <w:sz w:val="24"/>
        </w:rPr>
        <w:t xml:space="preserve">2.4.2.2. </w:t>
      </w:r>
      <w:r w:rsidR="00A76210" w:rsidRPr="00A76210">
        <w:rPr>
          <w:b/>
          <w:sz w:val="24"/>
        </w:rPr>
        <w:t>Komentari na tekuće poslovanje</w:t>
      </w:r>
    </w:p>
    <w:p w:rsidRDefault="00A76210" w:rsidP="001312FE" w:rsidR="00A76210" w:rsidRPr="00A76210"/>
    <w:p w:rsidRDefault="005F4216" w:rsidP="009B28A5" w:rsidR="005F4216" w:rsidRPr="002B2805">
      <w:pPr>
        <w:numPr>
          <w:ilvl w:val="0"/>
          <w:numId w:val="43"/>
        </w:numPr>
        <w:spacing w:lineRule="auto" w:line="276"/>
        <w:ind w:hanging="709" w:left="2127"/>
        <w:jc w:val="both"/>
        <w:rPr>
          <w:sz w:val="24"/>
          <w:szCs w:val="24"/>
        </w:rPr>
      </w:pPr>
      <w:r w:rsidRPr="002B2805">
        <w:rPr>
          <w:sz w:val="24"/>
          <w:szCs w:val="24"/>
        </w:rPr>
        <w:t>U srpnju kao i u kumulativu za sedam mjeseci 2018. godine, u strukturi prihoda od prodaje većinu čine prodaja žitarica i uljarica, prodaja repromaterijala kooperantima, pretežno mineralnih gnojiva, prodaja sojine sačme, prasaca, prodaja svježeg voća i povrća. Ostvareni ukupni prihodi od prodaje su na nivou plana. Ostvarena prodaja iznad plana je u segmentima prodaje žitarica, uljarica, proteina, mineralnih gnojiva i  zaštitnih sredstava te u prodaji junadi. Pad prodaje u odnosu na plan je u segmentu prodaje voć</w:t>
      </w:r>
      <w:r w:rsidR="009744EF">
        <w:rPr>
          <w:sz w:val="24"/>
          <w:szCs w:val="24"/>
        </w:rPr>
        <w:t>a</w:t>
      </w:r>
      <w:r w:rsidRPr="002B2805">
        <w:rPr>
          <w:sz w:val="24"/>
          <w:szCs w:val="24"/>
        </w:rPr>
        <w:t xml:space="preserve"> i povrća te u prodaji prasaca. Prodaja prasaca je manja uslijed niže cijene u odnosu na plan i prodane manje količine što je utjecalo i na smanjenje  EBITDA u  iznosu od 7,8 milijuna kuna. Veći prihod je ostvaren kod prodaje žitarica za 36% financijski u odnosu na plan, prodaje sojine sačme 31% u odnosu na plan te veće prodaje repromaterijala kooperantima za 16% financijski u odnosu na plan. Segmenti u kojima je ostvarena veća prodaja su utjecali i na povećanje EBITDA, dok je prodaja prasaca i manja prodaja voća i povrća te niža cijena u odnosu na plan utjecala na smanjenje EBITDA. Razlika ostvarenog EBITDA u odnosu na plan je također nastala uslijed drugačije dinamike prodaje po mjesecima.</w:t>
      </w:r>
    </w:p>
    <w:p w:rsidRDefault="005F4216" w:rsidP="009B28A5" w:rsidR="005F4216" w:rsidRPr="002B2805">
      <w:pPr>
        <w:spacing w:lineRule="auto" w:line="276"/>
        <w:ind w:hanging="709" w:left="2127"/>
        <w:jc w:val="both"/>
        <w:rPr>
          <w:sz w:val="24"/>
          <w:szCs w:val="24"/>
        </w:rPr>
      </w:pPr>
    </w:p>
    <w:p w:rsidRDefault="005F4216" w:rsidP="009B28A5" w:rsidR="005F4216" w:rsidRPr="002B2805">
      <w:pPr>
        <w:numPr>
          <w:ilvl w:val="0"/>
          <w:numId w:val="43"/>
        </w:numPr>
        <w:spacing w:lineRule="auto" w:line="276"/>
        <w:ind w:hanging="709" w:left="2127"/>
        <w:jc w:val="both"/>
        <w:rPr>
          <w:sz w:val="24"/>
          <w:szCs w:val="24"/>
        </w:rPr>
      </w:pPr>
      <w:r w:rsidRPr="002B2805">
        <w:rPr>
          <w:sz w:val="24"/>
          <w:szCs w:val="24"/>
        </w:rPr>
        <w:t>U srpnju se zadržava trend pojačanih trading aktivnosti i bržeg obrtanja zaliha te smanjenje dana vezivanja zaliha. Broj dana plaćanja dobavljačima i dana naplata od kupaca je na nivou prethodnog perioda te je stabilan.</w:t>
      </w:r>
    </w:p>
    <w:p w:rsidRDefault="005F4216" w:rsidP="001312FE" w:rsidR="005F4216">
      <w:pPr>
        <w:ind w:left="720"/>
        <w:jc w:val="both"/>
      </w:pPr>
    </w:p>
    <w:p w:rsidRDefault="00A76210" w:rsidP="001312FE" w:rsidR="00A76210" w:rsidRPr="00A76210">
      <w:pPr>
        <w:jc w:val="both"/>
      </w:pPr>
    </w:p>
    <w:p w:rsidRDefault="00A76210" w:rsidP="001312FE" w:rsidR="00A76210" w:rsidRPr="00A76210"/>
    <w:p w:rsidRDefault="00A76210" w:rsidP="001312FE" w:rsidR="00A76210" w:rsidRPr="00A76210"/>
    <w:p w:rsidRDefault="00A76210" w:rsidP="001312FE" w:rsidR="00A76210" w:rsidRPr="00A76210"/>
    <w:p w:rsidRDefault="00A76210" w:rsidP="001312FE" w:rsidR="00A76210" w:rsidRPr="00A76210"/>
    <w:p w:rsidRDefault="00A76210" w:rsidP="001312FE" w:rsidR="00A76210" w:rsidRPr="00A76210"/>
    <w:p w:rsidRDefault="0012253B" w:rsidP="00062C1C" w:rsidR="00A76210" w:rsidRPr="00A76210">
      <w:pPr>
        <w:ind w:left="660"/>
        <w:outlineLvl w:val="2"/>
        <w:rPr>
          <w:b/>
          <w:sz w:val="24"/>
        </w:rPr>
      </w:pPr>
      <w:bookmarkStart w:name="_Toc523299366" w:id="39"/>
      <w:r>
        <w:rPr>
          <w:b/>
          <w:sz w:val="24"/>
        </w:rPr>
        <w:t xml:space="preserve">2.4.3. </w:t>
      </w:r>
      <w:r w:rsidR="00A76210" w:rsidRPr="00A76210">
        <w:rPr>
          <w:b/>
          <w:sz w:val="24"/>
        </w:rPr>
        <w:t>Kompanije u poslovnoj grupi Poljoprivreda: Vupik d.d.</w:t>
      </w:r>
      <w:bookmarkEnd w:id="39"/>
    </w:p>
    <w:p w:rsidRDefault="00A76210" w:rsidP="001312FE" w:rsidR="00A76210" w:rsidRPr="00A76210"/>
    <w:p w:rsidRDefault="0012253B" w:rsidP="00062C1C" w:rsidR="00A76210" w:rsidRPr="00A76210">
      <w:pPr>
        <w:numPr>
          <w:ilvl w:val="3"/>
          <w:numId w:val="0"/>
        </w:numPr>
        <w:ind w:left="1320"/>
        <w:rPr>
          <w:b/>
          <w:sz w:val="24"/>
        </w:rPr>
      </w:pPr>
      <w:r>
        <w:rPr>
          <w:b/>
          <w:sz w:val="24"/>
        </w:rPr>
        <w:t xml:space="preserve">2.4.3.1. </w:t>
      </w:r>
      <w:r w:rsidR="00A76210" w:rsidRPr="00A76210">
        <w:rPr>
          <w:b/>
          <w:sz w:val="24"/>
        </w:rPr>
        <w:t>Financijski rezultati od početka godine i ključni financijski pokazatelji učinka</w:t>
      </w:r>
    </w:p>
    <w:p w:rsidRDefault="00A76210" w:rsidP="001312FE" w:rsidR="00A76210" w:rsidRPr="00A76210">
      <w:pPr>
        <w:ind w:left="1080"/>
        <w:rPr>
          <w:b/>
          <w:sz w:val="24"/>
        </w:rPr>
      </w:pPr>
    </w:p>
    <w:tbl>
      <w:tblPr>
        <w:tblW w:type="dxa" w:w="7704"/>
        <w:tblInd w:type="dxa" w:w="1423"/>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CellMar>
          <w:left w:type="dxa" w:w="0"/>
          <w:right w:type="dxa" w:w="0"/>
        </w:tblCellMar>
        <w:tblLook w:val="01E0" w:noVBand="0" w:noHBand="0" w:lastColumn="1" w:firstColumn="1" w:lastRow="1" w:firstRow="1"/>
      </w:tblPr>
      <w:tblGrid>
        <w:gridCol w:w="3118"/>
        <w:gridCol w:w="2268"/>
        <w:gridCol w:w="2318"/>
      </w:tblGrid>
      <w:tr w:rsidTr="00CE3910" w:rsidR="00A76210" w:rsidRPr="00A76210">
        <w:trPr>
          <w:trHeight w:val="445"/>
        </w:trPr>
        <w:tc>
          <w:tcPr>
            <w:tcW w:type="dxa" w:w="311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Financijski rezultati*</w:t>
            </w:r>
          </w:p>
        </w:tc>
        <w:tc>
          <w:tcPr>
            <w:tcW w:type="dxa" w:w="2268"/>
            <w:tcBorders>
              <w:top w:space="0" w:sz="4" w:color="000000" w:val="single"/>
              <w:left w:space="0" w:sz="4" w:color="000000" w:val="single"/>
              <w:bottom w:space="0" w:sz="4" w:color="000000" w:val="single"/>
              <w:right w:space="0" w:sz="4" w:color="000000" w:val="single"/>
            </w:tcBorders>
            <w:shd w:fill="C00000" w:color="auto" w:val="clear"/>
            <w:hideMark/>
          </w:tcPr>
          <w:p w:rsidRDefault="00A76210" w:rsidP="001312FE" w:rsidR="00A76210" w:rsidRPr="00A76210">
            <w:pPr>
              <w:ind w:left="264"/>
              <w:rPr>
                <w:b/>
                <w:sz w:val="24"/>
              </w:rPr>
            </w:pPr>
            <w:r w:rsidRPr="00A76210">
              <w:rPr>
                <w:b/>
                <w:sz w:val="24"/>
              </w:rPr>
              <w:t>I.-V</w:t>
            </w:r>
            <w:r w:rsidR="0086299C">
              <w:rPr>
                <w:b/>
                <w:sz w:val="24"/>
              </w:rPr>
              <w:t>I</w:t>
            </w:r>
            <w:r w:rsidRPr="00A76210">
              <w:rPr>
                <w:b/>
                <w:sz w:val="24"/>
              </w:rPr>
              <w:t>I. 2018</w:t>
            </w:r>
          </w:p>
          <w:p w:rsidRDefault="00A76210" w:rsidP="001312FE" w:rsidR="00A76210" w:rsidRPr="00A76210">
            <w:pPr>
              <w:ind w:left="264"/>
              <w:rPr>
                <w:b/>
                <w:sz w:val="24"/>
              </w:rPr>
            </w:pPr>
            <w:r w:rsidRPr="00A76210">
              <w:rPr>
                <w:b/>
                <w:sz w:val="24"/>
              </w:rPr>
              <w:t>(mil. HRK)</w:t>
            </w:r>
          </w:p>
        </w:tc>
        <w:tc>
          <w:tcPr>
            <w:tcW w:type="dxa" w:w="2318"/>
            <w:tcBorders>
              <w:top w:space="0" w:sz="4" w:color="000000" w:val="single"/>
              <w:left w:space="0" w:sz="4" w:color="000000" w:val="single"/>
              <w:bottom w:space="0" w:sz="4" w:color="000000" w:val="single"/>
              <w:right w:space="0" w:sz="4" w:color="000000" w:val="single"/>
            </w:tcBorders>
            <w:shd w:fill="C00000" w:color="auto" w:val="clear"/>
          </w:tcPr>
          <w:p w:rsidRDefault="00A76210" w:rsidP="001312FE" w:rsidR="00A76210" w:rsidRPr="00A76210">
            <w:pPr>
              <w:ind w:left="264"/>
              <w:jc w:val="center"/>
              <w:rPr>
                <w:b/>
                <w:sz w:val="24"/>
              </w:rPr>
            </w:pPr>
            <w:r w:rsidRPr="00A76210">
              <w:rPr>
                <w:b/>
                <w:sz w:val="24"/>
              </w:rPr>
              <w:t>Plan 2018.</w:t>
            </w:r>
          </w:p>
          <w:p w:rsidRDefault="00A76210" w:rsidP="001312FE" w:rsidR="00A76210" w:rsidRPr="00A76210">
            <w:pPr>
              <w:ind w:left="264"/>
              <w:jc w:val="center"/>
              <w:rPr>
                <w:b/>
                <w:sz w:val="24"/>
              </w:rPr>
            </w:pPr>
            <w:r w:rsidRPr="00A76210">
              <w:rPr>
                <w:b/>
                <w:sz w:val="24"/>
              </w:rPr>
              <w:t>(mil. HRK)</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Prihod</w:t>
            </w:r>
          </w:p>
        </w:tc>
        <w:tc>
          <w:tcPr>
            <w:tcW w:type="dxa" w:w="2268"/>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1</w:t>
            </w:r>
            <w:r w:rsidR="0086299C">
              <w:t>31</w:t>
            </w:r>
          </w:p>
        </w:tc>
        <w:tc>
          <w:tcPr>
            <w:tcW w:type="dxa" w:w="2318"/>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1</w:t>
            </w:r>
            <w:r w:rsidR="0086299C">
              <w:t>59</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w:t>
            </w:r>
          </w:p>
        </w:tc>
        <w:tc>
          <w:tcPr>
            <w:tcW w:type="dxa" w:w="2268"/>
            <w:tcBorders>
              <w:top w:space="0" w:sz="4" w:color="000000" w:val="single"/>
              <w:left w:space="0" w:sz="4" w:color="000000" w:val="single"/>
              <w:bottom w:space="0" w:sz="4" w:color="000000" w:val="single"/>
              <w:right w:space="0" w:sz="4" w:color="000000" w:val="single"/>
            </w:tcBorders>
          </w:tcPr>
          <w:p w:rsidRDefault="0086299C" w:rsidP="001312FE" w:rsidR="00A76210" w:rsidRPr="00A76210">
            <w:pPr>
              <w:jc w:val="center"/>
            </w:pPr>
            <w:r>
              <w:t>9</w:t>
            </w:r>
            <w:r w:rsidR="00A76210" w:rsidRPr="00A76210">
              <w:t>,</w:t>
            </w:r>
            <w:r>
              <w:t>3</w:t>
            </w:r>
          </w:p>
        </w:tc>
        <w:tc>
          <w:tcPr>
            <w:tcW w:type="dxa" w:w="2318"/>
            <w:tcBorders>
              <w:top w:space="0" w:sz="4" w:color="000000" w:val="single"/>
              <w:left w:space="0" w:sz="4" w:color="000000" w:val="single"/>
              <w:bottom w:space="0" w:sz="4" w:color="000000" w:val="single"/>
              <w:right w:space="0" w:sz="4" w:color="000000" w:val="single"/>
            </w:tcBorders>
          </w:tcPr>
          <w:p w:rsidRDefault="0086299C" w:rsidP="001312FE" w:rsidR="00A76210" w:rsidRPr="00A76210">
            <w:pPr>
              <w:jc w:val="center"/>
            </w:pPr>
            <w:r>
              <w:t>40,8</w:t>
            </w:r>
          </w:p>
        </w:tc>
      </w:tr>
      <w:tr w:rsidTr="00CE3910" w:rsidR="00A76210" w:rsidRPr="00A76210">
        <w:trPr>
          <w:trHeight w:val="275"/>
        </w:trPr>
        <w:tc>
          <w:tcPr>
            <w:tcW w:type="dxa" w:w="3118"/>
            <w:tcBorders>
              <w:top w:space="0" w:sz="4" w:color="000000" w:val="single"/>
              <w:left w:space="0" w:sz="4" w:color="000000" w:val="single"/>
              <w:bottom w:space="0" w:sz="4" w:color="000000" w:val="single"/>
              <w:right w:space="0" w:sz="4" w:color="000000" w:val="single"/>
            </w:tcBorders>
            <w:hideMark/>
          </w:tcPr>
          <w:p w:rsidRDefault="00A76210" w:rsidP="001312FE" w:rsidR="00A76210" w:rsidRPr="00A76210">
            <w:pPr>
              <w:rPr>
                <w:sz w:val="24"/>
              </w:rPr>
            </w:pPr>
            <w:r w:rsidRPr="00A76210">
              <w:rPr>
                <w:sz w:val="24"/>
              </w:rPr>
              <w:t>EBITDA %</w:t>
            </w:r>
          </w:p>
        </w:tc>
        <w:tc>
          <w:tcPr>
            <w:tcW w:type="dxa" w:w="2268"/>
            <w:tcBorders>
              <w:top w:space="0" w:sz="4" w:color="000000" w:val="single"/>
              <w:left w:space="0" w:sz="4" w:color="000000" w:val="single"/>
              <w:bottom w:space="0" w:sz="4" w:color="000000" w:val="single"/>
              <w:right w:space="0" w:sz="4" w:color="000000" w:val="single"/>
            </w:tcBorders>
          </w:tcPr>
          <w:p w:rsidRDefault="0086299C" w:rsidP="001312FE" w:rsidR="00A76210" w:rsidRPr="00A76210">
            <w:pPr>
              <w:jc w:val="center"/>
            </w:pPr>
            <w:r>
              <w:t>5</w:t>
            </w:r>
            <w:r w:rsidR="00A76210" w:rsidRPr="00A76210">
              <w:t>,</w:t>
            </w:r>
            <w:r>
              <w:t>7</w:t>
            </w:r>
            <w:r w:rsidR="00A76210" w:rsidRPr="00A76210">
              <w:t>%</w:t>
            </w:r>
          </w:p>
        </w:tc>
        <w:tc>
          <w:tcPr>
            <w:tcW w:type="dxa" w:w="2318"/>
            <w:tcBorders>
              <w:top w:space="0" w:sz="4" w:color="000000" w:val="single"/>
              <w:left w:space="0" w:sz="4" w:color="000000" w:val="single"/>
              <w:bottom w:space="0" w:sz="4" w:color="000000" w:val="single"/>
              <w:right w:space="0" w:sz="4" w:color="000000" w:val="single"/>
            </w:tcBorders>
          </w:tcPr>
          <w:p w:rsidRDefault="00A76210" w:rsidP="001312FE" w:rsidR="00A76210" w:rsidRPr="00A76210">
            <w:pPr>
              <w:jc w:val="center"/>
            </w:pPr>
            <w:r w:rsidRPr="00A76210">
              <w:t>25,</w:t>
            </w:r>
            <w:r w:rsidR="0086299C">
              <w:t>2</w:t>
            </w:r>
            <w:r w:rsidRPr="00A76210">
              <w:t>%</w:t>
            </w:r>
          </w:p>
        </w:tc>
      </w:tr>
    </w:tbl>
    <w:p w:rsidRDefault="00A76210" w:rsidP="00CE3910" w:rsidR="00A76210" w:rsidRPr="00A76210">
      <w:pPr>
        <w:ind w:left="1320"/>
        <w:rPr>
          <w:b/>
          <w:sz w:val="20"/>
        </w:rPr>
      </w:pPr>
      <w:r w:rsidRPr="00A76210">
        <w:rPr>
          <w:b/>
          <w:sz w:val="20"/>
        </w:rPr>
        <w:t>*NAPOMENA: Preliminarni rezultati</w:t>
      </w:r>
    </w:p>
    <w:p w:rsidRDefault="00A76210" w:rsidP="001312FE" w:rsidR="00A76210" w:rsidRPr="00A76210"/>
    <w:p w:rsidRDefault="00A76210" w:rsidP="001312FE" w:rsidR="00A76210" w:rsidRPr="00A76210"/>
    <w:p w:rsidRDefault="0012253B" w:rsidP="00062C1C" w:rsidR="00A76210" w:rsidRPr="00A76210">
      <w:pPr>
        <w:numPr>
          <w:ilvl w:val="3"/>
          <w:numId w:val="0"/>
        </w:numPr>
        <w:ind w:left="1320"/>
        <w:rPr>
          <w:b/>
          <w:sz w:val="24"/>
        </w:rPr>
      </w:pPr>
      <w:r>
        <w:rPr>
          <w:b/>
          <w:sz w:val="24"/>
        </w:rPr>
        <w:t xml:space="preserve">2.4.3.2. </w:t>
      </w:r>
      <w:r w:rsidR="00A76210" w:rsidRPr="00A76210">
        <w:rPr>
          <w:b/>
          <w:sz w:val="24"/>
        </w:rPr>
        <w:t>Komentari na tekuće poslovanje</w:t>
      </w:r>
    </w:p>
    <w:p w:rsidRDefault="00A76210" w:rsidP="001312FE" w:rsidR="00A76210" w:rsidRPr="00A76210"/>
    <w:p w:rsidRDefault="005F4216" w:rsidP="009B28A5" w:rsidR="005F4216" w:rsidRPr="002B2805">
      <w:pPr>
        <w:numPr>
          <w:ilvl w:val="0"/>
          <w:numId w:val="42"/>
        </w:numPr>
        <w:spacing w:lineRule="auto" w:line="276"/>
        <w:ind w:hanging="426" w:left="2127"/>
        <w:jc w:val="both"/>
        <w:rPr>
          <w:sz w:val="24"/>
          <w:szCs w:val="24"/>
        </w:rPr>
      </w:pPr>
      <w:r w:rsidRPr="002B2805">
        <w:rPr>
          <w:sz w:val="24"/>
          <w:szCs w:val="24"/>
        </w:rPr>
        <w:t>U prvih sedam mjeseci 2018. godine ostvareni prihod od prodaje proizvoda i usluga je i dalje ispod planiranoga, najviše zbog vrlo niske prodajne cijene tovljenika. Zbog vremenskih uvjeta u lipnju, žetva pšenice završena je u mjesecu srpnju te je u istom mjesecu prodano 38% uroda dok prodaju ostatka pše</w:t>
      </w:r>
      <w:r w:rsidR="009744EF">
        <w:rPr>
          <w:sz w:val="24"/>
          <w:szCs w:val="24"/>
        </w:rPr>
        <w:t>nice očekujemo u kolovozu. U slj</w:t>
      </w:r>
      <w:r w:rsidRPr="002B2805">
        <w:rPr>
          <w:sz w:val="24"/>
          <w:szCs w:val="24"/>
        </w:rPr>
        <w:t>edećem mjesecu očekuje</w:t>
      </w:r>
      <w:r w:rsidR="00455D91">
        <w:rPr>
          <w:sz w:val="24"/>
          <w:szCs w:val="24"/>
        </w:rPr>
        <w:t xml:space="preserve"> se</w:t>
      </w:r>
      <w:r w:rsidRPr="002B2805">
        <w:rPr>
          <w:sz w:val="24"/>
          <w:szCs w:val="24"/>
        </w:rPr>
        <w:t xml:space="preserve"> završetak žetve suncokreta te njegov</w:t>
      </w:r>
      <w:r w:rsidR="00455D91">
        <w:rPr>
          <w:sz w:val="24"/>
          <w:szCs w:val="24"/>
        </w:rPr>
        <w:t>a</w:t>
      </w:r>
      <w:r w:rsidRPr="002B2805">
        <w:rPr>
          <w:sz w:val="24"/>
          <w:szCs w:val="24"/>
        </w:rPr>
        <w:t xml:space="preserve"> prodaj</w:t>
      </w:r>
      <w:r w:rsidR="00455D91">
        <w:rPr>
          <w:sz w:val="24"/>
          <w:szCs w:val="24"/>
        </w:rPr>
        <w:t>a</w:t>
      </w:r>
      <w:r w:rsidRPr="002B2805">
        <w:rPr>
          <w:sz w:val="24"/>
          <w:szCs w:val="24"/>
        </w:rPr>
        <w:t xml:space="preserve">. Od povrtlarskih kultura, u srpnju je prodan preostali dio graška. Prodajna cijena tovljenika u srpnju je u blagom padu </w:t>
      </w:r>
      <w:r w:rsidR="00455D91">
        <w:rPr>
          <w:sz w:val="24"/>
          <w:szCs w:val="24"/>
        </w:rPr>
        <w:t>u odnosu na prošli mjesec. U sl</w:t>
      </w:r>
      <w:r w:rsidRPr="002B2805">
        <w:rPr>
          <w:sz w:val="24"/>
          <w:szCs w:val="24"/>
        </w:rPr>
        <w:t xml:space="preserve">jedećem mjesecu očekujemo ponovni rast cijene tovljenika te pozitivan utjecaj na dobit društva. </w:t>
      </w:r>
    </w:p>
    <w:p w:rsidRDefault="005F4216" w:rsidP="009B28A5" w:rsidR="005F4216" w:rsidRPr="002B2805">
      <w:pPr>
        <w:spacing w:lineRule="auto" w:line="276"/>
        <w:ind w:hanging="426" w:left="2127"/>
        <w:jc w:val="both"/>
        <w:rPr>
          <w:sz w:val="24"/>
          <w:szCs w:val="24"/>
        </w:rPr>
      </w:pPr>
    </w:p>
    <w:p w:rsidRDefault="005F4216" w:rsidP="009B28A5" w:rsidR="005F4216" w:rsidRPr="002B2805">
      <w:pPr>
        <w:numPr>
          <w:ilvl w:val="0"/>
          <w:numId w:val="42"/>
        </w:numPr>
        <w:spacing w:lineRule="auto" w:line="276"/>
        <w:ind w:hanging="426" w:left="2127"/>
        <w:jc w:val="both"/>
        <w:rPr>
          <w:sz w:val="24"/>
          <w:szCs w:val="24"/>
        </w:rPr>
      </w:pPr>
      <w:r w:rsidRPr="002B2805">
        <w:rPr>
          <w:sz w:val="24"/>
          <w:szCs w:val="24"/>
        </w:rPr>
        <w:t xml:space="preserve">Ostvareni EBITDA društva u kumulativu je niži od planiranoga zbog trenutno vrlo niske tržišne vrijednosti tovljenika. Ukupan efekt u kumulativu od razlike između planirane i realizirane cijene tovljenika iznosi 16,5 mijuna kuna. Pretovar uljane repice na brodove na Pc Pretovarna luka imao je pozitivan utjecaj na EBITDA društva u srpnju. </w:t>
      </w:r>
    </w:p>
    <w:p w:rsidRDefault="005F4216" w:rsidP="009B28A5" w:rsidR="005F4216" w:rsidRPr="002B2805">
      <w:pPr>
        <w:spacing w:lineRule="auto" w:line="276"/>
        <w:ind w:hanging="426" w:left="2127"/>
        <w:jc w:val="both"/>
        <w:rPr>
          <w:sz w:val="24"/>
          <w:szCs w:val="24"/>
        </w:rPr>
      </w:pPr>
    </w:p>
    <w:p w:rsidRDefault="005F4216" w:rsidP="009B28A5" w:rsidR="005F4216" w:rsidRPr="002B2805">
      <w:pPr>
        <w:numPr>
          <w:ilvl w:val="0"/>
          <w:numId w:val="42"/>
        </w:numPr>
        <w:spacing w:lineRule="auto" w:line="276"/>
        <w:ind w:hanging="426" w:left="2127"/>
        <w:jc w:val="both"/>
        <w:rPr>
          <w:sz w:val="24"/>
          <w:szCs w:val="24"/>
        </w:rPr>
      </w:pPr>
      <w:r w:rsidRPr="002B2805">
        <w:rPr>
          <w:sz w:val="24"/>
          <w:szCs w:val="24"/>
        </w:rPr>
        <w:t xml:space="preserve">Razina zaliha sirovina, materijala i gotovih proizvoda, u odnosu na prošli mjesec je u porastu zbog zaprimanja novih količina stočne hrane iz ratarske proizvodnje. </w:t>
      </w:r>
    </w:p>
    <w:p w:rsidRDefault="005F4216" w:rsidP="001312FE" w:rsidR="005F4216">
      <w:pPr>
        <w:spacing w:lineRule="auto" w:line="276"/>
        <w:ind w:left="720"/>
        <w:jc w:val="both"/>
      </w:pPr>
    </w:p>
    <w:p w:rsidRDefault="00A76210" w:rsidP="001312FE" w:rsidR="00A76210" w:rsidRPr="00A76210">
      <w:r w:rsidRPr="00A76210">
        <w:br w:type="page"/>
      </w:r>
    </w:p>
    <w:p w:rsidRDefault="00A76210" w:rsidP="001312FE" w:rsidR="00A76210" w:rsidRPr="00A76210"/>
    <w:p w:rsidRDefault="00000C33" w:rsidP="00062C1C" w:rsidR="00000C33" w:rsidRPr="00000C33">
      <w:pPr>
        <w:ind w:left="330"/>
        <w:outlineLvl w:val="0"/>
        <w:rPr>
          <w:b/>
          <w:sz w:val="28"/>
          <w:szCs w:val="28"/>
        </w:rPr>
      </w:pPr>
      <w:bookmarkStart w:name="_Toc523299367" w:id="40"/>
      <w:r>
        <w:rPr>
          <w:b/>
          <w:sz w:val="28"/>
          <w:szCs w:val="28"/>
        </w:rPr>
        <w:t xml:space="preserve">3. </w:t>
      </w:r>
      <w:r w:rsidRPr="00000C33">
        <w:rPr>
          <w:b/>
          <w:sz w:val="28"/>
          <w:szCs w:val="28"/>
        </w:rPr>
        <w:t>Kratkoročna novčana pozicija</w:t>
      </w:r>
      <w:bookmarkEnd w:id="40"/>
    </w:p>
    <w:p w:rsidRDefault="00000C33" w:rsidP="001312FE" w:rsidR="00000C33" w:rsidRPr="00000C33">
      <w:pPr>
        <w:jc w:val="center"/>
        <w:rPr>
          <w:sz w:val="24"/>
          <w:szCs w:val="24"/>
        </w:rPr>
      </w:pPr>
    </w:p>
    <w:p w:rsidRDefault="00000C33" w:rsidP="00062C1C" w:rsidR="00000C33" w:rsidRPr="008A1345">
      <w:pPr>
        <w:numPr>
          <w:ilvl w:val="1"/>
          <w:numId w:val="0"/>
        </w:numPr>
        <w:ind w:left="440"/>
        <w:outlineLvl w:val="1"/>
        <w:rPr>
          <w:b/>
          <w:sz w:val="24"/>
          <w:szCs w:val="24"/>
        </w:rPr>
      </w:pPr>
      <w:bookmarkStart w:name="_Toc523299368" w:id="41"/>
      <w:r w:rsidRPr="008A1345">
        <w:rPr>
          <w:b/>
          <w:sz w:val="24"/>
          <w:szCs w:val="24"/>
        </w:rPr>
        <w:t>3.1. Upravljanje novčanim sredstvima</w:t>
      </w:r>
      <w:bookmarkEnd w:id="41"/>
    </w:p>
    <w:p w:rsidRDefault="00000C33" w:rsidP="001312FE" w:rsidR="00000C33" w:rsidRPr="008A1345">
      <w:pPr>
        <w:rPr>
          <w:sz w:val="24"/>
          <w:szCs w:val="24"/>
        </w:rPr>
      </w:pPr>
    </w:p>
    <w:p w:rsidRDefault="00000C33" w:rsidP="001312FE" w:rsidR="008A1345">
      <w:pPr>
        <w:widowControl/>
        <w:autoSpaceDE/>
        <w:autoSpaceDN/>
        <w:spacing w:lineRule="auto" w:line="276" w:after="200"/>
        <w:jc w:val="both"/>
        <w:rPr>
          <w:rFonts w:eastAsia="Times New Roman"/>
          <w:bCs/>
          <w:color w:val="000000"/>
          <w:lang w:bidi="en-US" w:eastAsia="en-US"/>
        </w:rPr>
      </w:pPr>
      <w:r w:rsidRPr="008A1345">
        <w:rPr>
          <w:rFonts w:eastAsia="Times New Roman"/>
          <w:bCs/>
          <w:color w:val="000000"/>
          <w:lang w:bidi="en-US" w:eastAsia="en-US"/>
        </w:rPr>
        <w:t xml:space="preserve">Grupa nastavlja aktivno upravljati svojom likvidnošću, pri čemu se prognoze novčanih tokova ažuriraju svaka dva tjedna, a na toj se osnovi utvrđuju tjedni/dvotjedni planovi plaćanja. Zahtjevi hrvatskih društava unutar Grupe za plaćanjem se pregledavaju </w:t>
      </w:r>
      <w:r w:rsidR="009744EF">
        <w:rPr>
          <w:rFonts w:eastAsia="Times New Roman"/>
          <w:bCs/>
          <w:color w:val="000000"/>
          <w:lang w:bidi="en-US" w:eastAsia="en-US"/>
        </w:rPr>
        <w:t>i</w:t>
      </w:r>
      <w:r w:rsidRPr="008A1345">
        <w:rPr>
          <w:rFonts w:eastAsia="Times New Roman"/>
          <w:bCs/>
          <w:color w:val="000000"/>
          <w:lang w:bidi="en-US" w:eastAsia="en-US"/>
        </w:rPr>
        <w:t xml:space="preserve"> odobravaju za potrebe izvršenja plaćanja. U razdoblju otkad su u lipnju 2017. godine prikupljena nova sredstva za financiranje do sredine </w:t>
      </w:r>
      <w:r w:rsidR="008A1345">
        <w:rPr>
          <w:rFonts w:eastAsia="Times New Roman"/>
          <w:bCs/>
          <w:color w:val="000000"/>
          <w:lang w:bidi="en-US" w:eastAsia="en-US"/>
        </w:rPr>
        <w:t>kolovoza</w:t>
      </w:r>
      <w:r w:rsidRPr="008A1345">
        <w:rPr>
          <w:rFonts w:eastAsia="Times New Roman"/>
          <w:bCs/>
          <w:color w:val="000000"/>
          <w:lang w:bidi="en-US" w:eastAsia="en-US"/>
        </w:rPr>
        <w:t xml:space="preserve"> 2018. godine u operativne su djelatnosti raspoređe</w:t>
      </w:r>
      <w:r w:rsidR="008A1345">
        <w:rPr>
          <w:rFonts w:eastAsia="Times New Roman"/>
          <w:bCs/>
          <w:color w:val="000000"/>
          <w:lang w:bidi="en-US" w:eastAsia="en-US"/>
        </w:rPr>
        <w:t>na neto sredstva u iznosu od 1,1</w:t>
      </w:r>
      <w:r w:rsidRPr="008A1345">
        <w:rPr>
          <w:rFonts w:eastAsia="Times New Roman"/>
          <w:bCs/>
          <w:color w:val="000000"/>
          <w:lang w:bidi="en-US" w:eastAsia="en-US"/>
        </w:rPr>
        <w:t xml:space="preserve"> milijarde kuna kao podrška likvidnosti. </w:t>
      </w:r>
    </w:p>
    <w:p w:rsidRDefault="00000C33" w:rsidP="001312FE" w:rsidR="00000C33" w:rsidRPr="008A1345">
      <w:pPr>
        <w:widowControl/>
        <w:autoSpaceDE/>
        <w:autoSpaceDN/>
        <w:spacing w:lineRule="auto" w:line="276" w:after="200"/>
        <w:jc w:val="both"/>
        <w:rPr>
          <w:rFonts w:eastAsia="Times New Roman"/>
          <w:bCs/>
          <w:color w:val="000000"/>
          <w:lang w:bidi="en-US" w:eastAsia="en-US"/>
        </w:rPr>
      </w:pPr>
      <w:r w:rsidRPr="008A1345">
        <w:rPr>
          <w:rFonts w:eastAsia="Times New Roman"/>
          <w:bCs/>
          <w:color w:val="000000"/>
          <w:lang w:bidi="en-US" w:eastAsia="en-US"/>
        </w:rPr>
        <w:t xml:space="preserve">Kako je raspravljeno u ranijim mjesečnim izvještajima, ta su novčana sredstva prvenstveno iskorištena za podmirenje obveza prema dobavljačima iz razdoblja nakon 10. travnja 2017. godine te za obnovu zaliha u operativnim kompanijama. Time se operativnim društvima Grupe kontinuirano omogućava da se u potpunosti pripreme za svoje sezonske poslove u 2018. godini, kao što je to bio slučaj i u 2017. godini. To se smatra jednim od najvažnijih postignuća ukupnog procesa restrukturiranja za vrijeme postupka izvanredne uprave. </w:t>
      </w:r>
    </w:p>
    <w:p w:rsidRDefault="00000C33" w:rsidP="001312FE" w:rsidR="00000C33" w:rsidRPr="00000C33">
      <w:pPr>
        <w:spacing w:lineRule="auto" w:line="276"/>
        <w:rPr>
          <w:highlight w:val="yellow"/>
        </w:rPr>
      </w:pPr>
    </w:p>
    <w:p w:rsidRDefault="00000C33" w:rsidP="001312FE" w:rsidR="00000C33" w:rsidRPr="008A1345">
      <w:pPr>
        <w:spacing w:lineRule="auto" w:line="276"/>
        <w:rPr>
          <w:rFonts w:eastAsia="Times New Roman"/>
          <w:bCs/>
          <w:color w:val="000000"/>
        </w:rPr>
      </w:pPr>
      <w:r w:rsidRPr="008A1345">
        <w:rPr>
          <w:rFonts w:eastAsia="Times New Roman"/>
          <w:bCs/>
          <w:color w:val="000000"/>
        </w:rPr>
        <w:t>Tablica u nastavku daje sažeti prikaz aktualne i prethodnih prognoza novčanog toka:</w:t>
      </w:r>
    </w:p>
    <w:p w:rsidRDefault="001D4987" w:rsidP="001312FE" w:rsidR="00000C33" w:rsidRPr="00000C33">
      <w:pPr>
        <w:rPr>
          <w:highlight w:val="yellow"/>
        </w:rPr>
      </w:pPr>
      <w:r>
        <w:rPr>
          <w:noProof/>
          <w:sz w:val="23"/>
          <w:szCs w:val="23"/>
          <w:highlight w:val="yellow"/>
          <w:lang w:bidi="ar-SA"/>
        </w:rPr>
        <w:pict>
          <v:rect fillcolor="#c00" strokeweight="2pt" stroked="f" id="_x0000_s1039" style="position:absolute;margin-left:.2pt;margin-top:5.85pt;width:476.05pt;height:41.7pt;z-index:2516874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v:textbox inset="2.80314mm,1.40158mm,2.80314mm,1.40158mm">
              <w:txbxContent>
                <w:p w:rsidRDefault="00CC3F8B" w:rsidP="00000C33" w:rsidR="00CC3F8B" w:rsidRPr="004A70CD">
                  <w:pPr>
                    <w:jc w:val="center"/>
                    <w:rPr>
                      <w:szCs w:val="20"/>
                    </w:rPr>
                  </w:pPr>
                  <w:r>
                    <w:rPr>
                      <w:b/>
                      <w:bCs/>
                      <w:color w:themeColor="light1" w:val="FFFFFF"/>
                      <w:kern w:val="24"/>
                      <w:szCs w:val="20"/>
                    </w:rPr>
                    <w:t>Prognoza za 34. tjedan –</w:t>
                  </w:r>
                  <w:r w:rsidRPr="004A70CD">
                    <w:rPr>
                      <w:b/>
                      <w:bCs/>
                      <w:color w:themeColor="light1" w:val="FFFFFF"/>
                      <w:kern w:val="24"/>
                      <w:szCs w:val="20"/>
                    </w:rPr>
                    <w:t xml:space="preserve"> </w:t>
                  </w:r>
                  <w:r>
                    <w:rPr>
                      <w:b/>
                      <w:bCs/>
                      <w:color w:themeColor="light1" w:val="FFFFFF"/>
                      <w:kern w:val="24"/>
                      <w:szCs w:val="20"/>
                    </w:rPr>
                    <w:t>kratkoročni novčani tijek za 13 tjedana za 19 osnovnih ovisnih društava u odnosu na prethodni tjedan</w:t>
                  </w:r>
                  <w:r w:rsidRPr="004A70CD">
                    <w:rPr>
                      <w:b/>
                      <w:bCs/>
                      <w:color w:themeColor="light1" w:val="FFFFFF"/>
                      <w:kern w:val="24"/>
                      <w:szCs w:val="20"/>
                    </w:rPr>
                    <w:t xml:space="preserve"> (</w:t>
                  </w:r>
                  <w:r>
                    <w:rPr>
                      <w:b/>
                      <w:bCs/>
                      <w:color w:themeColor="light1" w:val="FFFFFF"/>
                      <w:kern w:val="24"/>
                      <w:szCs w:val="20"/>
                    </w:rPr>
                    <w:t xml:space="preserve">mil. </w:t>
                  </w:r>
                  <w:r w:rsidRPr="004A70CD">
                    <w:rPr>
                      <w:b/>
                      <w:bCs/>
                      <w:color w:themeColor="light1" w:val="FFFFFF"/>
                      <w:kern w:val="24"/>
                      <w:szCs w:val="20"/>
                    </w:rPr>
                    <w:t>HRK)</w:t>
                  </w:r>
                </w:p>
              </w:txbxContent>
            </v:textbox>
            <w10:wrap anchorx="margin"/>
          </v:rect>
        </w:pict>
      </w:r>
    </w:p>
    <w:p w:rsidRDefault="00000C33" w:rsidP="001312FE" w:rsidR="00000C33" w:rsidRPr="00000C33">
      <w:pPr>
        <w:rPr>
          <w:highlight w:val="yellow"/>
        </w:rPr>
      </w:pPr>
    </w:p>
    <w:p w:rsidRDefault="00000C33" w:rsidP="001312FE" w:rsidR="00000C33" w:rsidRPr="00000C33">
      <w:pPr>
        <w:rPr>
          <w:highlight w:val="yellow"/>
        </w:rPr>
      </w:pPr>
    </w:p>
    <w:p w:rsidRDefault="00000C33" w:rsidP="001312FE" w:rsidR="00000C33" w:rsidRPr="00000C33">
      <w:pPr>
        <w:rPr>
          <w:highlight w:val="yellow"/>
        </w:rPr>
      </w:pPr>
    </w:p>
    <w:tbl>
      <w:tblPr>
        <w:tblW w:type="dxa" w:w="9500"/>
        <w:tblInd w:type="dxa" w:w="144"/>
        <w:tblBorders>
          <w:top w:space="0" w:sz="4" w:color="CC0000" w:val="single"/>
          <w:left w:space="0" w:sz="4" w:color="CC0000" w:val="single"/>
          <w:bottom w:space="0" w:sz="4" w:color="CC0000" w:val="single"/>
          <w:right w:space="0" w:sz="4" w:color="CC0000" w:val="single"/>
          <w:insideH w:space="0" w:sz="4" w:color="CC0000" w:val="single"/>
          <w:insideV w:space="0" w:sz="4" w:color="CC0000" w:val="single"/>
        </w:tblBorders>
        <w:tblCellMar>
          <w:left w:type="dxa" w:w="0"/>
          <w:right w:type="dxa" w:w="0"/>
        </w:tblCellMar>
        <w:tblLook w:val="0420" w:noVBand="1" w:noHBand="0" w:lastColumn="0" w:firstColumn="0" w:lastRow="0" w:firstRow="1"/>
      </w:tblPr>
      <w:tblGrid>
        <w:gridCol w:w="5029"/>
        <w:gridCol w:w="2203"/>
        <w:gridCol w:w="2268"/>
      </w:tblGrid>
      <w:tr w:rsidTr="00062C1C" w:rsidR="00000C33" w:rsidRPr="008A1345">
        <w:trPr>
          <w:trHeight w:val="224"/>
        </w:trPr>
        <w:tc>
          <w:tcPr>
            <w:tcW w:type="dxa" w:w="5029"/>
            <w:shd w:fill="CC0000" w:color="auto" w:val="clear"/>
            <w:tcMar>
              <w:top w:type="dxa" w:w="72"/>
              <w:left w:type="dxa" w:w="144"/>
              <w:bottom w:type="dxa" w:w="72"/>
              <w:right w:type="dxa" w:w="144"/>
            </w:tcMar>
            <w:vAlign w:val="center"/>
            <w:hideMark/>
          </w:tcPr>
          <w:p w:rsidRDefault="00000C33" w:rsidP="001312FE" w:rsidR="00000C33" w:rsidRPr="00000C33">
            <w:pPr>
              <w:rPr>
                <w:highlight w:val="yellow"/>
              </w:rPr>
            </w:pPr>
          </w:p>
        </w:tc>
        <w:tc>
          <w:tcPr>
            <w:tcW w:type="dxa" w:w="2203"/>
            <w:shd w:fill="CC0000" w:color="auto" w:val="clear"/>
            <w:tcMar>
              <w:top w:type="dxa" w:w="72"/>
              <w:left w:type="dxa" w:w="144"/>
              <w:bottom w:type="dxa" w:w="72"/>
              <w:right w:type="dxa" w:w="144"/>
            </w:tcMar>
            <w:vAlign w:val="center"/>
            <w:hideMark/>
          </w:tcPr>
          <w:p w:rsidRDefault="00000C33" w:rsidP="001312FE" w:rsidR="00000C33" w:rsidRPr="008A1345">
            <w:pPr>
              <w:adjustRightInd w:val="false"/>
              <w:jc w:val="right"/>
              <w:rPr>
                <w:rFonts w:eastAsia="Verdana"/>
                <w:color w:val="FFFFFF"/>
                <w:sz w:val="23"/>
                <w:szCs w:val="23"/>
                <w:lang w:bidi="ar-SA"/>
              </w:rPr>
            </w:pPr>
            <w:r w:rsidRPr="008A1345">
              <w:rPr>
                <w:rFonts w:eastAsia="Verdana"/>
                <w:b/>
                <w:bCs/>
                <w:color w:val="FFFFFF"/>
                <w:sz w:val="23"/>
                <w:szCs w:val="23"/>
                <w:lang w:bidi="ar-SA"/>
              </w:rPr>
              <w:t xml:space="preserve">Aktualni kratkoročni novčani tijek </w:t>
            </w:r>
            <w:r w:rsidRPr="008A1345">
              <w:rPr>
                <w:rFonts w:eastAsia="Verdana"/>
                <w:b/>
                <w:bCs/>
                <w:color w:val="FFFFFF"/>
                <w:sz w:val="23"/>
                <w:szCs w:val="23"/>
                <w:lang w:bidi="ar-SA"/>
              </w:rPr>
              <w:br/>
              <w:t>(</w:t>
            </w:r>
            <w:r w:rsidR="008A1345">
              <w:rPr>
                <w:rFonts w:eastAsia="Verdana"/>
                <w:b/>
                <w:bCs/>
                <w:color w:val="FFFFFF"/>
                <w:sz w:val="23"/>
                <w:szCs w:val="23"/>
                <w:lang w:bidi="ar-SA"/>
              </w:rPr>
              <w:t>33</w:t>
            </w:r>
            <w:r w:rsidRPr="008A1345">
              <w:rPr>
                <w:rFonts w:eastAsia="Verdana"/>
                <w:b/>
                <w:bCs/>
                <w:color w:themeColor="background1" w:val="FFFFFF"/>
                <w:sz w:val="23"/>
                <w:szCs w:val="23"/>
                <w:lang w:bidi="ar-SA"/>
              </w:rPr>
              <w:t xml:space="preserve"> </w:t>
            </w:r>
            <w:r w:rsidRPr="008A1345">
              <w:rPr>
                <w:rFonts w:eastAsia="Verdana"/>
                <w:b/>
                <w:bCs/>
                <w:color w:val="FFFFFF"/>
                <w:sz w:val="23"/>
                <w:szCs w:val="23"/>
                <w:lang w:bidi="ar-SA"/>
              </w:rPr>
              <w:t>. tjedan)</w:t>
            </w:r>
          </w:p>
        </w:tc>
        <w:tc>
          <w:tcPr>
            <w:tcW w:type="dxa" w:w="2268"/>
            <w:shd w:fill="CC0000" w:color="auto" w:val="clear"/>
            <w:tcMar>
              <w:top w:type="dxa" w:w="72"/>
              <w:left w:type="dxa" w:w="144"/>
              <w:bottom w:type="dxa" w:w="72"/>
              <w:right w:type="dxa" w:w="144"/>
            </w:tcMar>
            <w:vAlign w:val="center"/>
            <w:hideMark/>
          </w:tcPr>
          <w:p w:rsidRDefault="00000C33" w:rsidP="001312FE" w:rsidR="00000C33" w:rsidRPr="008A1345">
            <w:pPr>
              <w:adjustRightInd w:val="false"/>
              <w:jc w:val="right"/>
              <w:rPr>
                <w:rFonts w:eastAsia="Verdana"/>
                <w:color w:val="FFFFFF"/>
                <w:sz w:val="23"/>
                <w:szCs w:val="23"/>
                <w:lang w:bidi="ar-SA"/>
              </w:rPr>
            </w:pPr>
            <w:r w:rsidRPr="008A1345">
              <w:rPr>
                <w:rFonts w:eastAsia="Verdana"/>
                <w:b/>
                <w:bCs/>
                <w:color w:val="FFFFFF"/>
                <w:sz w:val="23"/>
                <w:szCs w:val="23"/>
                <w:lang w:bidi="ar-SA"/>
              </w:rPr>
              <w:t>Kratkoročni novčani tijek u prethodnom tjednu</w:t>
            </w:r>
          </w:p>
          <w:p w:rsidRDefault="00000C33" w:rsidP="001312FE" w:rsidR="00000C33" w:rsidRPr="008A1345">
            <w:pPr>
              <w:adjustRightInd w:val="false"/>
              <w:jc w:val="right"/>
              <w:rPr>
                <w:rFonts w:eastAsia="Verdana"/>
                <w:color w:val="FFFFFF"/>
                <w:sz w:val="23"/>
                <w:szCs w:val="23"/>
                <w:lang w:bidi="ar-SA"/>
              </w:rPr>
            </w:pPr>
            <w:r w:rsidRPr="008A1345">
              <w:rPr>
                <w:rFonts w:eastAsia="Verdana"/>
                <w:b/>
                <w:bCs/>
                <w:color w:val="FFFFFF"/>
                <w:sz w:val="23"/>
                <w:szCs w:val="23"/>
                <w:lang w:bidi="ar-SA"/>
              </w:rPr>
              <w:t>(</w:t>
            </w:r>
            <w:r w:rsidR="008A1345">
              <w:rPr>
                <w:rFonts w:eastAsia="Verdana"/>
                <w:b/>
                <w:bCs/>
                <w:color w:val="FFFFFF"/>
                <w:sz w:val="23"/>
                <w:szCs w:val="23"/>
                <w:lang w:bidi="ar-SA"/>
              </w:rPr>
              <w:t>31.tjedan</w:t>
            </w:r>
            <w:r w:rsidRPr="008A1345">
              <w:rPr>
                <w:rFonts w:eastAsia="Verdana"/>
                <w:b/>
                <w:bCs/>
                <w:color w:val="FFFFFF"/>
                <w:sz w:val="23"/>
                <w:szCs w:val="23"/>
                <w:lang w:bidi="ar-SA"/>
              </w:rPr>
              <w:t>)</w:t>
            </w:r>
          </w:p>
        </w:tc>
      </w:tr>
      <w:tr w:rsidTr="00062C1C" w:rsidR="00000C33" w:rsidRPr="008A1345">
        <w:trPr>
          <w:trHeight w:val="224"/>
        </w:trPr>
        <w:tc>
          <w:tcPr>
            <w:tcW w:type="dxa" w:w="5029"/>
            <w:shd w:fill="FFFFFF" w:color="auto" w:val="clear"/>
            <w:tcMar>
              <w:top w:type="dxa" w:w="72"/>
              <w:left w:type="dxa" w:w="144"/>
              <w:bottom w:type="dxa" w:w="72"/>
              <w:right w:type="dxa" w:w="144"/>
            </w:tcMar>
            <w:hideMark/>
          </w:tcPr>
          <w:p w:rsidRDefault="00000C33" w:rsidP="001312FE" w:rsidR="00000C33" w:rsidRPr="008A1345">
            <w:pPr>
              <w:adjustRightInd w:val="false"/>
              <w:rPr>
                <w:rFonts w:eastAsia="Verdana"/>
                <w:sz w:val="23"/>
                <w:szCs w:val="23"/>
                <w:lang w:bidi="ar-SA"/>
              </w:rPr>
            </w:pPr>
            <w:r w:rsidRPr="008A1345">
              <w:rPr>
                <w:rFonts w:eastAsia="Verdana"/>
                <w:sz w:val="23"/>
                <w:szCs w:val="23"/>
                <w:lang w:bidi="ar-SA"/>
              </w:rPr>
              <w:t>Minimalni novčani saldo (13 tj.)</w:t>
            </w:r>
          </w:p>
        </w:tc>
        <w:tc>
          <w:tcPr>
            <w:tcW w:type="dxa" w:w="2203"/>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rFonts w:eastAsia="Verdana"/>
                <w:sz w:val="23"/>
                <w:szCs w:val="23"/>
                <w:lang w:bidi="ar-SA"/>
              </w:rPr>
              <w:t>738</w:t>
            </w:r>
          </w:p>
        </w:tc>
        <w:tc>
          <w:tcPr>
            <w:tcW w:type="dxa" w:w="2268"/>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rFonts w:eastAsia="Verdana"/>
                <w:sz w:val="23"/>
                <w:szCs w:val="23"/>
                <w:lang w:bidi="ar-SA"/>
              </w:rPr>
              <w:t>683</w:t>
            </w:r>
          </w:p>
        </w:tc>
      </w:tr>
      <w:tr w:rsidTr="00062C1C" w:rsidR="00000C33" w:rsidRPr="008A1345">
        <w:trPr>
          <w:trHeight w:val="224"/>
        </w:trPr>
        <w:tc>
          <w:tcPr>
            <w:tcW w:type="dxa" w:w="5029"/>
            <w:shd w:fill="FFFFFF" w:color="auto" w:val="clear"/>
            <w:tcMar>
              <w:top w:type="dxa" w:w="72"/>
              <w:left w:type="dxa" w:w="144"/>
              <w:bottom w:type="dxa" w:w="72"/>
              <w:right w:type="dxa" w:w="144"/>
            </w:tcMar>
            <w:hideMark/>
          </w:tcPr>
          <w:p w:rsidRDefault="00000C33" w:rsidP="001312FE" w:rsidR="00000C33" w:rsidRPr="008A1345">
            <w:pPr>
              <w:adjustRightInd w:val="false"/>
              <w:rPr>
                <w:rFonts w:eastAsia="Verdana"/>
                <w:sz w:val="23"/>
                <w:szCs w:val="23"/>
                <w:lang w:bidi="ar-SA"/>
              </w:rPr>
            </w:pPr>
            <w:r w:rsidRPr="008A1345">
              <w:rPr>
                <w:rFonts w:eastAsia="Verdana"/>
                <w:sz w:val="23"/>
                <w:szCs w:val="23"/>
                <w:lang w:bidi="ar-SA"/>
              </w:rPr>
              <w:t>Maksimalni novčani saldo (13 tj.)</w:t>
            </w:r>
          </w:p>
        </w:tc>
        <w:tc>
          <w:tcPr>
            <w:tcW w:type="dxa" w:w="2203"/>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color w:val="000000"/>
                <w:kern w:val="24"/>
              </w:rPr>
              <w:t>1.202</w:t>
            </w:r>
          </w:p>
        </w:tc>
        <w:tc>
          <w:tcPr>
            <w:tcW w:type="dxa" w:w="2268"/>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color w:val="000000"/>
                <w:kern w:val="24"/>
              </w:rPr>
              <w:t>1.055</w:t>
            </w:r>
          </w:p>
        </w:tc>
      </w:tr>
      <w:tr w:rsidTr="00062C1C" w:rsidR="00000C33" w:rsidRPr="008A1345">
        <w:trPr>
          <w:trHeight w:val="224"/>
        </w:trPr>
        <w:tc>
          <w:tcPr>
            <w:tcW w:type="dxa" w:w="5029"/>
            <w:shd w:fill="FFFFFF" w:color="auto" w:val="clear"/>
            <w:tcMar>
              <w:top w:type="dxa" w:w="72"/>
              <w:left w:type="dxa" w:w="144"/>
              <w:bottom w:type="dxa" w:w="72"/>
              <w:right w:type="dxa" w:w="144"/>
            </w:tcMar>
            <w:hideMark/>
          </w:tcPr>
          <w:p w:rsidRDefault="00000C33" w:rsidP="001312FE" w:rsidR="00000C33" w:rsidRPr="008A1345">
            <w:pPr>
              <w:adjustRightInd w:val="false"/>
              <w:rPr>
                <w:rFonts w:eastAsia="Verdana"/>
                <w:sz w:val="23"/>
                <w:szCs w:val="23"/>
                <w:lang w:bidi="ar-SA"/>
              </w:rPr>
            </w:pPr>
            <w:r w:rsidRPr="008A1345">
              <w:rPr>
                <w:rFonts w:eastAsia="Verdana"/>
                <w:sz w:val="23"/>
                <w:szCs w:val="23"/>
                <w:lang w:bidi="ar-SA"/>
              </w:rPr>
              <w:t>Minimalna obveza likvidnosti</w:t>
            </w:r>
          </w:p>
        </w:tc>
        <w:tc>
          <w:tcPr>
            <w:tcW w:type="dxa" w:w="2203"/>
            <w:shd w:fill="FFFFFF" w:color="auto" w:val="clear"/>
            <w:tcMar>
              <w:top w:type="dxa" w:w="15"/>
              <w:left w:type="dxa" w:w="15"/>
              <w:bottom w:type="dxa" w:w="0"/>
              <w:right w:type="dxa" w:w="15"/>
            </w:tcMar>
            <w:vAlign w:val="center"/>
            <w:hideMark/>
          </w:tcPr>
          <w:p w:rsidRDefault="00000C33" w:rsidP="001312FE" w:rsidR="00000C33" w:rsidRPr="008A1345">
            <w:pPr>
              <w:adjustRightInd w:val="false"/>
              <w:jc w:val="right"/>
              <w:rPr>
                <w:rFonts w:eastAsia="Verdana"/>
                <w:sz w:val="23"/>
                <w:szCs w:val="23"/>
                <w:lang w:bidi="ar-SA"/>
              </w:rPr>
            </w:pPr>
            <w:r w:rsidRPr="008A1345">
              <w:rPr>
                <w:color w:val="000000"/>
                <w:kern w:val="24"/>
              </w:rPr>
              <w:t>296</w:t>
            </w:r>
          </w:p>
        </w:tc>
        <w:tc>
          <w:tcPr>
            <w:tcW w:type="dxa" w:w="2268"/>
            <w:shd w:fill="FFFFFF" w:color="auto" w:val="clear"/>
            <w:tcMar>
              <w:top w:type="dxa" w:w="15"/>
              <w:left w:type="dxa" w:w="15"/>
              <w:bottom w:type="dxa" w:w="0"/>
              <w:right w:type="dxa" w:w="15"/>
            </w:tcMar>
            <w:vAlign w:val="center"/>
            <w:hideMark/>
          </w:tcPr>
          <w:p w:rsidRDefault="00000C33" w:rsidP="001312FE" w:rsidR="00000C33" w:rsidRPr="008A1345">
            <w:pPr>
              <w:adjustRightInd w:val="false"/>
              <w:jc w:val="right"/>
              <w:rPr>
                <w:rFonts w:eastAsia="Verdana"/>
                <w:sz w:val="23"/>
                <w:szCs w:val="23"/>
                <w:lang w:bidi="ar-SA"/>
              </w:rPr>
            </w:pPr>
            <w:r w:rsidRPr="008A1345">
              <w:rPr>
                <w:color w:val="000000"/>
                <w:kern w:val="24"/>
              </w:rPr>
              <w:t>296</w:t>
            </w:r>
          </w:p>
        </w:tc>
      </w:tr>
      <w:tr w:rsidTr="00062C1C" w:rsidR="00000C33" w:rsidRPr="008A1345">
        <w:trPr>
          <w:trHeight w:val="224"/>
        </w:trPr>
        <w:tc>
          <w:tcPr>
            <w:tcW w:type="dxa" w:w="5029"/>
            <w:shd w:fill="FFFFFF" w:color="auto" w:val="clear"/>
            <w:tcMar>
              <w:top w:type="dxa" w:w="72"/>
              <w:left w:type="dxa" w:w="144"/>
              <w:bottom w:type="dxa" w:w="72"/>
              <w:right w:type="dxa" w:w="144"/>
            </w:tcMar>
            <w:hideMark/>
          </w:tcPr>
          <w:p w:rsidRDefault="00000C33" w:rsidP="001312FE" w:rsidR="00000C33" w:rsidRPr="008A1345">
            <w:pPr>
              <w:adjustRightInd w:val="false"/>
              <w:rPr>
                <w:rFonts w:eastAsia="Verdana"/>
                <w:sz w:val="23"/>
                <w:szCs w:val="23"/>
                <w:lang w:bidi="ar-SA"/>
              </w:rPr>
            </w:pPr>
            <w:r w:rsidRPr="008A1345">
              <w:rPr>
                <w:rFonts w:eastAsia="Verdana"/>
                <w:b/>
                <w:bCs/>
                <w:sz w:val="23"/>
                <w:szCs w:val="23"/>
                <w:lang w:bidi="ar-SA"/>
              </w:rPr>
              <w:t xml:space="preserve">Raspoloživa likvidnost </w:t>
            </w:r>
          </w:p>
        </w:tc>
        <w:tc>
          <w:tcPr>
            <w:tcW w:type="dxa" w:w="2203"/>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b/>
                <w:bCs/>
                <w:color w:val="000000"/>
                <w:kern w:val="24"/>
              </w:rPr>
              <w:t>442</w:t>
            </w:r>
            <w:r w:rsidR="00000C33" w:rsidRPr="008A1345">
              <w:rPr>
                <w:b/>
                <w:bCs/>
                <w:color w:val="000000"/>
                <w:kern w:val="24"/>
              </w:rPr>
              <w:t xml:space="preserve"> – </w:t>
            </w:r>
            <w:r>
              <w:rPr>
                <w:b/>
                <w:bCs/>
                <w:color w:val="000000"/>
                <w:kern w:val="24"/>
              </w:rPr>
              <w:t>906</w:t>
            </w:r>
          </w:p>
        </w:tc>
        <w:tc>
          <w:tcPr>
            <w:tcW w:type="dxa" w:w="2268"/>
            <w:shd w:fill="FFFFFF" w:color="auto" w:val="clear"/>
            <w:tcMar>
              <w:top w:type="dxa" w:w="15"/>
              <w:left w:type="dxa" w:w="15"/>
              <w:bottom w:type="dxa" w:w="0"/>
              <w:right w:type="dxa" w:w="15"/>
            </w:tcMar>
            <w:vAlign w:val="center"/>
            <w:hideMark/>
          </w:tcPr>
          <w:p w:rsidRDefault="008A1345" w:rsidP="001312FE" w:rsidR="00000C33" w:rsidRPr="008A1345">
            <w:pPr>
              <w:adjustRightInd w:val="false"/>
              <w:jc w:val="right"/>
              <w:rPr>
                <w:rFonts w:eastAsia="Verdana"/>
                <w:sz w:val="23"/>
                <w:szCs w:val="23"/>
                <w:lang w:bidi="ar-SA"/>
              </w:rPr>
            </w:pPr>
            <w:r>
              <w:rPr>
                <w:b/>
                <w:bCs/>
                <w:color w:val="000000"/>
                <w:kern w:val="24"/>
              </w:rPr>
              <w:t>387</w:t>
            </w:r>
            <w:r w:rsidR="00000C33" w:rsidRPr="008A1345">
              <w:rPr>
                <w:b/>
                <w:bCs/>
                <w:color w:val="000000"/>
                <w:kern w:val="24"/>
              </w:rPr>
              <w:t xml:space="preserve"> – </w:t>
            </w:r>
            <w:r>
              <w:rPr>
                <w:b/>
                <w:bCs/>
                <w:color w:val="000000"/>
                <w:kern w:val="24"/>
              </w:rPr>
              <w:t>759</w:t>
            </w:r>
          </w:p>
        </w:tc>
      </w:tr>
    </w:tbl>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r w:rsidRPr="00000C33">
        <w:br w:type="page"/>
      </w:r>
    </w:p>
    <w:p w:rsidRDefault="00000C33" w:rsidP="001312FE" w:rsidR="00000C33" w:rsidRPr="00000C33"/>
    <w:p w:rsidRDefault="00000C33" w:rsidP="00062C1C" w:rsidR="00000C33">
      <w:pPr>
        <w:numPr>
          <w:ilvl w:val="1"/>
          <w:numId w:val="0"/>
        </w:numPr>
        <w:ind w:left="440"/>
        <w:outlineLvl w:val="1"/>
        <w:rPr>
          <w:b/>
          <w:sz w:val="24"/>
          <w:szCs w:val="24"/>
        </w:rPr>
      </w:pPr>
      <w:bookmarkStart w:name="_Toc523299369" w:id="42"/>
      <w:r w:rsidRPr="008A1345">
        <w:rPr>
          <w:b/>
          <w:sz w:val="24"/>
          <w:szCs w:val="24"/>
        </w:rPr>
        <w:t>3.2. Podmirenje tražbina dobavljača</w:t>
      </w:r>
      <w:bookmarkEnd w:id="42"/>
    </w:p>
    <w:p w:rsidRDefault="008A1345" w:rsidP="001312FE" w:rsidR="008A1345" w:rsidRPr="008A1345">
      <w:pPr>
        <w:numPr>
          <w:ilvl w:val="1"/>
          <w:numId w:val="0"/>
        </w:numPr>
        <w:ind w:left="792"/>
        <w:outlineLvl w:val="1"/>
        <w:rPr>
          <w:b/>
          <w:sz w:val="24"/>
          <w:szCs w:val="24"/>
        </w:rPr>
      </w:pPr>
    </w:p>
    <w:p w:rsidRDefault="008A1345" w:rsidP="00062C1C" w:rsidR="00000C33" w:rsidRPr="008A1345">
      <w:pPr>
        <w:ind w:firstLine="110" w:left="550"/>
        <w:rPr>
          <w:b/>
          <w:sz w:val="24"/>
        </w:rPr>
      </w:pPr>
      <w:r>
        <w:rPr>
          <w:b/>
          <w:sz w:val="24"/>
          <w:szCs w:val="24"/>
        </w:rPr>
        <w:t xml:space="preserve">3.2.1. </w:t>
      </w:r>
      <w:r w:rsidR="00000C33" w:rsidRPr="008A1345">
        <w:rPr>
          <w:b/>
          <w:sz w:val="24"/>
        </w:rPr>
        <w:t>Financiranje trgovačkim kreditom</w:t>
      </w:r>
    </w:p>
    <w:p w:rsidRDefault="00000C33" w:rsidP="001312FE" w:rsidR="00000C33" w:rsidRPr="008A1345">
      <w:pPr>
        <w:spacing w:lineRule="auto" w:line="276"/>
      </w:pPr>
    </w:p>
    <w:p w:rsidRDefault="00000C33" w:rsidP="001312FE" w:rsidR="00000C33" w:rsidRPr="008A1345">
      <w:pPr>
        <w:spacing w:lineRule="auto" w:line="276"/>
        <w:jc w:val="both"/>
        <w:rPr>
          <w:rFonts w:eastAsia="Times New Roman"/>
          <w:bCs/>
          <w:color w:val="000000"/>
        </w:rPr>
      </w:pPr>
      <w:r w:rsidRPr="008A1345">
        <w:rPr>
          <w:rFonts w:eastAsia="Times New Roman"/>
          <w:bCs/>
          <w:color w:val="000000"/>
        </w:rPr>
        <w:t xml:space="preserve">Kvota od 100 milijuna eura iz prethodnog izvještaja alocirana je kvalificiranim dobavljačima koji imaju velik obrtaj robe. </w:t>
      </w:r>
    </w:p>
    <w:p w:rsidRDefault="00000C33" w:rsidP="001312FE" w:rsidR="00000C33" w:rsidRPr="008A1345">
      <w:pPr>
        <w:spacing w:lineRule="auto" w:line="276"/>
        <w:jc w:val="both"/>
        <w:rPr>
          <w:rFonts w:eastAsia="Times New Roman"/>
          <w:bCs/>
          <w:color w:val="000000"/>
        </w:rPr>
      </w:pPr>
    </w:p>
    <w:p w:rsidRDefault="00000C33" w:rsidP="001312FE" w:rsidR="00000C33" w:rsidRPr="008A1345">
      <w:pPr>
        <w:spacing w:lineRule="auto" w:line="276"/>
        <w:jc w:val="both"/>
        <w:rPr>
          <w:rFonts w:eastAsia="Times New Roman"/>
          <w:bCs/>
          <w:color w:val="000000"/>
        </w:rPr>
      </w:pPr>
      <w:r w:rsidRPr="008A1345">
        <w:rPr>
          <w:rFonts w:eastAsia="Times New Roman"/>
          <w:bCs/>
          <w:color w:val="000000"/>
        </w:rPr>
        <w:t>Ukupno 44 dobavljača potpisala su pristupanje trgovačkom kreditu u ukupnome iznosu od 96,5 milijuna eura, što predstavlja ukupno 48,24 milijuna eura za robu i usluge. Od toga iznosa, roba i usluge u vrijednosti 48,</w:t>
      </w:r>
      <w:r w:rsidR="008A1345">
        <w:rPr>
          <w:rFonts w:eastAsia="Times New Roman"/>
          <w:bCs/>
          <w:color w:val="000000"/>
        </w:rPr>
        <w:t>23</w:t>
      </w:r>
      <w:r w:rsidRPr="008A1345">
        <w:rPr>
          <w:rFonts w:eastAsia="Times New Roman"/>
          <w:bCs/>
          <w:color w:val="000000"/>
        </w:rPr>
        <w:t xml:space="preserve"> milijuna eura već su isporučene. </w:t>
      </w:r>
    </w:p>
    <w:p w:rsidRDefault="00000C33" w:rsidP="001312FE" w:rsidR="00000C33" w:rsidRPr="008A1345"/>
    <w:p w:rsidRDefault="00000C33" w:rsidP="001312FE" w:rsidR="00000C33" w:rsidRPr="008A1345"/>
    <w:p w:rsidRDefault="00000C33" w:rsidP="001312FE" w:rsidR="00000C33" w:rsidRPr="008A1345"/>
    <w:p w:rsidRDefault="00000C33" w:rsidP="001312FE" w:rsidR="00000C33" w:rsidRPr="00000C33">
      <w:r w:rsidRPr="00000C33">
        <w:br w:type="page"/>
      </w:r>
    </w:p>
    <w:p w:rsidRDefault="00000C33" w:rsidP="001312FE" w:rsidR="00000C33" w:rsidRPr="00000C33"/>
    <w:p w:rsidRDefault="00000C33" w:rsidP="001312FE" w:rsidR="00000C33" w:rsidRPr="00000C33">
      <w:pPr>
        <w:ind w:left="360"/>
        <w:outlineLvl w:val="0"/>
        <w:rPr>
          <w:b/>
          <w:sz w:val="28"/>
          <w:szCs w:val="28"/>
        </w:rPr>
      </w:pPr>
      <w:bookmarkStart w:name="_Toc523299370" w:id="43"/>
      <w:r>
        <w:rPr>
          <w:b/>
          <w:sz w:val="28"/>
          <w:szCs w:val="28"/>
        </w:rPr>
        <w:t xml:space="preserve">4. </w:t>
      </w:r>
      <w:r w:rsidRPr="00000C33">
        <w:rPr>
          <w:b/>
          <w:sz w:val="28"/>
          <w:szCs w:val="28"/>
        </w:rPr>
        <w:t>Troškovi izvanredne uprave i operativnog poslovanja Agrokora d.d.</w:t>
      </w:r>
      <w:bookmarkEnd w:id="43"/>
    </w:p>
    <w:p w:rsidRDefault="00000C33" w:rsidP="001312FE" w:rsidR="00000C33" w:rsidRPr="00000C33">
      <w:pPr>
        <w:spacing w:lineRule="auto" w:line="276"/>
        <w:jc w:val="both"/>
        <w:rPr>
          <w:rFonts w:eastAsiaTheme="minorEastAsia"/>
          <w:lang w:bidi="ar-SA" w:eastAsia="zh-CN"/>
        </w:rPr>
      </w:pPr>
      <w:r w:rsidRPr="00000C33">
        <w:rPr>
          <w:rFonts w:eastAsiaTheme="minorEastAsia"/>
          <w:lang w:bidi="ar-SA" w:eastAsia="zh-CN"/>
        </w:rPr>
        <w:t xml:space="preserve"> </w:t>
      </w:r>
    </w:p>
    <w:p w:rsidRDefault="00701409" w:rsidP="001312FE" w:rsidR="00701409">
      <w:pPr>
        <w:spacing w:lineRule="auto" w:line="276" w:before="240"/>
        <w:jc w:val="both"/>
      </w:pPr>
      <w:r>
        <w:t xml:space="preserve">Kao i ranijih mjeseci, izvanredna uprava nastavlja upravljati nastalim troškovima operativnog poslovanja. Ti troškovi vezani su u potpunosti i izravno uz različite centralizirane usluge koje se pružaju unutar čitave Grupe. </w:t>
      </w:r>
    </w:p>
    <w:p w:rsidRDefault="00701409" w:rsidP="001312FE" w:rsidR="00701409">
      <w:pPr>
        <w:spacing w:lineRule="auto" w:line="276" w:before="240"/>
        <w:jc w:val="both"/>
      </w:pPr>
      <w:r>
        <w:t>Pregled operativnih troškova Agrokora plaćenih do kraja srpnja 2018.</w:t>
      </w:r>
      <w:r w:rsidR="004C2571">
        <w:t xml:space="preserve"> </w:t>
      </w:r>
      <w:r>
        <w:t xml:space="preserve">godine, razvrstanih prema tipu troška, nalaze se u tablici operativnih troškova prikazanoj ispod. Troškovne kategorije za period izvanredne Uprave detaljno uključuju sve savjetnike i sve ostale operativne troškove, bez obzira jesu li angažirani prije ili nakon početka postupka izvanredne uprave za navedeni period. </w:t>
      </w:r>
    </w:p>
    <w:p w:rsidRDefault="00701409" w:rsidP="001312FE" w:rsidR="00701409">
      <w:pPr>
        <w:spacing w:lineRule="auto" w:line="276" w:before="240"/>
        <w:jc w:val="both"/>
      </w:pPr>
      <w:r>
        <w:t xml:space="preserve">Fakture se i dalje knjiže i plaćaju na </w:t>
      </w:r>
      <w:r w:rsidRPr="00785094">
        <w:rPr>
          <w:i/>
        </w:rPr>
        <w:t>ad hoc</w:t>
      </w:r>
      <w:r>
        <w:t xml:space="preserve"> osnovi, u skladu s isporučenim uslugama. Grupa je ispregovarala izmjene u naknadama koje se plaćaju nizu savjetnika zbog promjene tipa i količine posla te strukture timova i njihovih zadataka, što je rezultiralo određenim smanjenjima naknada.</w:t>
      </w:r>
    </w:p>
    <w:p w:rsidRDefault="00701409" w:rsidP="001312FE" w:rsidR="00701409">
      <w:pPr>
        <w:spacing w:lineRule="auto" w:line="276" w:before="240"/>
        <w:jc w:val="both"/>
      </w:pPr>
      <w:bookmarkStart w:name="_Hlk512440245" w:id="44"/>
      <w:r>
        <w:t>Troškovi savjetnika za restrukturiranje su manji u srpnju 2018.</w:t>
      </w:r>
      <w:r w:rsidR="008C0AA5">
        <w:t xml:space="preserve"> godine</w:t>
      </w:r>
      <w:r>
        <w:t xml:space="preserve"> usporedno sa lipnjem 2018.</w:t>
      </w:r>
      <w:r w:rsidR="008C0AA5">
        <w:t xml:space="preserve"> godine</w:t>
      </w:r>
      <w:r>
        <w:t xml:space="preserve"> u nominalnom iznosu od 9,99 mil</w:t>
      </w:r>
      <w:r w:rsidR="008C0AA5">
        <w:t>ijuna</w:t>
      </w:r>
      <w:r>
        <w:t xml:space="preserve"> k</w:t>
      </w:r>
      <w:r w:rsidR="008C0AA5">
        <w:t>u</w:t>
      </w:r>
      <w:r>
        <w:t>n</w:t>
      </w:r>
      <w:r w:rsidR="008C0AA5">
        <w:t>a</w:t>
      </w:r>
      <w:r>
        <w:t>, a to smanjenje se sastoji od manjeg troška pravnih savjetnika u iznosu od 0,54 mil</w:t>
      </w:r>
      <w:r w:rsidR="008C0AA5">
        <w:t>ijuna</w:t>
      </w:r>
      <w:r>
        <w:t xml:space="preserve"> k</w:t>
      </w:r>
      <w:r w:rsidR="008C0AA5">
        <w:t>u</w:t>
      </w:r>
      <w:r>
        <w:t>n</w:t>
      </w:r>
      <w:r w:rsidR="008C0AA5">
        <w:t>a</w:t>
      </w:r>
      <w:r>
        <w:t>, manjeg troška financijskih savjetnika u iznosu od 1,82 mil</w:t>
      </w:r>
      <w:r w:rsidR="008C0AA5">
        <w:t>ijuna</w:t>
      </w:r>
      <w:r>
        <w:t xml:space="preserve"> k</w:t>
      </w:r>
      <w:r w:rsidR="008C0AA5">
        <w:t>u</w:t>
      </w:r>
      <w:r>
        <w:t>n</w:t>
      </w:r>
      <w:r w:rsidR="008C0AA5">
        <w:t>a</w:t>
      </w:r>
      <w:r>
        <w:t>, manjeg troška savjetnika za restrukturiranje u iznosu od 6,56 mil</w:t>
      </w:r>
      <w:r w:rsidR="008C0AA5">
        <w:t>ijuna</w:t>
      </w:r>
      <w:r>
        <w:t xml:space="preserve"> k</w:t>
      </w:r>
      <w:r w:rsidR="008C0AA5">
        <w:t>u</w:t>
      </w:r>
      <w:r>
        <w:t>n</w:t>
      </w:r>
      <w:r w:rsidR="008C0AA5">
        <w:t>a</w:t>
      </w:r>
      <w:r>
        <w:t xml:space="preserve"> te manjih troškova ostalih savjetnika u iznosu od 1,06 mil</w:t>
      </w:r>
      <w:r w:rsidR="008C0AA5">
        <w:t>ijuna</w:t>
      </w:r>
      <w:r>
        <w:t xml:space="preserve"> k</w:t>
      </w:r>
      <w:r w:rsidR="008C0AA5">
        <w:t>u</w:t>
      </w:r>
      <w:r>
        <w:t>n</w:t>
      </w:r>
      <w:r w:rsidR="008C0AA5">
        <w:t>a</w:t>
      </w:r>
      <w:r>
        <w:t>.</w:t>
      </w:r>
      <w:bookmarkEnd w:id="44"/>
    </w:p>
    <w:p w:rsidRDefault="00701409" w:rsidP="001312FE" w:rsidR="00701409">
      <w:pPr>
        <w:spacing w:lineRule="auto" w:line="276" w:before="240"/>
        <w:jc w:val="both"/>
      </w:pPr>
      <w:r>
        <w:t>U kumulativu za period od 10.</w:t>
      </w:r>
      <w:r w:rsidR="002C48C4">
        <w:t xml:space="preserve"> travnja </w:t>
      </w:r>
      <w:r>
        <w:t>2017.</w:t>
      </w:r>
      <w:r w:rsidR="002C48C4">
        <w:t xml:space="preserve"> godine</w:t>
      </w:r>
      <w:r>
        <w:t xml:space="preserve"> do 31.</w:t>
      </w:r>
      <w:r w:rsidR="002C48C4">
        <w:t xml:space="preserve"> srpnja </w:t>
      </w:r>
      <w:r>
        <w:t>2018.</w:t>
      </w:r>
      <w:r w:rsidR="00EB4BF1">
        <w:t xml:space="preserve"> </w:t>
      </w:r>
      <w:r w:rsidR="002C48C4">
        <w:t xml:space="preserve">godine, </w:t>
      </w:r>
      <w:r>
        <w:t>operativni troškovi Agrokora d.d. iznose 1,029 m</w:t>
      </w:r>
      <w:r w:rsidR="008C0AA5">
        <w:t>i</w:t>
      </w:r>
      <w:r>
        <w:t>l</w:t>
      </w:r>
      <w:r w:rsidR="008C0AA5">
        <w:t>ijardu</w:t>
      </w:r>
      <w:r>
        <w:t xml:space="preserve"> kuna, od čega pravn</w:t>
      </w:r>
      <w:r w:rsidR="008C0AA5">
        <w:t>i</w:t>
      </w:r>
      <w:r>
        <w:t>, financijsk</w:t>
      </w:r>
      <w:r w:rsidR="008C0AA5">
        <w:t>i</w:t>
      </w:r>
      <w:r>
        <w:t xml:space="preserve"> i ostal</w:t>
      </w:r>
      <w:r w:rsidR="008C0AA5">
        <w:t>i</w:t>
      </w:r>
      <w:r>
        <w:t xml:space="preserve"> savjetni</w:t>
      </w:r>
      <w:r w:rsidR="008C0AA5">
        <w:t xml:space="preserve">ci </w:t>
      </w:r>
      <w:r>
        <w:t>te savjetni</w:t>
      </w:r>
      <w:r w:rsidR="008C0AA5">
        <w:t xml:space="preserve">ci </w:t>
      </w:r>
      <w:r>
        <w:t xml:space="preserve">za restrukturiranje </w:t>
      </w:r>
      <w:r w:rsidR="008C0AA5">
        <w:t xml:space="preserve">čine </w:t>
      </w:r>
      <w:r>
        <w:t>trošak od 525,77 mil</w:t>
      </w:r>
      <w:r w:rsidR="008C0AA5">
        <w:t>ijuna</w:t>
      </w:r>
      <w:r>
        <w:t xml:space="preserve"> k</w:t>
      </w:r>
      <w:r w:rsidR="008C0AA5">
        <w:t>u</w:t>
      </w:r>
      <w:r>
        <w:t>n</w:t>
      </w:r>
      <w:r w:rsidR="008C0AA5">
        <w:t>a</w:t>
      </w:r>
      <w:r>
        <w:t>.</w:t>
      </w:r>
    </w:p>
    <w:p w:rsidRDefault="00701409" w:rsidP="001312FE" w:rsidR="00701409">
      <w:pPr>
        <w:spacing w:lineRule="auto" w:line="276" w:before="240"/>
        <w:jc w:val="both"/>
      </w:pPr>
      <w:r>
        <w:t>Operativni troškovi za srpanj 2017. godine znatno su veći nego u ranijim mjescima radi kategorije troška novog financiranja</w:t>
      </w:r>
      <w:r w:rsidR="00381AA4">
        <w:t>. U</w:t>
      </w:r>
      <w:r>
        <w:t xml:space="preserve"> </w:t>
      </w:r>
      <w:r w:rsidR="00381AA4">
        <w:t>srp</w:t>
      </w:r>
      <w:r w:rsidR="00381AA4" w:rsidRPr="00381AA4">
        <w:t>nj</w:t>
      </w:r>
      <w:r w:rsidR="00381AA4">
        <w:t>u</w:t>
      </w:r>
      <w:r w:rsidR="00381AA4" w:rsidRPr="00381AA4">
        <w:t xml:space="preserve"> 2018. </w:t>
      </w:r>
      <w:r w:rsidR="00381AA4">
        <w:t>g</w:t>
      </w:r>
      <w:r w:rsidR="00381AA4" w:rsidRPr="00381AA4">
        <w:t>odine</w:t>
      </w:r>
      <w:r w:rsidR="00381AA4">
        <w:t xml:space="preserve"> ova kategorija troška </w:t>
      </w:r>
      <w:r w:rsidR="00381AA4" w:rsidRPr="00381AA4">
        <w:t>uključuje ukupno 165,4 milijuna kuna troškova povezanih s novim financiranjem.</w:t>
      </w:r>
    </w:p>
    <w:p w:rsidRDefault="00701409" w:rsidP="001312FE" w:rsidR="00701409">
      <w:pPr>
        <w:spacing w:lineRule="auto" w:line="276" w:before="240"/>
        <w:jc w:val="both"/>
      </w:pPr>
      <w:r>
        <w:t>Ukupni broj zaposlenih na kraju srpnja 2018. godine bio je 93, a u izvještajnom razdoblju isplaćena</w:t>
      </w:r>
      <w:r w:rsidR="008C0AA5">
        <w:t xml:space="preserve"> je</w:t>
      </w:r>
      <w:r>
        <w:t xml:space="preserve"> i jedna otpremnina. </w:t>
      </w:r>
    </w:p>
    <w:p w:rsidRDefault="00000C33" w:rsidP="001312FE" w:rsidR="00000C33" w:rsidRPr="00000C33">
      <w:pPr>
        <w:spacing w:lineRule="auto" w:line="276"/>
        <w:jc w:val="both"/>
        <w:rPr>
          <w:rFonts w:eastAsiaTheme="minorEastAsia"/>
          <w:highlight w:val="yellow"/>
          <w:lang w:bidi="ar-SA" w:eastAsia="zh-CN"/>
        </w:rPr>
      </w:pPr>
    </w:p>
    <w:p w:rsidRDefault="00000C33" w:rsidP="001312FE" w:rsidR="00000C33" w:rsidRPr="00000C33"/>
    <w:p w:rsidRDefault="00B56BA4" w:rsidP="001312FE" w:rsidR="00000C33" w:rsidRPr="00000C33">
      <w:r w:rsidRPr="00B56BA4">
        <w:rPr>
          <w:noProof/>
          <w:lang w:bidi="ar-SA"/>
        </w:rPr>
        <w:lastRenderedPageBreak/>
        <w:drawing>
          <wp:inline distR="0" distL="0" distB="0" distT="0">
            <wp:extent cy="3286125" cx="6315075"/>
            <wp:effectExtent b="9525" r="9525" t="0" l="0"/>
            <wp:docPr name="Picture 21" id="2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2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287777" cx="6318250"/>
                    </a:xfrm>
                    <a:prstGeom prst="rect">
                      <a:avLst/>
                    </a:prstGeom>
                    <a:noFill/>
                    <a:ln>
                      <a:noFill/>
                    </a:ln>
                  </pic:spPr>
                </pic:pic>
              </a:graphicData>
            </a:graphic>
          </wp:inline>
        </w:drawing>
      </w:r>
    </w:p>
    <w:p w:rsidRDefault="00000C33" w:rsidP="001312FE" w:rsidR="00000C33" w:rsidRPr="00701409">
      <w:pPr>
        <w:rPr>
          <w:sz w:val="20"/>
        </w:rPr>
      </w:pPr>
    </w:p>
    <w:p w:rsidRDefault="00701409" w:rsidP="001312FE" w:rsidR="00000C33" w:rsidRPr="00701409">
      <w:pPr>
        <w:rPr>
          <w:sz w:val="20"/>
        </w:rPr>
      </w:pPr>
      <w:r w:rsidRPr="00701409">
        <w:rPr>
          <w:sz w:val="20"/>
        </w:rPr>
        <w:t xml:space="preserve">Prilagodba za travanj </w:t>
      </w:r>
      <w:r>
        <w:rPr>
          <w:sz w:val="20"/>
        </w:rPr>
        <w:t>2017. (</w:t>
      </w:r>
      <w:r w:rsidRPr="00701409">
        <w:rPr>
          <w:sz w:val="20"/>
        </w:rPr>
        <w:t>prvih 10 dana prije aktiviranja izvanredne uprave</w:t>
      </w:r>
      <w:r>
        <w:rPr>
          <w:sz w:val="20"/>
        </w:rPr>
        <w:t>)</w:t>
      </w:r>
      <w:r w:rsidRPr="00701409">
        <w:rPr>
          <w:sz w:val="20"/>
        </w:rPr>
        <w:t>:</w:t>
      </w:r>
      <w:r>
        <w:rPr>
          <w:sz w:val="20"/>
        </w:rPr>
        <w:t xml:space="preserve"> </w:t>
      </w:r>
      <w:r w:rsidRPr="00701409">
        <w:rPr>
          <w:sz w:val="20"/>
        </w:rPr>
        <w:t>27.865.276,91 kn.</w:t>
      </w:r>
    </w:p>
    <w:p w:rsidRDefault="00000C33" w:rsidP="001312FE" w:rsidR="00000C33" w:rsidRPr="00701409">
      <w:pPr>
        <w:rPr>
          <w:sz w:val="20"/>
        </w:rPr>
      </w:pPr>
    </w:p>
    <w:p w:rsidRDefault="00000C33" w:rsidP="001312FE" w:rsidR="00000C33" w:rsidRPr="00000C33">
      <w:pPr>
        <w:rPr>
          <w:sz w:val="20"/>
          <w:szCs w:val="20"/>
        </w:rPr>
      </w:pPr>
      <w:r w:rsidRPr="00000C33">
        <w:rPr>
          <w:sz w:val="20"/>
          <w:szCs w:val="20"/>
        </w:rPr>
        <w:t>Napomene:</w:t>
      </w:r>
      <w:r w:rsidRPr="00000C33">
        <w:rPr>
          <w:sz w:val="20"/>
          <w:szCs w:val="20"/>
        </w:rPr>
        <w:tab/>
      </w:r>
      <w:r w:rsidRPr="00000C33">
        <w:rPr>
          <w:sz w:val="20"/>
          <w:szCs w:val="20"/>
        </w:rPr>
        <w:tab/>
      </w:r>
      <w:r w:rsidRPr="00000C33">
        <w:rPr>
          <w:sz w:val="20"/>
          <w:szCs w:val="20"/>
        </w:rPr>
        <w:tab/>
      </w:r>
      <w:r w:rsidRPr="00000C33">
        <w:rPr>
          <w:sz w:val="20"/>
          <w:szCs w:val="20"/>
        </w:rPr>
        <w:tab/>
      </w:r>
    </w:p>
    <w:p w:rsidRDefault="00000C33" w:rsidP="001312FE" w:rsidR="00000C33" w:rsidRPr="00000C33">
      <w:pPr>
        <w:rPr>
          <w:sz w:val="20"/>
          <w:szCs w:val="20"/>
        </w:rPr>
      </w:pPr>
    </w:p>
    <w:p w:rsidRDefault="00701409" w:rsidP="001312FE" w:rsidR="00701409" w:rsidRPr="003C02CF">
      <w:pPr>
        <w:pStyle w:val="Odlomakpopisa"/>
        <w:numPr>
          <w:ilvl w:val="0"/>
          <w:numId w:val="47"/>
        </w:numPr>
        <w:ind w:firstLine="0"/>
        <w:rPr>
          <w:sz w:val="18"/>
          <w:szCs w:val="20"/>
        </w:rPr>
      </w:pPr>
      <w:r w:rsidRPr="003C02CF">
        <w:rPr>
          <w:sz w:val="18"/>
          <w:szCs w:val="20"/>
        </w:rPr>
        <w:t>Ukupni troškovi poslovanja Agrokora d.d. (bez prilagodbi ili odbijanja troškova za razdoblje od 1.4.2017. do 10.4.2017.) + za sve ostale mjesece daju iznos ukupnih operativnih troškova Agrokora d.d. (podatak iz SAP-a): 1.057.017.512,37 kn</w:t>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Ukupan iznos od 1.029.152.235,45 kn najbolje predstavlja operativne troškove Agrokora d.d. od aktivacije postupka Izvanredne uprave (ukupan iznos minus troškovi prvih deset dana travnja)</w:t>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*Troškovi savjetnika prilagođeni su da prikazuju udio njihovih troškova u odnosu na režim PDV-a i pro-rata sistem u kojem se nalazi Agrokor d.d. Iznosi su korigirani za nepriznati iznos PDV-a.</w:t>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Troškovi savjetnika od svibnja nadalje uključuju nove konzultante koji su angažirani za završnu fazu procesa. Novi konzultanti uključuju McKinsey (za restrukturiranje), PJT&amp;FTI (za financije) i AKIN Gump (pravni savjetnici).</w:t>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 napravljene su dodatne prilagodbe u iznosu 27.865.276,91 kn koji se odnose na operativne troškove iz razdoblja od 1. travnja do 10. travnja.</w:t>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Ostali troškovi uključuju sve ostale SAP račune koji nisu zasebno navedeni u tablici troškova poslovanja. Iz tog razloga, moguće je da u pojedinim kategorijama za pojedini period bude prikazan negativan iznos. Uključeni su troškovi ostalih dobavljača koji nisu navedeni u troškovima savjetnika. Uključeni su dobavljači nakon 10.4.2017. koji se ne navode pod osnovne savjetničke naknade.</w:t>
      </w:r>
      <w:r w:rsidRPr="003C02CF">
        <w:rPr>
          <w:sz w:val="18"/>
          <w:szCs w:val="20"/>
        </w:rPr>
        <w:tab/>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Zbog promjenjive prirode knjiženja, moguće je da se operativni troškovi za određeni mjesec knjiže s vremenskim odmakom ili da su neki troškovi postali nevažeći. Agrokor d.d. prikazuje stvarne operativne troškove u trenu izrade ovog izvješća. Naknadna knjiženja ili izmjene biti će prilagođene nakon njihove realizacije te mogu utjecati na podatke promatranog razdoblja. Npr. troškovi osiguranja će se djelomično prefakturirati ovisnim društvima što će rezultirati prihodima Agrokora u iznosu fakturiranog iznosa.</w:t>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Ovaj izvještaj o operativnim troškovima izrađuje se kontinuirano na razne datume u mjesecu tako da tečaj može varirati za promatrani period. Zbog lakše analize, model analize troškova povezan s ovim izvještajem koristi tečaj 7,45</w:t>
      </w:r>
      <w:r w:rsidR="008D7F7E" w:rsidRPr="003C02CF">
        <w:rPr>
          <w:sz w:val="18"/>
          <w:szCs w:val="20"/>
        </w:rPr>
        <w:t xml:space="preserve"> </w:t>
      </w:r>
      <w:r w:rsidRPr="003C02CF">
        <w:rPr>
          <w:sz w:val="18"/>
          <w:szCs w:val="20"/>
        </w:rPr>
        <w:t>HRK/EUR.</w:t>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p>
    <w:p w:rsidRDefault="00701409" w:rsidP="001312FE" w:rsidR="00701409" w:rsidRPr="003C02CF">
      <w:pPr>
        <w:pStyle w:val="Odlomakpopisa"/>
        <w:numPr>
          <w:ilvl w:val="0"/>
          <w:numId w:val="47"/>
        </w:numPr>
        <w:ind w:firstLine="0"/>
        <w:rPr>
          <w:sz w:val="18"/>
          <w:szCs w:val="20"/>
        </w:rPr>
      </w:pPr>
      <w:r w:rsidRPr="003C02CF">
        <w:rPr>
          <w:sz w:val="18"/>
          <w:szCs w:val="20"/>
        </w:rPr>
        <w:t>Podaci za Revizorske i porezne usluge su revidirani za cijelo razdoblje Izvanredne uprave s obzirom da su uključivali dio "Ostalih troškova" koji su sada reklasificirani te "Revizorske i porezne usluge" sada sadrže samo troškove vezane uz navedeno.</w:t>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r w:rsidRPr="003C02CF">
        <w:rPr>
          <w:sz w:val="18"/>
          <w:szCs w:val="20"/>
        </w:rPr>
        <w:tab/>
      </w:r>
    </w:p>
    <w:p w:rsidRDefault="00701409" w:rsidP="001312FE" w:rsidR="00000C33" w:rsidRPr="00701409">
      <w:pPr>
        <w:pStyle w:val="Odlomakpopisa"/>
        <w:numPr>
          <w:ilvl w:val="0"/>
          <w:numId w:val="47"/>
        </w:numPr>
        <w:ind w:firstLine="0"/>
        <w:rPr>
          <w:sz w:val="20"/>
          <w:szCs w:val="20"/>
        </w:rPr>
      </w:pPr>
      <w:r w:rsidRPr="003C02CF">
        <w:rPr>
          <w:sz w:val="18"/>
          <w:szCs w:val="20"/>
        </w:rPr>
        <w:t xml:space="preserve">Trošak financiranja za srpanj </w:t>
      </w:r>
      <w:r w:rsidR="002C48C4" w:rsidRPr="003C02CF">
        <w:rPr>
          <w:sz w:val="18"/>
          <w:szCs w:val="20"/>
        </w:rPr>
        <w:t xml:space="preserve"> </w:t>
      </w:r>
      <w:r w:rsidRPr="003C02CF">
        <w:rPr>
          <w:sz w:val="18"/>
          <w:szCs w:val="20"/>
        </w:rPr>
        <w:t xml:space="preserve">2018. </w:t>
      </w:r>
      <w:r w:rsidR="002C48C4" w:rsidRPr="003C02CF">
        <w:rPr>
          <w:sz w:val="18"/>
          <w:szCs w:val="20"/>
        </w:rPr>
        <w:t xml:space="preserve">godine </w:t>
      </w:r>
      <w:r w:rsidRPr="003C02CF">
        <w:rPr>
          <w:sz w:val="18"/>
          <w:szCs w:val="20"/>
        </w:rPr>
        <w:t xml:space="preserve">uključuje </w:t>
      </w:r>
      <w:r w:rsidR="002C48C4" w:rsidRPr="003C02CF">
        <w:rPr>
          <w:sz w:val="18"/>
          <w:szCs w:val="20"/>
        </w:rPr>
        <w:t>ukupno 165,4 milijuna kuna troškova povezanih s novim financiranjem</w:t>
      </w:r>
      <w:r w:rsidRPr="003C02CF">
        <w:rPr>
          <w:sz w:val="18"/>
          <w:szCs w:val="20"/>
        </w:rPr>
        <w:t>.</w:t>
      </w:r>
      <w:r w:rsidR="00000C33" w:rsidRPr="00701409">
        <w:rPr>
          <w:sz w:val="20"/>
          <w:szCs w:val="20"/>
        </w:rPr>
        <w:br w:type="page"/>
      </w:r>
    </w:p>
    <w:p w:rsidRDefault="00000C33" w:rsidP="001312FE" w:rsidR="00000C33" w:rsidRPr="00000C33">
      <w:pPr>
        <w:rPr>
          <w:b/>
          <w:sz w:val="20"/>
          <w:szCs w:val="20"/>
        </w:rPr>
      </w:pPr>
    </w:p>
    <w:p w:rsidRDefault="00000C33" w:rsidP="001312FE" w:rsidR="00000C33" w:rsidRPr="00000C33">
      <w:pPr>
        <w:ind w:left="360"/>
        <w:outlineLvl w:val="0"/>
        <w:rPr>
          <w:b/>
          <w:sz w:val="28"/>
          <w:szCs w:val="28"/>
        </w:rPr>
      </w:pPr>
      <w:bookmarkStart w:name="_Toc523299371" w:id="45"/>
      <w:r>
        <w:rPr>
          <w:b/>
          <w:sz w:val="28"/>
          <w:szCs w:val="28"/>
        </w:rPr>
        <w:t xml:space="preserve">5. </w:t>
      </w:r>
      <w:r w:rsidRPr="00000C33">
        <w:rPr>
          <w:b/>
          <w:sz w:val="28"/>
          <w:szCs w:val="28"/>
        </w:rPr>
        <w:t>Sudski postupci</w:t>
      </w:r>
      <w:bookmarkEnd w:id="45"/>
    </w:p>
    <w:p w:rsidRDefault="00000C33" w:rsidP="001312FE" w:rsidR="00000C33" w:rsidRPr="00000C33"/>
    <w:p w:rsidRDefault="005D4128" w:rsidP="001312FE" w:rsidR="005D4128"/>
    <w:p w:rsidRDefault="005D4128" w:rsidP="001312FE" w:rsidR="005D4128">
      <w:pPr>
        <w:spacing w:lineRule="auto" w:line="278"/>
        <w:jc w:val="both"/>
      </w:pPr>
      <w:r>
        <w:t xml:space="preserve">U ovom je izvještajnom razdoblju došlo do nekih pomaka u različitim sudskim i ovršnim postupcima koji su formalno pokrenuti protiv Agrokora d.d. i niza njegovih povezanih društava. </w:t>
      </w:r>
    </w:p>
    <w:p w:rsidRDefault="005D4128" w:rsidP="001312FE" w:rsidR="005D4128">
      <w:pPr>
        <w:spacing w:lineRule="auto" w:line="278"/>
        <w:jc w:val="both"/>
      </w:pPr>
    </w:p>
    <w:p w:rsidRDefault="005D4128" w:rsidP="001312FE" w:rsidR="005D4128">
      <w:pPr>
        <w:spacing w:lineRule="auto" w:line="278"/>
        <w:jc w:val="both"/>
      </w:pPr>
      <w:r>
        <w:t xml:space="preserve">U ovome razdoblju nije bilo promjena u Engleskoj i Walesu, Srbiji, Bosni </w:t>
      </w:r>
      <w:r w:rsidR="00E50495">
        <w:t xml:space="preserve">i Hercegovini </w:t>
      </w:r>
      <w:r>
        <w:t xml:space="preserve">ili Crnoj Gori. </w:t>
      </w:r>
    </w:p>
    <w:p w:rsidRDefault="005D4128" w:rsidP="001312FE" w:rsidR="005D4128">
      <w:pPr>
        <w:spacing w:lineRule="auto" w:line="278"/>
        <w:jc w:val="both"/>
      </w:pPr>
    </w:p>
    <w:p w:rsidRDefault="005D4128" w:rsidP="001312FE" w:rsidR="005D4128">
      <w:pPr>
        <w:spacing w:lineRule="auto" w:line="278"/>
        <w:jc w:val="both"/>
      </w:pPr>
      <w:r>
        <w:t>U Hrvatskoj su, nakon što je Trgovački sud u Zagrebu odobrio nagodbu, zaprimljene ukupno 92 žalbe. Tijekom ovog razdoblja dovršen je postupak razmatranja žalbi i odgovori na žalbe podneseni su Trgovačkome sudu u Zagrebu. Sudski će spis sada biti dostavljen prizivnom Visokome trgovačkom sudu na razmatranje i rješavanje žalbi. Rješavanje žalbi ne očekuje se prije kraja studenoga 2018.</w:t>
      </w:r>
      <w:r w:rsidR="00EB4BF1">
        <w:t xml:space="preserve"> godine.</w:t>
      </w:r>
      <w:r>
        <w:t xml:space="preserve"> </w:t>
      </w:r>
    </w:p>
    <w:p w:rsidRDefault="005D4128" w:rsidP="001312FE" w:rsidR="005D4128">
      <w:pPr>
        <w:spacing w:lineRule="auto" w:line="278"/>
        <w:jc w:val="both"/>
      </w:pPr>
    </w:p>
    <w:p w:rsidRDefault="005D4128" w:rsidP="001312FE" w:rsidR="005D4128">
      <w:pPr>
        <w:spacing w:lineRule="auto" w:line="278"/>
        <w:jc w:val="both"/>
      </w:pPr>
      <w:r>
        <w:t>U Sloveniji je Viši sud u Ljubljani odbio žalbu Agrokora d.d. u postupku koji je pokrenuo Sberbank of Russia tražeći privremenu mjeru zabrane nad dionicama u Mercatoru d.d. (broj predmeta je Zg 32/2017). Mjera kojom se Agrokoru d.d. zabranjuje opterećivanje i raspolaganje dionicama u Mercatoru d.d. sad je postala pravomoćna, a izvanredni povjerenik sa svojim pravnim savjetnicima dogovara sljedeće korake.</w:t>
      </w:r>
    </w:p>
    <w:p w:rsidRDefault="005D4128" w:rsidP="001312FE" w:rsidR="005D4128">
      <w:pPr>
        <w:spacing w:lineRule="auto" w:line="278"/>
        <w:jc w:val="both"/>
      </w:pPr>
    </w:p>
    <w:p w:rsidRDefault="005D4128" w:rsidP="001312FE" w:rsidR="005D4128">
      <w:pPr>
        <w:spacing w:lineRule="auto" w:line="278"/>
        <w:jc w:val="both"/>
      </w:pPr>
      <w:r>
        <w:t xml:space="preserve">U postupku priznavanja Ustavni je sud </w:t>
      </w:r>
      <w:r w:rsidR="002C48C4">
        <w:t xml:space="preserve">u Sloveniji </w:t>
      </w:r>
      <w:r>
        <w:t xml:space="preserve">odbio prijedlog izvanrednog povjerenika za obustavu učinaka sudskih odluka da se odbije priznavanje pokretanja postupka izvanredne uprave kao inozemnog postupka insolvencije u Sloveniji. </w:t>
      </w:r>
    </w:p>
    <w:p w:rsidRDefault="005D4128" w:rsidP="001312FE" w:rsidR="005D4128">
      <w:pPr>
        <w:spacing w:lineRule="auto" w:line="278"/>
        <w:jc w:val="both"/>
      </w:pPr>
    </w:p>
    <w:p w:rsidRDefault="005D4128" w:rsidP="001312FE" w:rsidR="005D4128">
      <w:pPr>
        <w:spacing w:lineRule="auto" w:line="278"/>
        <w:jc w:val="both"/>
      </w:pPr>
      <w:r>
        <w:t>U predmetu ovrhe (broj predmeta je VL 60340/2017) koji je pokrenula Sberbank banka d.d. (Ljubljana), Viši sud u Ljubljani odbio je žalbe Agrokora d.d. i Jamnice d.d. protiv prvostupanjske odluke suda o ponovnom pokretanju obustavljenog ovršnog postupka. Lokalni sud u Ljubljani sad će odlučivati o prigovoru protiv ovršnog naloga koji su u srpnju 2017.</w:t>
      </w:r>
      <w:r w:rsidR="00EB4BF1">
        <w:t xml:space="preserve"> godine</w:t>
      </w:r>
      <w:r>
        <w:t xml:space="preserve"> uložili Agrokor d.d. i Jamnica d.d. </w:t>
      </w:r>
    </w:p>
    <w:p w:rsidRDefault="005D4128" w:rsidP="001312FE" w:rsidR="005D4128">
      <w:pPr>
        <w:spacing w:lineRule="auto" w:line="278"/>
        <w:jc w:val="both"/>
      </w:pPr>
    </w:p>
    <w:p w:rsidRDefault="005D4128" w:rsidP="001312FE" w:rsidR="005D4128">
      <w:pPr>
        <w:spacing w:lineRule="auto" w:line="278"/>
        <w:jc w:val="both"/>
      </w:pPr>
      <w:r>
        <w:t>Povjerenik je također podnio odgovor na prijedlog društva Karisma Resort International S.A. kojim se traži mjera zabrane nad 266.667 dionica (4,4%) Mercatora d.d. u novom predmetu mjere zabrane (broj predmeta je Zg 12/2018). Okružni sud u Ljubljani donio je 27. kolovoza 2018.</w:t>
      </w:r>
      <w:r w:rsidR="00EB4BF1">
        <w:t xml:space="preserve"> godine</w:t>
      </w:r>
      <w:r>
        <w:t xml:space="preserve"> odluku pod brojem Zg 12/2018 kojom je odbio prijedlog mjere zabrane i naložio da vjerovnik treba izvršiti povrat troškova Agrokoru. Sudska odluka još nije konačna, budući da vjerovnik ima pravo podnijeti žalbu. </w:t>
      </w:r>
    </w:p>
    <w:p w:rsidRDefault="005D4128" w:rsidP="001312FE" w:rsidR="005D4128">
      <w:pPr>
        <w:spacing w:lineRule="auto" w:line="278"/>
        <w:jc w:val="both"/>
      </w:pPr>
    </w:p>
    <w:p w:rsidRDefault="005D4128" w:rsidP="001312FE" w:rsidR="005D4128">
      <w:pPr>
        <w:spacing w:lineRule="auto" w:line="278"/>
        <w:jc w:val="both"/>
      </w:pPr>
      <w:r>
        <w:t>U SAD-u je 27. kolovoza 2018.</w:t>
      </w:r>
      <w:r w:rsidR="00EB4BF1">
        <w:t xml:space="preserve"> godine</w:t>
      </w:r>
      <w:r>
        <w:t xml:space="preserve"> održano ročište o priznavanju prema Poglavlju 15 pred sucem Martinom Glennom u Južnom okrugu New Yorka. Odvjetnik izvanrednog povjerenika obavijestio je Stečajni sud o aktualnom statusu različitih postupaka priznavanja u Europi i podnio detaljnu dokumentaciju kojom se potkrepljuje zahtjev. Izvanredni povjerenik sudjelovao je u ročištu putem telefona. Zaključno je sudac Glenn odobrio priznavanje postupka izvanredne uprave i nagodbe prema Poglavlju 15 (Američkoga stečajnog zakonika). </w:t>
      </w:r>
    </w:p>
    <w:p w:rsidRDefault="005D4128" w:rsidP="001312FE" w:rsidR="005D4128">
      <w:pPr>
        <w:spacing w:lineRule="auto" w:line="278"/>
        <w:jc w:val="both"/>
      </w:pPr>
      <w:r>
        <w:t xml:space="preserve"> </w:t>
      </w:r>
    </w:p>
    <w:p w:rsidRDefault="00D12664" w:rsidP="001312FE" w:rsidR="00D12664">
      <w:pPr>
        <w:jc w:val="both"/>
        <w:rPr>
          <w:b/>
        </w:rPr>
      </w:pPr>
    </w:p>
    <w:p w:rsidRDefault="005D4128" w:rsidP="001312FE" w:rsidR="005D4128">
      <w:pPr>
        <w:jc w:val="both"/>
        <w:rPr>
          <w:b/>
        </w:rPr>
      </w:pPr>
    </w:p>
    <w:p w:rsidRDefault="005D4128" w:rsidP="001312FE" w:rsidR="005D4128">
      <w:pPr>
        <w:jc w:val="both"/>
        <w:rPr>
          <w:b/>
        </w:rPr>
      </w:pPr>
    </w:p>
    <w:p w:rsidRDefault="005D4128" w:rsidP="001312FE" w:rsidR="005D4128">
      <w:pPr>
        <w:jc w:val="both"/>
        <w:rPr>
          <w:b/>
        </w:rPr>
      </w:pPr>
    </w:p>
    <w:p w:rsidRDefault="00000C33" w:rsidP="001312FE" w:rsidR="00000C33" w:rsidRPr="00000C33">
      <w:pPr>
        <w:ind w:left="360"/>
        <w:outlineLvl w:val="0"/>
        <w:rPr>
          <w:b/>
          <w:sz w:val="28"/>
          <w:szCs w:val="28"/>
        </w:rPr>
      </w:pPr>
      <w:bookmarkStart w:name="_Toc523299372" w:id="46"/>
      <w:r>
        <w:rPr>
          <w:b/>
          <w:sz w:val="28"/>
          <w:szCs w:val="28"/>
        </w:rPr>
        <w:t xml:space="preserve">6. </w:t>
      </w:r>
      <w:r w:rsidRPr="00000C33">
        <w:rPr>
          <w:b/>
          <w:sz w:val="28"/>
          <w:szCs w:val="28"/>
        </w:rPr>
        <w:t>Privremeno vjerovničko vijeće</w:t>
      </w:r>
      <w:bookmarkEnd w:id="46"/>
    </w:p>
    <w:p w:rsidRDefault="00000C33" w:rsidP="001312FE" w:rsidR="00000C33" w:rsidRPr="00000C33">
      <w:pPr>
        <w:rPr>
          <w:sz w:val="28"/>
          <w:szCs w:val="28"/>
        </w:rPr>
      </w:pPr>
    </w:p>
    <w:p w:rsidRDefault="00000C33" w:rsidP="001312FE" w:rsidR="00000C33" w:rsidRPr="00000C33">
      <w:r w:rsidRPr="00000C33">
        <w:t>U navedenom izvještajnom razdoblju nisu održane sjednice Privremenog vjerovničkog vijeća.</w:t>
      </w:r>
    </w:p>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p w:rsidRDefault="00000C33" w:rsidP="001312FE" w:rsidR="00000C33" w:rsidRPr="00000C33">
      <w:r w:rsidRPr="00000C33">
        <w:br w:type="page"/>
      </w:r>
    </w:p>
    <w:p w:rsidRDefault="00000C33" w:rsidP="001312FE" w:rsidR="00000C33" w:rsidRPr="00000C33"/>
    <w:p w:rsidRDefault="00000C33" w:rsidP="001312FE" w:rsidR="00000C33" w:rsidRPr="00000C33">
      <w:pPr>
        <w:ind w:left="360"/>
        <w:outlineLvl w:val="0"/>
        <w:rPr>
          <w:b/>
          <w:sz w:val="28"/>
          <w:szCs w:val="28"/>
        </w:rPr>
      </w:pPr>
      <w:bookmarkStart w:name="_Toc523299373" w:id="47"/>
      <w:r>
        <w:rPr>
          <w:b/>
          <w:sz w:val="28"/>
          <w:szCs w:val="28"/>
        </w:rPr>
        <w:t xml:space="preserve">7. </w:t>
      </w:r>
      <w:r w:rsidR="006B3CF2">
        <w:rPr>
          <w:b/>
          <w:sz w:val="28"/>
          <w:szCs w:val="28"/>
        </w:rPr>
        <w:t xml:space="preserve">Implementacija nagodbe </w:t>
      </w:r>
      <w:bookmarkEnd w:id="47"/>
    </w:p>
    <w:p w:rsidRDefault="00000C33" w:rsidP="001312FE" w:rsidR="00000C33" w:rsidRPr="00000C33"/>
    <w:p w:rsidRDefault="007D342C" w:rsidP="001312FE" w:rsidR="007D342C">
      <w:pPr>
        <w:spacing w:lineRule="auto" w:line="278"/>
        <w:jc w:val="both"/>
      </w:pPr>
      <w:r>
        <w:t xml:space="preserve">U svrhu nastavka poslovanja Grupe Agrokor, nagodba vjerovnika je temeljena na </w:t>
      </w:r>
      <w:r w:rsidR="002C48C4">
        <w:t xml:space="preserve">fer </w:t>
      </w:r>
      <w:r>
        <w:t>i prav</w:t>
      </w:r>
      <w:r w:rsidR="002C48C4">
        <w:t xml:space="preserve">ičnom </w:t>
      </w:r>
      <w:r>
        <w:t xml:space="preserve"> tretmanu svih dionika procesa restrukturiranja, uspostavljanju nove korporativne strukture Grupe Agrokor u vlasništvu vjerovnika (na koju se prenosi sva imovina) i postizanju održive razine duga u novoj grupi podmirenjem tražbina vjerovnika vlasničkim i dužničkim financijskim instrumentima (konvertibilnim obveznicama i depozitarnim potvrdama). U završnoj fazi pred izglasavanje nagodbe započet je proces pripreme za implementaciju nagodbe, koji je odmah po izglasavanju formaliziran i intenziviran.</w:t>
      </w:r>
    </w:p>
    <w:p w:rsidRDefault="007D342C" w:rsidP="001312FE" w:rsidR="007D342C">
      <w:pPr>
        <w:spacing w:lineRule="auto" w:line="278"/>
        <w:jc w:val="both"/>
      </w:pPr>
    </w:p>
    <w:p w:rsidRDefault="007D342C" w:rsidP="001312FE" w:rsidR="007D342C">
      <w:pPr>
        <w:spacing w:lineRule="auto" w:line="278"/>
        <w:jc w:val="both"/>
      </w:pPr>
      <w:r>
        <w:t>Provedba nagodbe uključuje dva modela transfera imovine odnosno društava iz stare Grupe Agrokor u novu grupu:</w:t>
      </w:r>
    </w:p>
    <w:p w:rsidRDefault="007D342C" w:rsidP="00767939" w:rsidR="007D342C">
      <w:pPr>
        <w:spacing w:lineRule="auto" w:line="278"/>
        <w:ind w:hanging="720" w:left="1440"/>
        <w:jc w:val="both"/>
      </w:pPr>
      <w:r>
        <w:t>•</w:t>
      </w:r>
      <w:r>
        <w:tab/>
        <w:t>Prijenos poslovne cjeline za insolventna društva pod izvanrednom upravom na novoosnovana zrcalna društva koji će se provesti za 47 društava grupe</w:t>
      </w:r>
    </w:p>
    <w:p w:rsidRDefault="00767939" w:rsidP="00767939" w:rsidR="00767939">
      <w:pPr>
        <w:spacing w:lineRule="auto" w:line="278"/>
        <w:ind w:hanging="720" w:left="1440"/>
        <w:jc w:val="both"/>
      </w:pPr>
    </w:p>
    <w:p w:rsidRDefault="007D342C" w:rsidP="00767939" w:rsidR="007D342C">
      <w:pPr>
        <w:spacing w:lineRule="auto" w:line="278"/>
        <w:ind w:hanging="720" w:left="1440"/>
        <w:jc w:val="both"/>
      </w:pPr>
      <w:r>
        <w:t>•</w:t>
      </w:r>
      <w:r>
        <w:tab/>
        <w:t>Prijenos dionica/udjela za solventna društva pod izvanrednom upravom i inozemna društva (ukupno 112 društava grupe)</w:t>
      </w:r>
    </w:p>
    <w:p w:rsidRDefault="007D342C" w:rsidP="001312FE" w:rsidR="007D342C">
      <w:pPr>
        <w:spacing w:lineRule="auto" w:line="278"/>
        <w:jc w:val="both"/>
      </w:pPr>
    </w:p>
    <w:p w:rsidRDefault="007D342C" w:rsidP="001312FE" w:rsidR="007D342C">
      <w:pPr>
        <w:spacing w:lineRule="auto" w:line="278"/>
        <w:jc w:val="both"/>
        <w:rPr>
          <w:b/>
        </w:rPr>
      </w:pPr>
      <w:r w:rsidRPr="007D342C">
        <w:rPr>
          <w:b/>
        </w:rPr>
        <w:t>7.1. Organizacijska struktura implementacije nagodbe</w:t>
      </w:r>
    </w:p>
    <w:p w:rsidRDefault="007D342C" w:rsidP="001312FE" w:rsidR="007D342C" w:rsidRPr="007D342C">
      <w:pPr>
        <w:spacing w:lineRule="auto" w:line="278"/>
        <w:jc w:val="both"/>
        <w:rPr>
          <w:b/>
        </w:rPr>
      </w:pPr>
    </w:p>
    <w:p w:rsidRDefault="007D342C" w:rsidP="001312FE" w:rsidR="007D342C">
      <w:pPr>
        <w:spacing w:lineRule="auto" w:line="278"/>
        <w:jc w:val="both"/>
      </w:pPr>
      <w:r>
        <w:t>Implementacija nagodbe je izuzetno kompleksan proces koji uključuje transfer poslovanja na novu grupu. Proces implementacije mora osigurati nesmetan prijenos poslovanja bez negativnih efekata na poslovanje grupe.</w:t>
      </w:r>
    </w:p>
    <w:p w:rsidRDefault="007D342C" w:rsidP="001312FE" w:rsidR="007D342C">
      <w:pPr>
        <w:spacing w:lineRule="auto" w:line="278"/>
        <w:jc w:val="both"/>
      </w:pPr>
    </w:p>
    <w:p w:rsidRDefault="007D342C" w:rsidP="001312FE" w:rsidR="007D342C">
      <w:pPr>
        <w:spacing w:lineRule="auto" w:line="278"/>
        <w:jc w:val="both"/>
      </w:pPr>
      <w:r>
        <w:t>Sukladno principima projektnog upravljanja proces implementacije nagodbe je organiziran kroz organizaciju Ureda za upravljanje projektima unutar grupe koji, zajedno sa savjetnicima, vodi i razvija Plan implementacije nagodbe pri čemu se kao dvije faze projekta razliku</w:t>
      </w:r>
      <w:r w:rsidR="002C48C4">
        <w:t>ju</w:t>
      </w:r>
      <w:r>
        <w:t xml:space="preserve"> proces planiranja i proces provedbe plana.  </w:t>
      </w:r>
    </w:p>
    <w:p w:rsidRDefault="007D342C" w:rsidP="001312FE" w:rsidR="007D342C">
      <w:pPr>
        <w:spacing w:lineRule="auto" w:line="278"/>
        <w:jc w:val="both"/>
      </w:pPr>
    </w:p>
    <w:p w:rsidRDefault="007D342C" w:rsidP="001312FE" w:rsidR="007D342C">
      <w:pPr>
        <w:spacing w:lineRule="auto" w:line="278"/>
        <w:jc w:val="both"/>
      </w:pPr>
      <w:r>
        <w:t>U fazi planiranja implementacije plan se inicijalno priprema za dva pilot društva (Ledo i Konzum) te će se isti primijeniti za ostala insolventna društva pod izvanrednom upravom.</w:t>
      </w:r>
    </w:p>
    <w:p w:rsidRDefault="007D342C" w:rsidP="001312FE" w:rsidR="007D342C">
      <w:pPr>
        <w:spacing w:lineRule="auto" w:line="278"/>
        <w:jc w:val="both"/>
      </w:pPr>
    </w:p>
    <w:p w:rsidRDefault="007D342C" w:rsidP="001312FE" w:rsidR="007D342C">
      <w:pPr>
        <w:spacing w:lineRule="auto" w:line="278"/>
        <w:jc w:val="both"/>
      </w:pPr>
      <w:r>
        <w:t>Provedba implementacije uključuje između ostalog:</w:t>
      </w:r>
    </w:p>
    <w:p w:rsidRDefault="007D342C" w:rsidP="001312FE" w:rsidR="007D342C">
      <w:pPr>
        <w:spacing w:lineRule="auto" w:line="278"/>
        <w:jc w:val="both"/>
      </w:pPr>
    </w:p>
    <w:p w:rsidRDefault="007D342C" w:rsidP="001312FE" w:rsidR="007D342C">
      <w:pPr>
        <w:spacing w:lineRule="auto" w:line="278"/>
        <w:jc w:val="both"/>
      </w:pPr>
      <w:r>
        <w:t>•</w:t>
      </w:r>
      <w:r>
        <w:tab/>
        <w:t>uspostavu nove grupe te finalizaciju pravn</w:t>
      </w:r>
      <w:r w:rsidR="00696676">
        <w:t>ih</w:t>
      </w:r>
      <w:r>
        <w:t xml:space="preserve"> aspekata nagodbe,</w:t>
      </w:r>
    </w:p>
    <w:p w:rsidRDefault="007D342C" w:rsidP="00767939" w:rsidR="007D342C">
      <w:pPr>
        <w:spacing w:lineRule="auto" w:line="278"/>
        <w:ind w:hanging="720" w:left="720"/>
        <w:jc w:val="both"/>
      </w:pPr>
      <w:r>
        <w:t>•</w:t>
      </w:r>
      <w:r>
        <w:tab/>
        <w:t>uspostavu nove grupe i prijenos operativnog poslovanja na novu grupu (tzv. „Go-live“ nove grupe),</w:t>
      </w:r>
    </w:p>
    <w:p w:rsidRDefault="007D342C" w:rsidP="001312FE" w:rsidR="007D342C">
      <w:pPr>
        <w:spacing w:lineRule="auto" w:line="278"/>
        <w:jc w:val="both"/>
      </w:pPr>
      <w:r>
        <w:t>•</w:t>
      </w:r>
      <w:r>
        <w:tab/>
        <w:t>post Go-Live podršku u implementaciji.</w:t>
      </w:r>
    </w:p>
    <w:p w:rsidRDefault="007D342C" w:rsidP="001312FE" w:rsidR="007D342C">
      <w:pPr>
        <w:spacing w:lineRule="auto" w:line="278"/>
        <w:jc w:val="both"/>
      </w:pPr>
    </w:p>
    <w:p w:rsidRDefault="007D342C" w:rsidP="001312FE" w:rsidR="007D342C">
      <w:pPr>
        <w:spacing w:lineRule="auto" w:line="278"/>
        <w:jc w:val="both"/>
      </w:pPr>
      <w:r>
        <w:t>Projekt je strukturno organiziran kroz nadzorno tijelo („Steering Committee“), eskpertne timove i podršku za upravljanje projektima / resurse iz operativnih kompanija.</w:t>
      </w:r>
    </w:p>
    <w:p w:rsidRDefault="007D342C" w:rsidP="001312FE" w:rsidR="007D342C">
      <w:pPr>
        <w:spacing w:lineRule="auto" w:line="278"/>
        <w:jc w:val="both"/>
      </w:pPr>
    </w:p>
    <w:p w:rsidRDefault="007D342C" w:rsidP="001312FE" w:rsidR="007D342C">
      <w:pPr>
        <w:spacing w:lineRule="auto" w:line="278"/>
        <w:jc w:val="both"/>
      </w:pPr>
    </w:p>
    <w:p w:rsidRDefault="007D342C" w:rsidP="001312FE" w:rsidR="007D342C">
      <w:pPr>
        <w:spacing w:lineRule="auto" w:line="278"/>
        <w:jc w:val="both"/>
      </w:pPr>
    </w:p>
    <w:p w:rsidRDefault="007D342C" w:rsidP="001312FE" w:rsidR="007D342C">
      <w:pPr>
        <w:spacing w:lineRule="auto" w:line="278"/>
        <w:jc w:val="both"/>
      </w:pPr>
    </w:p>
    <w:p w:rsidRDefault="007D342C" w:rsidP="001312FE" w:rsidR="007D342C">
      <w:pPr>
        <w:spacing w:lineRule="auto" w:line="278"/>
        <w:jc w:val="both"/>
      </w:pPr>
      <w:r>
        <w:lastRenderedPageBreak/>
        <w:t>Proces implementacije je strukturiran kroz sljedeće ključne stupove implementacije:</w:t>
      </w:r>
    </w:p>
    <w:p w:rsidRDefault="007D342C" w:rsidP="001312FE" w:rsidR="007D342C">
      <w:pPr>
        <w:spacing w:lineRule="auto" w:line="278"/>
        <w:jc w:val="both"/>
      </w:pPr>
    </w:p>
    <w:p w:rsidRDefault="007D342C" w:rsidP="001312FE" w:rsidR="007D342C" w:rsidRPr="00D407AC">
      <w:pPr>
        <w:spacing w:lineRule="auto" w:line="278"/>
        <w:jc w:val="both"/>
        <w:rPr>
          <w:b/>
        </w:rPr>
      </w:pPr>
      <w:r w:rsidRPr="00D407AC">
        <w:rPr>
          <w:b/>
        </w:rPr>
        <w:t>i.</w:t>
      </w:r>
      <w:r w:rsidRPr="00D407AC">
        <w:rPr>
          <w:b/>
        </w:rPr>
        <w:tab/>
        <w:t>Pravna implementacija nagodbe</w:t>
      </w:r>
    </w:p>
    <w:p w:rsidRDefault="007D342C" w:rsidP="001312FE" w:rsidR="007D342C">
      <w:pPr>
        <w:spacing w:lineRule="auto" w:line="278"/>
        <w:jc w:val="both"/>
      </w:pPr>
      <w:r>
        <w:t>i.</w:t>
      </w:r>
      <w:r>
        <w:tab/>
        <w:t xml:space="preserve">Prijenos imovine/udjela </w:t>
      </w:r>
    </w:p>
    <w:p w:rsidRDefault="007D342C" w:rsidP="001312FE" w:rsidR="007D342C">
      <w:pPr>
        <w:spacing w:lineRule="auto" w:line="278"/>
        <w:jc w:val="both"/>
      </w:pPr>
      <w:r>
        <w:t>ii.</w:t>
      </w:r>
      <w:r>
        <w:tab/>
        <w:t xml:space="preserve">Izdavanje novih instrumenata </w:t>
      </w:r>
    </w:p>
    <w:p w:rsidRDefault="00D407AC" w:rsidP="001312FE" w:rsidR="00D407AC">
      <w:pPr>
        <w:spacing w:lineRule="auto" w:line="278"/>
        <w:jc w:val="both"/>
      </w:pPr>
    </w:p>
    <w:p w:rsidRDefault="007D342C" w:rsidP="001312FE" w:rsidR="007D342C" w:rsidRPr="00D407AC">
      <w:pPr>
        <w:spacing w:lineRule="auto" w:line="278"/>
        <w:jc w:val="both"/>
        <w:rPr>
          <w:b/>
        </w:rPr>
      </w:pPr>
      <w:r w:rsidRPr="00D407AC">
        <w:rPr>
          <w:b/>
        </w:rPr>
        <w:t>ii.</w:t>
      </w:r>
      <w:r w:rsidRPr="00D407AC">
        <w:rPr>
          <w:b/>
        </w:rPr>
        <w:tab/>
        <w:t>Operativna implementacija („Go-live“) nove grupe</w:t>
      </w:r>
    </w:p>
    <w:p w:rsidRDefault="007D342C" w:rsidP="001312FE" w:rsidR="007D342C">
      <w:pPr>
        <w:spacing w:lineRule="auto" w:line="278"/>
        <w:jc w:val="both"/>
      </w:pPr>
      <w:r>
        <w:t>i.</w:t>
      </w:r>
      <w:r>
        <w:tab/>
        <w:t>Prodaja i marketing</w:t>
      </w:r>
    </w:p>
    <w:p w:rsidRDefault="007D342C" w:rsidP="001312FE" w:rsidR="007D342C">
      <w:pPr>
        <w:spacing w:lineRule="auto" w:line="278"/>
        <w:jc w:val="both"/>
      </w:pPr>
      <w:r>
        <w:t>ii.</w:t>
      </w:r>
      <w:r>
        <w:tab/>
        <w:t>Logistika</w:t>
      </w:r>
    </w:p>
    <w:p w:rsidRDefault="007D342C" w:rsidP="001312FE" w:rsidR="007D342C">
      <w:pPr>
        <w:spacing w:lineRule="auto" w:line="278"/>
        <w:jc w:val="both"/>
      </w:pPr>
      <w:r>
        <w:t>iii.</w:t>
      </w:r>
      <w:r>
        <w:tab/>
        <w:t>Nabava</w:t>
      </w:r>
    </w:p>
    <w:p w:rsidRDefault="007D342C" w:rsidP="001312FE" w:rsidR="007D342C">
      <w:pPr>
        <w:spacing w:lineRule="auto" w:line="278"/>
        <w:jc w:val="both"/>
      </w:pPr>
      <w:r>
        <w:t>iv.</w:t>
      </w:r>
      <w:r>
        <w:tab/>
        <w:t>Proizvodnja</w:t>
      </w:r>
    </w:p>
    <w:p w:rsidRDefault="00D407AC" w:rsidP="001312FE" w:rsidR="00D407AC">
      <w:pPr>
        <w:spacing w:lineRule="auto" w:line="278"/>
        <w:jc w:val="both"/>
      </w:pPr>
    </w:p>
    <w:p w:rsidRDefault="007D342C" w:rsidP="001312FE" w:rsidR="007D342C">
      <w:pPr>
        <w:spacing w:lineRule="auto" w:line="278"/>
        <w:jc w:val="both"/>
        <w:rPr>
          <w:b/>
        </w:rPr>
      </w:pPr>
      <w:r w:rsidRPr="00D407AC">
        <w:rPr>
          <w:b/>
        </w:rPr>
        <w:t>iii.</w:t>
      </w:r>
      <w:r w:rsidRPr="00D407AC">
        <w:rPr>
          <w:b/>
        </w:rPr>
        <w:tab/>
        <w:t>Informacijski sistemi (IT)</w:t>
      </w:r>
    </w:p>
    <w:p w:rsidRDefault="007D342C" w:rsidP="001312FE" w:rsidR="007D342C">
      <w:pPr>
        <w:spacing w:lineRule="auto" w:line="278"/>
        <w:jc w:val="both"/>
      </w:pPr>
      <w:r>
        <w:t>i.</w:t>
      </w:r>
      <w:r>
        <w:tab/>
        <w:t>Upravljanje matičnim podacima</w:t>
      </w:r>
    </w:p>
    <w:p w:rsidRDefault="007D342C" w:rsidP="001312FE" w:rsidR="007D342C">
      <w:pPr>
        <w:spacing w:lineRule="auto" w:line="278"/>
        <w:jc w:val="both"/>
      </w:pPr>
      <w:r>
        <w:t>ii.</w:t>
      </w:r>
      <w:r>
        <w:tab/>
        <w:t>Uspostavljanje infrastrukture</w:t>
      </w:r>
    </w:p>
    <w:p w:rsidRDefault="007D342C" w:rsidP="001312FE" w:rsidR="007D342C">
      <w:pPr>
        <w:spacing w:lineRule="auto" w:line="278"/>
        <w:jc w:val="both"/>
      </w:pPr>
      <w:r>
        <w:t>iii.</w:t>
      </w:r>
      <w:r>
        <w:tab/>
        <w:t>Migracija programske podrške i podataka</w:t>
      </w:r>
    </w:p>
    <w:p w:rsidRDefault="007D342C" w:rsidP="001312FE" w:rsidR="007D342C">
      <w:pPr>
        <w:spacing w:lineRule="auto" w:line="278"/>
        <w:jc w:val="both"/>
      </w:pPr>
      <w:r>
        <w:t>iv.</w:t>
      </w:r>
      <w:r>
        <w:tab/>
        <w:t xml:space="preserve">Licence i druga prava iz područja informacijskih tehnologija </w:t>
      </w:r>
    </w:p>
    <w:p w:rsidRDefault="00D407AC" w:rsidP="001312FE" w:rsidR="00D407AC">
      <w:pPr>
        <w:spacing w:lineRule="auto" w:line="278"/>
        <w:jc w:val="both"/>
      </w:pPr>
    </w:p>
    <w:p w:rsidRDefault="007D342C" w:rsidP="001312FE" w:rsidR="007D342C">
      <w:pPr>
        <w:spacing w:lineRule="auto" w:line="278"/>
        <w:jc w:val="both"/>
        <w:rPr>
          <w:b/>
        </w:rPr>
      </w:pPr>
      <w:r w:rsidRPr="00D407AC">
        <w:rPr>
          <w:b/>
        </w:rPr>
        <w:t>iv.</w:t>
      </w:r>
      <w:r w:rsidRPr="00D407AC">
        <w:rPr>
          <w:b/>
        </w:rPr>
        <w:tab/>
        <w:t>Računovodstvo/porezi/financije</w:t>
      </w:r>
    </w:p>
    <w:p w:rsidRDefault="00897FFA" w:rsidP="001312FE" w:rsidR="00897FFA">
      <w:pPr>
        <w:spacing w:lineRule="auto" w:line="278"/>
        <w:jc w:val="both"/>
        <w:rPr>
          <w:b/>
        </w:rPr>
      </w:pPr>
    </w:p>
    <w:p w:rsidRDefault="00897FFA" w:rsidP="001312FE" w:rsidR="00897FFA" w:rsidRPr="00D407AC">
      <w:pPr>
        <w:spacing w:lineRule="auto" w:line="278"/>
        <w:jc w:val="both"/>
        <w:rPr>
          <w:b/>
        </w:rPr>
      </w:pPr>
      <w:r w:rsidRPr="00897FFA">
        <w:rPr>
          <w:b/>
        </w:rPr>
        <w:t>v.</w:t>
      </w:r>
      <w:r>
        <w:rPr>
          <w:b/>
        </w:rPr>
        <w:tab/>
        <w:t>Komunikacije</w:t>
      </w:r>
    </w:p>
    <w:p w:rsidRDefault="007D342C" w:rsidP="001312FE" w:rsidR="007D342C">
      <w:pPr>
        <w:spacing w:lineRule="auto" w:line="278"/>
        <w:jc w:val="both"/>
        <w:rPr>
          <w:b/>
        </w:rPr>
      </w:pPr>
    </w:p>
    <w:p w:rsidRDefault="007D342C" w:rsidP="001312FE" w:rsidR="007D342C">
      <w:pPr>
        <w:spacing w:lineRule="auto" w:line="278"/>
        <w:jc w:val="both"/>
        <w:rPr>
          <w:b/>
        </w:rPr>
      </w:pPr>
      <w:r w:rsidRPr="007D342C">
        <w:rPr>
          <w:b/>
        </w:rPr>
        <w:t>7.2.</w:t>
      </w:r>
      <w:r w:rsidRPr="007D342C">
        <w:rPr>
          <w:b/>
        </w:rPr>
        <w:tab/>
        <w:t xml:space="preserve">Status planiranja implementacije </w:t>
      </w:r>
    </w:p>
    <w:p w:rsidRDefault="007D342C" w:rsidP="001312FE" w:rsidR="007D342C" w:rsidRPr="007D342C">
      <w:pPr>
        <w:spacing w:lineRule="auto" w:line="278"/>
        <w:jc w:val="both"/>
        <w:rPr>
          <w:b/>
        </w:rPr>
      </w:pPr>
    </w:p>
    <w:p w:rsidRDefault="007D342C" w:rsidP="001312FE" w:rsidR="007D342C">
      <w:pPr>
        <w:spacing w:lineRule="auto" w:line="278"/>
        <w:jc w:val="both"/>
      </w:pPr>
      <w:r>
        <w:t>Indikativni vremenski plan implementacije:</w:t>
      </w:r>
    </w:p>
    <w:p w:rsidRDefault="007D342C" w:rsidP="001312FE" w:rsidR="007D342C">
      <w:pPr>
        <w:spacing w:lineRule="auto" w:line="278"/>
        <w:jc w:val="both"/>
      </w:pPr>
      <w:r>
        <w:t>•</w:t>
      </w:r>
      <w:r>
        <w:tab/>
        <w:t xml:space="preserve">Očekivani datum pravomoćnosti Nagodbe: do 31. prosinca 2018. godine, </w:t>
      </w:r>
    </w:p>
    <w:p w:rsidRDefault="007D342C" w:rsidP="001312FE" w:rsidR="007D342C">
      <w:pPr>
        <w:spacing w:lineRule="auto" w:line="278"/>
        <w:jc w:val="both"/>
      </w:pPr>
      <w:r>
        <w:t>•</w:t>
      </w:r>
      <w:r>
        <w:tab/>
      </w:r>
      <w:r w:rsidR="002C48C4">
        <w:t>Datum početk</w:t>
      </w:r>
      <w:r w:rsidR="00A006A8">
        <w:t>a</w:t>
      </w:r>
      <w:r w:rsidR="002C48C4">
        <w:t xml:space="preserve"> provedbe nagodbe (</w:t>
      </w:r>
      <w:r>
        <w:t>ICD</w:t>
      </w:r>
      <w:r w:rsidR="002C48C4">
        <w:t>)</w:t>
      </w:r>
      <w:r>
        <w:t>: do 31. siječnja 2019. godine,</w:t>
      </w:r>
    </w:p>
    <w:p w:rsidRDefault="007D342C" w:rsidP="001312FE" w:rsidR="007D342C">
      <w:pPr>
        <w:spacing w:lineRule="auto" w:line="278"/>
        <w:jc w:val="both"/>
      </w:pPr>
      <w:r>
        <w:t>•</w:t>
      </w:r>
      <w:r>
        <w:tab/>
        <w:t xml:space="preserve">Početak poslovanja </w:t>
      </w:r>
      <w:r w:rsidR="00D407AC">
        <w:t>nove grupe: do 1. ožujka 2019. g</w:t>
      </w:r>
      <w:r>
        <w:t>odine („Go-live“).</w:t>
      </w:r>
    </w:p>
    <w:p w:rsidRDefault="007D342C" w:rsidP="001312FE" w:rsidR="007D342C">
      <w:pPr>
        <w:spacing w:lineRule="auto" w:line="278"/>
        <w:jc w:val="both"/>
      </w:pPr>
    </w:p>
    <w:p w:rsidRDefault="007D342C" w:rsidP="001312FE" w:rsidR="007D342C">
      <w:pPr>
        <w:spacing w:lineRule="auto" w:line="278"/>
        <w:jc w:val="both"/>
      </w:pPr>
      <w:r>
        <w:t>Gore navedeni indikativni vremenski plan implementacije ovisit će o ispunjenju uvjeta iz nagodbe (obvezujuće mišljenje hrvatske Porezne uprave te obvezujuće mišljenje nizozemskih poreznih tijela), kao i o rješenju o pravomoćnosti Nagodbe. U implementaciji nagodbe će biti potrebno provesti više od 100 tisuća različitih koraka.</w:t>
      </w:r>
    </w:p>
    <w:p w:rsidRDefault="007D342C" w:rsidP="001312FE" w:rsidR="007D342C">
      <w:pPr>
        <w:spacing w:lineRule="auto" w:line="278"/>
        <w:jc w:val="both"/>
      </w:pPr>
    </w:p>
    <w:p w:rsidRDefault="007D342C" w:rsidP="001312FE" w:rsidR="007D342C">
      <w:pPr>
        <w:spacing w:lineRule="auto" w:line="278"/>
        <w:jc w:val="both"/>
      </w:pPr>
      <w:r>
        <w:t>Trenutni status:</w:t>
      </w:r>
    </w:p>
    <w:p w:rsidRDefault="007D342C" w:rsidP="00897FFA" w:rsidR="007D342C">
      <w:pPr>
        <w:spacing w:lineRule="auto" w:line="278"/>
        <w:ind w:hanging="720" w:left="720"/>
        <w:jc w:val="both"/>
      </w:pPr>
      <w:r>
        <w:t>•</w:t>
      </w:r>
      <w:r>
        <w:tab/>
        <w:t>Projektni timovi, ekspertni timovi i timovi u operativnim kompanijama su formirani. Grupa je osigurala pravnu i projektnu podršku savjetnika.</w:t>
      </w:r>
    </w:p>
    <w:p w:rsidRDefault="007D342C" w:rsidP="00897FFA" w:rsidR="007D342C">
      <w:pPr>
        <w:spacing w:lineRule="auto" w:line="278"/>
        <w:ind w:hanging="720" w:left="720"/>
        <w:jc w:val="both"/>
      </w:pPr>
      <w:r>
        <w:t>•</w:t>
      </w:r>
      <w:r>
        <w:tab/>
        <w:t>Koristit će se web zasnovani alat za upravljanje projektom implementacije kako bi se imao cjelokupni uvid u status projekta i faze/korake implementacije za 47 insolventnih društava pod izvanrednom upravom.</w:t>
      </w:r>
    </w:p>
    <w:p w:rsidRDefault="007D342C" w:rsidP="00897FFA" w:rsidR="007D342C">
      <w:pPr>
        <w:spacing w:lineRule="auto" w:line="278"/>
        <w:ind w:hanging="720" w:left="720"/>
        <w:jc w:val="both"/>
      </w:pPr>
      <w:r>
        <w:t>•</w:t>
      </w:r>
      <w:r>
        <w:tab/>
        <w:t xml:space="preserve">Projektni timovi su oformljeni u pilot društvima (Ledo, Konzum) i do kraja listopada </w:t>
      </w:r>
      <w:r w:rsidR="002C48C4">
        <w:t xml:space="preserve">2018. godine </w:t>
      </w:r>
      <w:r>
        <w:t>će biti pripremljeni planovi implementacije za pilot društva te sredinom prosinca</w:t>
      </w:r>
      <w:r w:rsidR="002C48C4">
        <w:t xml:space="preserve"> 2018. godine</w:t>
      </w:r>
      <w:r>
        <w:t xml:space="preserve"> za ostala insolventna društva pod izvanrednom upravom čije se poslovanj</w:t>
      </w:r>
      <w:r w:rsidR="00677B3A">
        <w:t>e</w:t>
      </w:r>
      <w:r>
        <w:t xml:space="preserve"> prenos</w:t>
      </w:r>
      <w:r w:rsidR="00677B3A">
        <w:t>i</w:t>
      </w:r>
      <w:r>
        <w:t xml:space="preserve"> u zrcalna društva.</w:t>
      </w:r>
    </w:p>
    <w:p w:rsidRDefault="007D342C" w:rsidP="001312FE" w:rsidR="007D342C">
      <w:pPr>
        <w:spacing w:lineRule="auto" w:line="278"/>
        <w:jc w:val="both"/>
      </w:pPr>
      <w:r>
        <w:t>•</w:t>
      </w:r>
      <w:r>
        <w:tab/>
        <w:t>Pripremljeni su preliminarni planovi za prijenos imovine te prijenos udjela/dionica</w:t>
      </w:r>
    </w:p>
    <w:p w:rsidRDefault="007D342C" w:rsidP="001312FE" w:rsidR="00000C33" w:rsidRPr="00000C33">
      <w:pPr>
        <w:spacing w:lineRule="auto" w:line="278"/>
        <w:jc w:val="both"/>
      </w:pPr>
      <w:r>
        <w:t>•</w:t>
      </w:r>
      <w:r>
        <w:tab/>
        <w:t>Nova ovisna društva i novo matično društvo su osnovani.</w:t>
      </w:r>
      <w:r w:rsidR="00000C33" w:rsidRPr="00000C33">
        <w:br w:type="page"/>
      </w:r>
    </w:p>
    <w:p w:rsidRDefault="00000C33" w:rsidP="001312FE" w:rsidR="00000C33" w:rsidRPr="00000C33"/>
    <w:p w:rsidRDefault="00000C33" w:rsidP="001312FE" w:rsidR="00000C33" w:rsidRPr="00000C33">
      <w:pPr>
        <w:ind w:left="360"/>
        <w:outlineLvl w:val="0"/>
        <w:rPr>
          <w:b/>
          <w:sz w:val="28"/>
          <w:szCs w:val="28"/>
        </w:rPr>
      </w:pPr>
      <w:bookmarkStart w:name="_Toc523299374" w:id="48"/>
      <w:r>
        <w:rPr>
          <w:b/>
          <w:sz w:val="28"/>
          <w:szCs w:val="28"/>
        </w:rPr>
        <w:t xml:space="preserve">8. </w:t>
      </w:r>
      <w:r w:rsidRPr="00000C33">
        <w:rPr>
          <w:b/>
          <w:sz w:val="28"/>
          <w:szCs w:val="28"/>
        </w:rPr>
        <w:t>Odnosi s dionicima i komunikacije</w:t>
      </w:r>
      <w:bookmarkEnd w:id="48"/>
    </w:p>
    <w:p w:rsidRDefault="00000C33" w:rsidP="001312FE" w:rsidR="00000C33" w:rsidRPr="00000C33">
      <w:pPr>
        <w:ind w:left="360"/>
        <w:outlineLvl w:val="0"/>
        <w:rPr>
          <w:b/>
          <w:sz w:val="28"/>
          <w:szCs w:val="28"/>
        </w:rPr>
      </w:pPr>
    </w:p>
    <w:p w:rsidRDefault="0019275C" w:rsidP="001312FE" w:rsidR="0019275C">
      <w:pPr>
        <w:spacing w:lineRule="auto" w:line="278"/>
        <w:jc w:val="both"/>
      </w:pPr>
      <w:r>
        <w:t xml:space="preserve">Izvanredna uprava i dalje nastavlja s intezivnom i transparentnom komunikacijom s ključnim dionicima u Hrvatskoj i drugim zemljama u kojima se odvija Agrokorovo poslovanje. </w:t>
      </w:r>
    </w:p>
    <w:p w:rsidRDefault="0019275C" w:rsidP="001312FE" w:rsidR="0019275C">
      <w:pPr>
        <w:spacing w:lineRule="auto" w:line="278"/>
        <w:jc w:val="both"/>
      </w:pPr>
    </w:p>
    <w:p w:rsidRDefault="0019275C" w:rsidP="001312FE" w:rsidR="0019275C">
      <w:pPr>
        <w:spacing w:lineRule="auto" w:line="278"/>
        <w:jc w:val="both"/>
      </w:pPr>
      <w:r>
        <w:t>U svim sastavnicama Grupe Agrokor započele su intenzivne pripreme procesa implementacije, a ujedno je s ciljem daljnjeg poboljšanja poslovanja te podizanja profesionalnih i etičkih korporativnih standarda unutar Grupe, izvanredna uprava u izvještajnom razodblju poduzela i niz koraka koji su rezultirali ili će rezultirati promjenama u uprava</w:t>
      </w:r>
      <w:r w:rsidR="009E1022">
        <w:t>ma</w:t>
      </w:r>
      <w:r>
        <w:t xml:space="preserve"> i visokom menadžmentu dijela kompanija sustava Agrokor. Stoga su to bile i dvije najvažnije teme koje su komunicirane s ključnim dionicima u prethodnom razdoblju.</w:t>
      </w:r>
    </w:p>
    <w:p w:rsidRDefault="0019275C" w:rsidP="001312FE" w:rsidR="0019275C">
      <w:pPr>
        <w:spacing w:lineRule="auto" w:line="278"/>
        <w:jc w:val="both"/>
      </w:pPr>
    </w:p>
    <w:p w:rsidRDefault="0019275C" w:rsidP="001312FE" w:rsidR="0019275C">
      <w:pPr>
        <w:spacing w:lineRule="auto" w:line="278"/>
        <w:jc w:val="both"/>
      </w:pPr>
      <w:r>
        <w:t>U segmentu komunikacije s medijima, zabilježena je intezivna komunikacija s medijima koja uključuje više od 50 medijskih aktivnosti među kojima se nalaze upiti medija, objave, izjave za medije i slično.</w:t>
      </w:r>
    </w:p>
    <w:p w:rsidRDefault="0019275C" w:rsidP="001312FE" w:rsidR="0019275C">
      <w:pPr>
        <w:spacing w:lineRule="auto" w:line="278"/>
        <w:jc w:val="both"/>
      </w:pPr>
    </w:p>
    <w:p w:rsidRDefault="0019275C" w:rsidP="001312FE" w:rsidR="0019275C">
      <w:pPr>
        <w:spacing w:lineRule="auto" w:line="278"/>
        <w:jc w:val="both"/>
      </w:pPr>
      <w:r>
        <w:t>Izvanredna uprava je održala radni sastanak s predsjednikom Vlade RH Andrejom Plenkovićem i ministrom gospodarstva Darkom Horvatom na kojem se razgovaralo o tijeku provedbe postupka izvanredne uprave, pripremama procesa implementacije i  poslovanju kompanije.</w:t>
      </w:r>
    </w:p>
    <w:p w:rsidRDefault="0019275C" w:rsidP="001312FE" w:rsidR="0019275C">
      <w:pPr>
        <w:spacing w:lineRule="auto" w:line="278"/>
        <w:jc w:val="both"/>
      </w:pPr>
    </w:p>
    <w:p w:rsidRDefault="0019275C" w:rsidP="001312FE" w:rsidR="0019275C">
      <w:pPr>
        <w:spacing w:lineRule="auto" w:line="278"/>
        <w:jc w:val="both"/>
      </w:pPr>
      <w:r>
        <w:t xml:space="preserve">Prilikom posjeta Konzumu d.o.o. Sarajevo na kojem su prezentirane promjene u menadžmentu Konzuma u Bosni i Hercegovini usmjerene na daljnje jačanje i razvoj poslovanja, izvanredni povjerenik Fabris Peruško i zamjenica izvanrednog povjerenika Irena Weber održali su sastanak sa zamjenikom predsjedavajućeg Vijeća ministara Bosne i Hercegovine Mirkom Šarovićem i premijerom Federacije BiH Fadilom Novalićem koje su informirali o stanju u Grupi Agrokor i gdje je obostrano potvrđena stabilizacija, restrukturiranje i napredak poslovanja kompanija iz sustava Agrokor koje posluju u BiH.  Istodobno, izvanredna uprava je, zajedno s bivšom i novom upravom Konzuma,  održala sastanak i s predstavnicima najvećih Konzumovih dobavljača u BiH, usmjeren na daljnje jačanje i razvoj poslovanja. </w:t>
      </w:r>
    </w:p>
    <w:p w:rsidRDefault="00000C33" w:rsidP="001312FE" w:rsidR="00000C33" w:rsidRPr="00000C33">
      <w:pPr>
        <w:spacing w:lineRule="auto" w:line="278"/>
        <w:jc w:val="both"/>
      </w:pPr>
    </w:p>
    <w:p w:rsidRDefault="00000C33" w:rsidP="001312FE" w:rsidR="00000C33" w:rsidRPr="00000C33"/>
    <w:p w:rsidRDefault="00000C33" w:rsidP="001312FE" w:rsidR="00000C33" w:rsidRPr="00000C33"/>
    <w:p w:rsidRDefault="00000C33" w:rsidP="001312FE" w:rsidR="00000C33" w:rsidRPr="00000C33">
      <w:r w:rsidRPr="00000C33">
        <w:t>Izvještaj pripremili:</w:t>
      </w:r>
    </w:p>
    <w:p w:rsidRDefault="00000C33" w:rsidP="001312FE" w:rsidR="00000C33" w:rsidRPr="00000C33"/>
    <w:p w:rsidRDefault="00000C33" w:rsidP="001312FE" w:rsidR="00000C33" w:rsidRPr="00000C33"/>
    <w:p w:rsidRDefault="00000C33" w:rsidP="001312FE" w:rsidR="00000C33" w:rsidRPr="00000C33">
      <w:r w:rsidRPr="00000C33">
        <w:t>Fabris Peruško                                                    Irena Weber</w:t>
      </w:r>
    </w:p>
    <w:p w:rsidRDefault="00000C33" w:rsidP="001312FE" w:rsidR="00000C33" w:rsidRPr="00000C33">
      <w:r w:rsidRPr="00000C33">
        <w:t>izvanredni povjerenik                                          zamjenica izvanrednog povjerenika</w:t>
      </w:r>
    </w:p>
    <w:p w:rsidRDefault="00000C33" w:rsidP="001312FE" w:rsidR="00000C33" w:rsidRPr="00000C33">
      <w:r w:rsidRPr="00000C33">
        <w:t>Agrokor d.d.                                                        Agrokor d.d.</w:t>
      </w:r>
    </w:p>
    <w:p w:rsidRDefault="00A76210" w:rsidP="001312FE" w:rsidR="00A76210">
      <w:pPr>
        <w:pStyle w:val="Tijeloteksta"/>
        <w:spacing w:before="1"/>
        <w:rPr>
          <w:sz w:val="12"/>
        </w:rPr>
      </w:pPr>
    </w:p>
    <w:sectPr w:rsidSect="001312FE" w:rsidR="00A76210">
      <w:headerReference w:type="default" r:id="rId30"/>
      <w:footerReference w:type="default" r:id="rId31"/>
      <w:pgSz w:code="9" w:h="16840" w:w="11910"/>
      <w:pgMar w:gutter="0" w:footer="1379" w:header="709" w:left="1200" w:bottom="1560" w:right="760" w:top="168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4EAD" w:rsidR="00E44EAD">
      <w:r>
        <w:separator/>
      </w:r>
    </w:p>
  </w:endnote>
  <w:endnote w:id="0" w:type="continuationSeparator">
    <w:p w:rsidRDefault="00E44EAD" w:rsidR="00E44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mn-ea">
    <w:panose1 w:val="00000000000000000000"/>
    <w:charset w:val="00"/>
    <w:family w:val="roman"/>
    <w:notTrueType/>
    <w:pitch w:val="default"/>
  </w:font>
  <w:font w:name="Verdana">
    <w:panose1 w:val="020B0604030504040204"/>
    <w:charset w:val="EE"/>
    <w:family w:val="swiss"/>
    <w:pitch w:val="variable"/>
    <w:sig w:csb1="00000000" w:csb0="0000019F" w:usb3="00000000" w:usb2="00000010" w:usb1="4000205B" w:usb0="A1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17711"/>
      <w:docPartObj>
        <w:docPartGallery w:val="Page Numbers (Bottom of Page)"/>
        <w:docPartUnique/>
      </w:docPartObj>
    </w:sdtPr>
    <w:sdtEndPr>
      <w:rPr>
        <w:noProof/>
      </w:rPr>
    </w:sdtEndPr>
    <w:sdtContent>
      <w:p w:rsidRDefault="00CC3F8B" w:rsidR="00CC3F8B">
        <w:pPr>
          <w:pStyle w:val="Podnoje"/>
          <w:jc w:val="right"/>
        </w:pPr>
        <w:r>
          <w:fldChar w:fldCharType="begin"/>
        </w:r>
        <w:r>
          <w:instrText xml:space="preserve"> PAGE   \* MERGEFORMAT </w:instrText>
        </w:r>
        <w:r>
          <w:fldChar w:fldCharType="separate"/>
        </w:r>
        <w:r w:rsidR="001D4987">
          <w:rPr>
            <w:noProof/>
          </w:rPr>
          <w:t>1</w:t>
        </w:r>
        <w:r>
          <w:rPr>
            <w:noProof/>
          </w:rPr>
          <w:fldChar w:fldCharType="end"/>
        </w:r>
      </w:p>
    </w:sdtContent>
  </w:sdt>
  <w:p w:rsidRDefault="00CC3F8B" w:rsidR="00CC3F8B">
    <w:pPr>
      <w:pStyle w:val="Tijeloteksta"/>
      <w:spacing w:lineRule="auto" w:line="14"/>
      <w:rPr>
        <w:sz w:val="14"/>
      </w:rPr>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292313"/>
      <w:docPartObj>
        <w:docPartGallery w:val="Page Numbers (Bottom of Page)"/>
        <w:docPartUnique/>
      </w:docPartObj>
    </w:sdtPr>
    <w:sdtEndPr>
      <w:rPr>
        <w:noProof/>
      </w:rPr>
    </w:sdtEndPr>
    <w:sdtContent>
      <w:p w:rsidRDefault="00CC3F8B" w:rsidR="00CC3F8B">
        <w:pPr>
          <w:pStyle w:val="Podnoje"/>
          <w:jc w:val="right"/>
        </w:pPr>
        <w:r>
          <w:fldChar w:fldCharType="begin"/>
        </w:r>
        <w:r>
          <w:instrText xml:space="preserve"> PAGE   \* MERGEFORMAT </w:instrText>
        </w:r>
        <w:r>
          <w:fldChar w:fldCharType="separate"/>
        </w:r>
        <w:r w:rsidR="001D4987">
          <w:rPr>
            <w:noProof/>
          </w:rPr>
          <w:t>9</w:t>
        </w:r>
        <w:r>
          <w:rPr>
            <w:noProof/>
          </w:rPr>
          <w:fldChar w:fldCharType="end"/>
        </w:r>
      </w:p>
    </w:sdtContent>
  </w:sdt>
  <w:p w:rsidRDefault="00CC3F8B" w:rsidR="00CC3F8B">
    <w:pPr>
      <w:pStyle w:val="Tijeloteksta"/>
      <w:spacing w:lineRule="auto" w:line="14"/>
      <w:rPr>
        <w:sz w:val="14"/>
      </w:rP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4125830"/>
      <w:docPartObj>
        <w:docPartGallery w:val="Page Numbers (Bottom of Page)"/>
        <w:docPartUnique/>
      </w:docPartObj>
    </w:sdtPr>
    <w:sdtEndPr>
      <w:rPr>
        <w:noProof/>
      </w:rPr>
    </w:sdtEndPr>
    <w:sdtContent>
      <w:p w:rsidRDefault="00CC3F8B" w:rsidR="00CC3F8B">
        <w:pPr>
          <w:pStyle w:val="Podnoje"/>
          <w:jc w:val="right"/>
        </w:pPr>
        <w:r>
          <w:fldChar w:fldCharType="begin"/>
        </w:r>
        <w:r>
          <w:instrText xml:space="preserve"> PAGE   \* MERGEFORMAT </w:instrText>
        </w:r>
        <w:r>
          <w:fldChar w:fldCharType="separate"/>
        </w:r>
        <w:r w:rsidR="001D4987">
          <w:rPr>
            <w:noProof/>
          </w:rPr>
          <w:t>24</w:t>
        </w:r>
        <w:r>
          <w:rPr>
            <w:noProof/>
          </w:rPr>
          <w:fldChar w:fldCharType="end"/>
        </w:r>
      </w:p>
    </w:sdtContent>
  </w:sdt>
  <w:p w:rsidRDefault="00CC3F8B" w:rsidR="00CC3F8B">
    <w:pPr>
      <w:pStyle w:val="Tijeloteksta"/>
      <w:spacing w:lineRule="auto" w:line="14"/>
      <w:rPr>
        <w:sz w:val="14"/>
      </w:rPr>
    </w:pP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70893639"/>
      <w:docPartObj>
        <w:docPartGallery w:val="Page Numbers (Bottom of Page)"/>
        <w:docPartUnique/>
      </w:docPartObj>
    </w:sdtPr>
    <w:sdtEndPr>
      <w:rPr>
        <w:noProof/>
      </w:rPr>
    </w:sdtEndPr>
    <w:sdtContent>
      <w:p w:rsidRDefault="00CC3F8B" w:rsidR="00CC3F8B">
        <w:pPr>
          <w:pStyle w:val="Podnoje"/>
          <w:jc w:val="right"/>
        </w:pPr>
        <w:r>
          <w:fldChar w:fldCharType="begin"/>
        </w:r>
        <w:r>
          <w:instrText xml:space="preserve"> PAGE   \* MERGEFORMAT </w:instrText>
        </w:r>
        <w:r>
          <w:fldChar w:fldCharType="separate"/>
        </w:r>
        <w:r w:rsidR="001D4987">
          <w:rPr>
            <w:noProof/>
          </w:rPr>
          <w:t>36</w:t>
        </w:r>
        <w:r>
          <w:rPr>
            <w:noProof/>
          </w:rPr>
          <w:fldChar w:fldCharType="end"/>
        </w:r>
      </w:p>
    </w:sdtContent>
  </w:sdt>
  <w:p w:rsidRDefault="00CC3F8B" w:rsidR="00CC3F8B">
    <w:pPr>
      <w:pStyle w:val="Tijeloteksta"/>
      <w:spacing w:lineRule="auto" w:line="14"/>
      <w:rPr>
        <w:sz w:val="2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4EAD" w:rsidR="00E44EAD">
      <w:r>
        <w:separator/>
      </w:r>
    </w:p>
  </w:footnote>
  <w:footnote w:id="0" w:type="continuationSeparator">
    <w:p w:rsidRDefault="00E44EAD" w:rsidR="00E44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F8B" w:rsidR="00CC3F8B">
    <w:pPr>
      <w:pStyle w:val="Tijeloteksta"/>
      <w:spacing w:lineRule="auto" w:line="14"/>
      <w:rPr>
        <w:sz w:val="20"/>
      </w:rPr>
    </w:pPr>
    <w:r>
      <w:rPr>
        <w:noProof/>
        <w:lang w:bidi="ar-SA"/>
      </w:rPr>
      <w:drawing>
        <wp:anchor allowOverlap="true" layoutInCell="true" locked="false" behindDoc="true" relativeHeight="268369407"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4"/>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F8B" w:rsidR="00CC3F8B">
    <w:pPr>
      <w:pStyle w:val="Tijeloteksta"/>
      <w:spacing w:lineRule="auto" w:line="14"/>
      <w:rPr>
        <w:sz w:val="20"/>
      </w:rPr>
    </w:pPr>
    <w:r>
      <w:rPr>
        <w:noProof/>
        <w:lang w:bidi="ar-SA"/>
      </w:rPr>
      <w:drawing>
        <wp:anchor allowOverlap="true" layoutInCell="true" locked="false" behindDoc="true" relativeHeight="268367359"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5"/>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F8B" w:rsidR="00CC3F8B">
    <w:pPr>
      <w:pStyle w:val="Tijeloteksta"/>
      <w:spacing w:lineRule="auto" w:line="14"/>
      <w:rPr>
        <w:sz w:val="20"/>
      </w:rPr>
    </w:pPr>
    <w:r>
      <w:rPr>
        <w:noProof/>
        <w:lang w:bidi="ar-SA"/>
      </w:rPr>
      <w:drawing>
        <wp:anchor allowOverlap="true" layoutInCell="true" locked="false" behindDoc="true" relativeHeight="268365263"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37"/>
          <wp:cNvGraphicFramePr>
            <a:graphicFrameLocks noChangeAspect="true"/>
          </wp:cNvGraphicFramePr>
          <a:graphic>
            <a:graphicData uri="http://schemas.openxmlformats.org/drawingml/2006/picture">
              <pic:pic>
                <pic:nvPicPr>
                  <pic:cNvPr name="image1.jpeg" id="2"/>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F8B" w:rsidR="00CC3F8B">
    <w:pPr>
      <w:pStyle w:val="Tijeloteksta"/>
      <w:spacing w:lineRule="auto" w:line="14"/>
      <w:rPr>
        <w:sz w:val="20"/>
      </w:rPr>
    </w:pPr>
    <w:r>
      <w:rPr>
        <w:noProof/>
        <w:lang w:bidi="ar-SA"/>
      </w:rPr>
      <w:drawing>
        <wp:anchor allowOverlap="true" layoutInCell="true" locked="false" behindDoc="true" relativeHeight="268365311" simplePos="false" distR="0" distL="0" distB="0" distT="0">
          <wp:simplePos y="0" x="0"/>
          <wp:positionH relativeFrom="page">
            <wp:posOffset>900430</wp:posOffset>
          </wp:positionH>
          <wp:positionV relativeFrom="page">
            <wp:posOffset>450214</wp:posOffset>
          </wp:positionV>
          <wp:extent cy="619125" cx="1800225"/>
          <wp:effectExtent b="0" r="0" t="0" l="0"/>
          <wp:wrapNone/>
          <wp:docPr name="image1.jpeg" id="3"/>
          <wp:cNvGraphicFramePr>
            <a:graphicFrameLocks noChangeAspect="true"/>
          </wp:cNvGraphicFramePr>
          <a:graphic>
            <a:graphicData uri="http://schemas.openxmlformats.org/drawingml/2006/picture">
              <pic:pic>
                <pic:nvPicPr>
                  <pic:cNvPr name="image1.jpeg" id="18"/>
                  <pic:cNvPicPr/>
                </pic:nvPicPr>
                <pic:blipFill>
                  <a:blip r:embed="rId1" cstate="print"/>
                  <a:stretch>
                    <a:fillRect/>
                  </a:stretch>
                </pic:blipFill>
                <pic:spPr>
                  <a:xfrm>
                    <a:off y="0" x="0"/>
                    <a:ext cy="619125" cx="1800225"/>
                  </a:xfrm>
                  <a:prstGeom prst="rect">
                    <a:avLst/>
                  </a:prstGeom>
                </pic:spPr>
              </pic:pic>
            </a:graphicData>
          </a:graphic>
        </wp:anchor>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72200F"/>
    <w:multiLevelType w:val="hybridMultilevel"/>
    <w:tmpl w:val="39AA8738"/>
    <w:lvl w:tplc="D0F249D4" w:ilvl="0">
      <w:numFmt w:val="bullet"/>
      <w:lvlText w:val=""/>
      <w:lvlJc w:val="left"/>
      <w:pPr>
        <w:ind w:hanging="360" w:left="1554"/>
      </w:pPr>
      <w:rPr>
        <w:rFonts w:cs="Wingdings" w:eastAsia="Wingdings" w:hAnsi="Wingdings" w:ascii="Wingdings" w:hint="default"/>
        <w:w w:val="100"/>
        <w:sz w:val="22"/>
        <w:szCs w:val="22"/>
        <w:lang w:bidi="hr-HR" w:eastAsia="hr-HR" w:val="hr-HR"/>
      </w:rPr>
    </w:lvl>
    <w:lvl w:tplc="D360C140" w:ilvl="1">
      <w:numFmt w:val="bullet"/>
      <w:lvlText w:val="•"/>
      <w:lvlJc w:val="left"/>
      <w:pPr>
        <w:ind w:hanging="360" w:left="2102"/>
      </w:pPr>
      <w:rPr>
        <w:rFonts w:hint="default"/>
        <w:lang w:bidi="hr-HR" w:eastAsia="hr-HR" w:val="hr-HR"/>
      </w:rPr>
    </w:lvl>
    <w:lvl w:tplc="25A0E330" w:ilvl="2">
      <w:numFmt w:val="bullet"/>
      <w:lvlText w:val="•"/>
      <w:lvlJc w:val="left"/>
      <w:pPr>
        <w:ind w:hanging="360" w:left="2644"/>
      </w:pPr>
      <w:rPr>
        <w:rFonts w:hint="default"/>
        <w:lang w:bidi="hr-HR" w:eastAsia="hr-HR" w:val="hr-HR"/>
      </w:rPr>
    </w:lvl>
    <w:lvl w:tplc="64FA6B2E" w:ilvl="3">
      <w:numFmt w:val="bullet"/>
      <w:lvlText w:val="•"/>
      <w:lvlJc w:val="left"/>
      <w:pPr>
        <w:ind w:hanging="360" w:left="3187"/>
      </w:pPr>
      <w:rPr>
        <w:rFonts w:hint="default"/>
        <w:lang w:bidi="hr-HR" w:eastAsia="hr-HR" w:val="hr-HR"/>
      </w:rPr>
    </w:lvl>
    <w:lvl w:tplc="36D4E422" w:ilvl="4">
      <w:numFmt w:val="bullet"/>
      <w:lvlText w:val="•"/>
      <w:lvlJc w:val="left"/>
      <w:pPr>
        <w:ind w:hanging="360" w:left="3729"/>
      </w:pPr>
      <w:rPr>
        <w:rFonts w:hint="default"/>
        <w:lang w:bidi="hr-HR" w:eastAsia="hr-HR" w:val="hr-HR"/>
      </w:rPr>
    </w:lvl>
    <w:lvl w:tplc="9796C2E4" w:ilvl="5">
      <w:numFmt w:val="bullet"/>
      <w:lvlText w:val="•"/>
      <w:lvlJc w:val="left"/>
      <w:pPr>
        <w:ind w:hanging="360" w:left="4272"/>
      </w:pPr>
      <w:rPr>
        <w:rFonts w:hint="default"/>
        <w:lang w:bidi="hr-HR" w:eastAsia="hr-HR" w:val="hr-HR"/>
      </w:rPr>
    </w:lvl>
    <w:lvl w:tplc="1FAC8A1E" w:ilvl="6">
      <w:numFmt w:val="bullet"/>
      <w:lvlText w:val="•"/>
      <w:lvlJc w:val="left"/>
      <w:pPr>
        <w:ind w:hanging="360" w:left="4814"/>
      </w:pPr>
      <w:rPr>
        <w:rFonts w:hint="default"/>
        <w:lang w:bidi="hr-HR" w:eastAsia="hr-HR" w:val="hr-HR"/>
      </w:rPr>
    </w:lvl>
    <w:lvl w:tplc="25E425C4" w:ilvl="7">
      <w:numFmt w:val="bullet"/>
      <w:lvlText w:val="•"/>
      <w:lvlJc w:val="left"/>
      <w:pPr>
        <w:ind w:hanging="360" w:left="5356"/>
      </w:pPr>
      <w:rPr>
        <w:rFonts w:hint="default"/>
        <w:lang w:bidi="hr-HR" w:eastAsia="hr-HR" w:val="hr-HR"/>
      </w:rPr>
    </w:lvl>
    <w:lvl w:tplc="2CC04BA4" w:ilvl="8">
      <w:numFmt w:val="bullet"/>
      <w:lvlText w:val="•"/>
      <w:lvlJc w:val="left"/>
      <w:pPr>
        <w:ind w:hanging="360" w:left="5899"/>
      </w:pPr>
      <w:rPr>
        <w:rFonts w:hint="default"/>
        <w:lang w:bidi="hr-HR" w:eastAsia="hr-HR" w:val="hr-HR"/>
      </w:rPr>
    </w:lvl>
  </w:abstractNum>
  <w:abstractNum w:abstractNumId="1">
    <w:nsid w:val="065C1579"/>
    <w:multiLevelType w:val="multilevel"/>
    <w:tmpl w:val="D3EC9A4E"/>
    <w:lvl w:ilvl="0">
      <w:start w:val="2"/>
      <w:numFmt w:val="decimal"/>
      <w:lvlText w:val="%1"/>
      <w:lvlJc w:val="left"/>
      <w:pPr>
        <w:ind w:hanging="706" w:left="964"/>
      </w:pPr>
      <w:rPr>
        <w:rFonts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2113"/>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2">
    <w:nsid w:val="06A93613"/>
    <w:multiLevelType w:val="hybridMultilevel"/>
    <w:tmpl w:val="73D2A9E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E64447"/>
    <w:multiLevelType w:val="hybridMultilevel"/>
    <w:tmpl w:val="19AA059E"/>
    <w:lvl w:tplc="04090001" w:ilvl="0">
      <w:start w:val="1"/>
      <w:numFmt w:val="bullet"/>
      <w:lvlText w:val=""/>
      <w:lvlJc w:val="left"/>
      <w:pPr>
        <w:ind w:hanging="360" w:left="720"/>
      </w:pPr>
      <w:rPr>
        <w:rFonts w:hAnsi="Symbol" w:ascii="Symbol" w:hint="default"/>
      </w:rPr>
    </w:lvl>
    <w:lvl w:tplc="EE140E84" w:ilvl="1">
      <w:numFmt w:val="bullet"/>
      <w:lvlText w:val="-"/>
      <w:lvlJc w:val="left"/>
      <w:pPr>
        <w:ind w:hanging="360" w:left="1440"/>
      </w:pPr>
      <w:rPr>
        <w:rFonts w:cs="Arial" w:eastAsia="Arial" w:hAnsi="Arial" w:ascii="Arial" w:hint="default"/>
        <w:sz w:val="24"/>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1104750D"/>
    <w:multiLevelType w:val="hybridMultilevel"/>
    <w:tmpl w:val="6F28F2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42B5BC8"/>
    <w:multiLevelType w:val="hybridMultilevel"/>
    <w:tmpl w:val="A7420FF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150504D0"/>
    <w:multiLevelType w:val="hybridMultilevel"/>
    <w:tmpl w:val="C4AA5A80"/>
    <w:lvl w:tplc="5B88FAAE" w:ilvl="0">
      <w:numFmt w:val="bullet"/>
      <w:lvlText w:val=""/>
      <w:lvlJc w:val="left"/>
      <w:pPr>
        <w:ind w:hanging="360" w:left="978"/>
      </w:pPr>
      <w:rPr>
        <w:rFonts w:cs="Symbol" w:eastAsia="Symbol" w:hAnsi="Symbol" w:ascii="Symbol" w:hint="default"/>
        <w:w w:val="100"/>
        <w:sz w:val="24"/>
        <w:szCs w:val="24"/>
        <w:lang w:bidi="hr-HR" w:eastAsia="hr-HR" w:val="hr-HR"/>
      </w:rPr>
    </w:lvl>
    <w:lvl w:tplc="AC1E8F7E" w:ilvl="1">
      <w:numFmt w:val="bullet"/>
      <w:lvlText w:val="•"/>
      <w:lvlJc w:val="left"/>
      <w:pPr>
        <w:ind w:hanging="360" w:left="1870"/>
      </w:pPr>
      <w:rPr>
        <w:rFonts w:hint="default"/>
        <w:lang w:bidi="hr-HR" w:eastAsia="hr-HR" w:val="hr-HR"/>
      </w:rPr>
    </w:lvl>
    <w:lvl w:tplc="80F0D6FC" w:ilvl="2">
      <w:numFmt w:val="bullet"/>
      <w:lvlText w:val="•"/>
      <w:lvlJc w:val="left"/>
      <w:pPr>
        <w:ind w:hanging="360" w:left="2761"/>
      </w:pPr>
      <w:rPr>
        <w:rFonts w:hint="default"/>
        <w:lang w:bidi="hr-HR" w:eastAsia="hr-HR" w:val="hr-HR"/>
      </w:rPr>
    </w:lvl>
    <w:lvl w:tplc="2F38D690" w:ilvl="3">
      <w:numFmt w:val="bullet"/>
      <w:lvlText w:val="•"/>
      <w:lvlJc w:val="left"/>
      <w:pPr>
        <w:ind w:hanging="360" w:left="3651"/>
      </w:pPr>
      <w:rPr>
        <w:rFonts w:hint="default"/>
        <w:lang w:bidi="hr-HR" w:eastAsia="hr-HR" w:val="hr-HR"/>
      </w:rPr>
    </w:lvl>
    <w:lvl w:tplc="E4D0B202" w:ilvl="4">
      <w:numFmt w:val="bullet"/>
      <w:lvlText w:val="•"/>
      <w:lvlJc w:val="left"/>
      <w:pPr>
        <w:ind w:hanging="360" w:left="4542"/>
      </w:pPr>
      <w:rPr>
        <w:rFonts w:hint="default"/>
        <w:lang w:bidi="hr-HR" w:eastAsia="hr-HR" w:val="hr-HR"/>
      </w:rPr>
    </w:lvl>
    <w:lvl w:tplc="80CCAA9C" w:ilvl="5">
      <w:numFmt w:val="bullet"/>
      <w:lvlText w:val="•"/>
      <w:lvlJc w:val="left"/>
      <w:pPr>
        <w:ind w:hanging="360" w:left="5433"/>
      </w:pPr>
      <w:rPr>
        <w:rFonts w:hint="default"/>
        <w:lang w:bidi="hr-HR" w:eastAsia="hr-HR" w:val="hr-HR"/>
      </w:rPr>
    </w:lvl>
    <w:lvl w:tplc="C44C135E" w:ilvl="6">
      <w:numFmt w:val="bullet"/>
      <w:lvlText w:val="•"/>
      <w:lvlJc w:val="left"/>
      <w:pPr>
        <w:ind w:hanging="360" w:left="6323"/>
      </w:pPr>
      <w:rPr>
        <w:rFonts w:hint="default"/>
        <w:lang w:bidi="hr-HR" w:eastAsia="hr-HR" w:val="hr-HR"/>
      </w:rPr>
    </w:lvl>
    <w:lvl w:tplc="7A00F530" w:ilvl="7">
      <w:numFmt w:val="bullet"/>
      <w:lvlText w:val="•"/>
      <w:lvlJc w:val="left"/>
      <w:pPr>
        <w:ind w:hanging="360" w:left="7214"/>
      </w:pPr>
      <w:rPr>
        <w:rFonts w:hint="default"/>
        <w:lang w:bidi="hr-HR" w:eastAsia="hr-HR" w:val="hr-HR"/>
      </w:rPr>
    </w:lvl>
    <w:lvl w:tplc="B8BA2FC0" w:ilvl="8">
      <w:numFmt w:val="bullet"/>
      <w:lvlText w:val="•"/>
      <w:lvlJc w:val="left"/>
      <w:pPr>
        <w:ind w:hanging="360" w:left="8105"/>
      </w:pPr>
      <w:rPr>
        <w:rFonts w:hint="default"/>
        <w:lang w:bidi="hr-HR" w:eastAsia="hr-HR" w:val="hr-HR"/>
      </w:rPr>
    </w:lvl>
  </w:abstractNum>
  <w:abstractNum w:abstractNumId="7">
    <w:nsid w:val="1B942E84"/>
    <w:multiLevelType w:val="hybridMultilevel"/>
    <w:tmpl w:val="8460C698"/>
    <w:lvl w:tplc="9BD4B9A8" w:ilvl="0">
      <w:start w:val="1"/>
      <w:numFmt w:val="bullet"/>
      <w:lvlText w:val="-"/>
      <w:lvlJc w:val="left"/>
      <w:pPr>
        <w:ind w:hanging="360" w:left="720"/>
      </w:pPr>
      <w:rPr>
        <w:rFonts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F720485"/>
    <w:multiLevelType w:val="hybridMultilevel"/>
    <w:tmpl w:val="2D56B26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F7808A4"/>
    <w:multiLevelType w:val="hybridMultilevel"/>
    <w:tmpl w:val="612C311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2012030E"/>
    <w:multiLevelType w:val="hybridMultilevel"/>
    <w:tmpl w:val="DB90A30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20576377"/>
    <w:multiLevelType w:val="hybridMultilevel"/>
    <w:tmpl w:val="55948E92"/>
    <w:lvl w:tplc="D0E8D2FC" w:ilvl="0">
      <w:numFmt w:val="bullet"/>
      <w:lvlText w:val="•"/>
      <w:lvlJc w:val="left"/>
      <w:pPr>
        <w:ind w:hanging="360" w:left="832"/>
      </w:pPr>
      <w:rPr>
        <w:rFonts w:cs="Arial" w:eastAsia="Arial" w:hAnsi="Arial" w:ascii="Arial" w:hint="default"/>
        <w:w w:val="99"/>
        <w:sz w:val="20"/>
        <w:szCs w:val="20"/>
        <w:lang w:bidi="hr-HR" w:eastAsia="hr-HR" w:val="hr-HR"/>
      </w:rPr>
    </w:lvl>
    <w:lvl w:tplc="CE82C5D2" w:ilvl="1">
      <w:numFmt w:val="bullet"/>
      <w:lvlText w:val=""/>
      <w:lvlJc w:val="left"/>
      <w:pPr>
        <w:ind w:hanging="360" w:left="1552"/>
      </w:pPr>
      <w:rPr>
        <w:rFonts w:cs="Wingdings" w:eastAsia="Wingdings" w:hAnsi="Wingdings" w:ascii="Wingdings" w:hint="default"/>
        <w:w w:val="99"/>
        <w:sz w:val="20"/>
        <w:szCs w:val="20"/>
        <w:lang w:bidi="hr-HR" w:eastAsia="hr-HR" w:val="hr-HR"/>
      </w:rPr>
    </w:lvl>
    <w:lvl w:tplc="8B6E9DAA" w:ilvl="2">
      <w:numFmt w:val="bullet"/>
      <w:lvlText w:val="•"/>
      <w:lvlJc w:val="left"/>
      <w:pPr>
        <w:ind w:hanging="360" w:left="2398"/>
      </w:pPr>
      <w:rPr>
        <w:rFonts w:hint="default"/>
        <w:lang w:bidi="hr-HR" w:eastAsia="hr-HR" w:val="hr-HR"/>
      </w:rPr>
    </w:lvl>
    <w:lvl w:tplc="26BEA99E" w:ilvl="3">
      <w:numFmt w:val="bullet"/>
      <w:lvlText w:val="•"/>
      <w:lvlJc w:val="left"/>
      <w:pPr>
        <w:ind w:hanging="360" w:left="3237"/>
      </w:pPr>
      <w:rPr>
        <w:rFonts w:hint="default"/>
        <w:lang w:bidi="hr-HR" w:eastAsia="hr-HR" w:val="hr-HR"/>
      </w:rPr>
    </w:lvl>
    <w:lvl w:tplc="C438444E" w:ilvl="4">
      <w:numFmt w:val="bullet"/>
      <w:lvlText w:val="•"/>
      <w:lvlJc w:val="left"/>
      <w:pPr>
        <w:ind w:hanging="360" w:left="4076"/>
      </w:pPr>
      <w:rPr>
        <w:rFonts w:hint="default"/>
        <w:lang w:bidi="hr-HR" w:eastAsia="hr-HR" w:val="hr-HR"/>
      </w:rPr>
    </w:lvl>
    <w:lvl w:tplc="E534AA18" w:ilvl="5">
      <w:numFmt w:val="bullet"/>
      <w:lvlText w:val="•"/>
      <w:lvlJc w:val="left"/>
      <w:pPr>
        <w:ind w:hanging="360" w:left="4915"/>
      </w:pPr>
      <w:rPr>
        <w:rFonts w:hint="default"/>
        <w:lang w:bidi="hr-HR" w:eastAsia="hr-HR" w:val="hr-HR"/>
      </w:rPr>
    </w:lvl>
    <w:lvl w:tplc="CB308C1E" w:ilvl="6">
      <w:numFmt w:val="bullet"/>
      <w:lvlText w:val="•"/>
      <w:lvlJc w:val="left"/>
      <w:pPr>
        <w:ind w:hanging="360" w:left="5754"/>
      </w:pPr>
      <w:rPr>
        <w:rFonts w:hint="default"/>
        <w:lang w:bidi="hr-HR" w:eastAsia="hr-HR" w:val="hr-HR"/>
      </w:rPr>
    </w:lvl>
    <w:lvl w:tplc="C426647C" w:ilvl="7">
      <w:numFmt w:val="bullet"/>
      <w:lvlText w:val="•"/>
      <w:lvlJc w:val="left"/>
      <w:pPr>
        <w:ind w:hanging="360" w:left="6593"/>
      </w:pPr>
      <w:rPr>
        <w:rFonts w:hint="default"/>
        <w:lang w:bidi="hr-HR" w:eastAsia="hr-HR" w:val="hr-HR"/>
      </w:rPr>
    </w:lvl>
    <w:lvl w:tplc="63542042" w:ilvl="8">
      <w:numFmt w:val="bullet"/>
      <w:lvlText w:val="•"/>
      <w:lvlJc w:val="left"/>
      <w:pPr>
        <w:ind w:hanging="360" w:left="7432"/>
      </w:pPr>
      <w:rPr>
        <w:rFonts w:hint="default"/>
        <w:lang w:bidi="hr-HR" w:eastAsia="hr-HR" w:val="hr-HR"/>
      </w:rPr>
    </w:lvl>
  </w:abstractNum>
  <w:abstractNum w:abstractNumId="12">
    <w:nsid w:val="21AD2D41"/>
    <w:multiLevelType w:val="multilevel"/>
    <w:tmpl w:val="AF96A38C"/>
    <w:lvl w:ilvl="0">
      <w:start w:val="1"/>
      <w:numFmt w:val="decimal"/>
      <w:pStyle w:val="Naslov11"/>
      <w:lvlText w:val="%1."/>
      <w:lvlJc w:val="left"/>
      <w:pPr>
        <w:ind w:hanging="360" w:left="360"/>
      </w:pPr>
      <w:rPr>
        <w:rFonts w:hint="default"/>
      </w:rPr>
    </w:lvl>
    <w:lvl w:ilvl="1">
      <w:start w:val="1"/>
      <w:numFmt w:val="decimal"/>
      <w:pStyle w:val="Naslov21"/>
      <w:lvlText w:val="%1.%2."/>
      <w:lvlJc w:val="left"/>
      <w:pPr>
        <w:ind w:hanging="432" w:left="792"/>
      </w:pPr>
      <w:rPr>
        <w:rFonts w:hint="default"/>
        <w:sz w:val="24"/>
        <w:szCs w:val="24"/>
      </w:rPr>
    </w:lvl>
    <w:lvl w:ilvl="2">
      <w:start w:val="1"/>
      <w:numFmt w:val="decimal"/>
      <w:pStyle w:val="Naslov31"/>
      <w:lvlText w:val="%1.%2.%3."/>
      <w:lvlJc w:val="left"/>
      <w:pPr>
        <w:ind w:hanging="504" w:left="1224"/>
      </w:pPr>
      <w:rPr>
        <w:rFonts w:hint="default"/>
      </w:rPr>
    </w:lvl>
    <w:lvl w:ilvl="3">
      <w:start w:val="1"/>
      <w:numFmt w:val="decimal"/>
      <w:pStyle w:val="Naslov41"/>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13">
    <w:nsid w:val="225E23F7"/>
    <w:multiLevelType w:val="hybridMultilevel"/>
    <w:tmpl w:val="E3AE400C"/>
    <w:lvl w:tplc="9BD4B9A8" w:ilvl="0">
      <w:start w:val="1"/>
      <w:numFmt w:val="bullet"/>
      <w:lvlText w:val="-"/>
      <w:lvlJc w:val="left"/>
      <w:pPr>
        <w:tabs>
          <w:tab w:pos="720" w:val="num"/>
        </w:tabs>
        <w:ind w:hanging="360" w:left="720"/>
      </w:pPr>
      <w:rPr>
        <w:rFonts w:hAnsi="Times New Roman" w:ascii="Times New Roman" w:hint="default"/>
      </w:rPr>
    </w:lvl>
    <w:lvl w:tentative="true" w:tplc="06DA45EC" w:ilvl="1">
      <w:start w:val="1"/>
      <w:numFmt w:val="bullet"/>
      <w:lvlText w:val="-"/>
      <w:lvlJc w:val="left"/>
      <w:pPr>
        <w:tabs>
          <w:tab w:pos="1440" w:val="num"/>
        </w:tabs>
        <w:ind w:hanging="360" w:left="1440"/>
      </w:pPr>
      <w:rPr>
        <w:rFonts w:hAnsi="Times New Roman" w:ascii="Times New Roman" w:hint="default"/>
      </w:rPr>
    </w:lvl>
    <w:lvl w:tentative="true" w:tplc="BE068316" w:ilvl="2">
      <w:start w:val="1"/>
      <w:numFmt w:val="bullet"/>
      <w:lvlText w:val="-"/>
      <w:lvlJc w:val="left"/>
      <w:pPr>
        <w:tabs>
          <w:tab w:pos="2160" w:val="num"/>
        </w:tabs>
        <w:ind w:hanging="360" w:left="2160"/>
      </w:pPr>
      <w:rPr>
        <w:rFonts w:hAnsi="Times New Roman" w:ascii="Times New Roman" w:hint="default"/>
      </w:rPr>
    </w:lvl>
    <w:lvl w:tentative="true" w:tplc="7ED63F06" w:ilvl="3">
      <w:start w:val="1"/>
      <w:numFmt w:val="bullet"/>
      <w:lvlText w:val="-"/>
      <w:lvlJc w:val="left"/>
      <w:pPr>
        <w:tabs>
          <w:tab w:pos="2880" w:val="num"/>
        </w:tabs>
        <w:ind w:hanging="360" w:left="2880"/>
      </w:pPr>
      <w:rPr>
        <w:rFonts w:hAnsi="Times New Roman" w:ascii="Times New Roman" w:hint="default"/>
      </w:rPr>
    </w:lvl>
    <w:lvl w:tentative="true" w:tplc="552A8238" w:ilvl="4">
      <w:start w:val="1"/>
      <w:numFmt w:val="bullet"/>
      <w:lvlText w:val="-"/>
      <w:lvlJc w:val="left"/>
      <w:pPr>
        <w:tabs>
          <w:tab w:pos="3600" w:val="num"/>
        </w:tabs>
        <w:ind w:hanging="360" w:left="3600"/>
      </w:pPr>
      <w:rPr>
        <w:rFonts w:hAnsi="Times New Roman" w:ascii="Times New Roman" w:hint="default"/>
      </w:rPr>
    </w:lvl>
    <w:lvl w:tentative="true" w:tplc="236EAA6E" w:ilvl="5">
      <w:start w:val="1"/>
      <w:numFmt w:val="bullet"/>
      <w:lvlText w:val="-"/>
      <w:lvlJc w:val="left"/>
      <w:pPr>
        <w:tabs>
          <w:tab w:pos="4320" w:val="num"/>
        </w:tabs>
        <w:ind w:hanging="360" w:left="4320"/>
      </w:pPr>
      <w:rPr>
        <w:rFonts w:hAnsi="Times New Roman" w:ascii="Times New Roman" w:hint="default"/>
      </w:rPr>
    </w:lvl>
    <w:lvl w:tentative="true" w:tplc="C6E2864C" w:ilvl="6">
      <w:start w:val="1"/>
      <w:numFmt w:val="bullet"/>
      <w:lvlText w:val="-"/>
      <w:lvlJc w:val="left"/>
      <w:pPr>
        <w:tabs>
          <w:tab w:pos="5040" w:val="num"/>
        </w:tabs>
        <w:ind w:hanging="360" w:left="5040"/>
      </w:pPr>
      <w:rPr>
        <w:rFonts w:hAnsi="Times New Roman" w:ascii="Times New Roman" w:hint="default"/>
      </w:rPr>
    </w:lvl>
    <w:lvl w:tentative="true" w:tplc="8A10138E" w:ilvl="7">
      <w:start w:val="1"/>
      <w:numFmt w:val="bullet"/>
      <w:lvlText w:val="-"/>
      <w:lvlJc w:val="left"/>
      <w:pPr>
        <w:tabs>
          <w:tab w:pos="5760" w:val="num"/>
        </w:tabs>
        <w:ind w:hanging="360" w:left="5760"/>
      </w:pPr>
      <w:rPr>
        <w:rFonts w:hAnsi="Times New Roman" w:ascii="Times New Roman" w:hint="default"/>
      </w:rPr>
    </w:lvl>
    <w:lvl w:tentative="true" w:tplc="B5DA0620" w:ilvl="8">
      <w:start w:val="1"/>
      <w:numFmt w:val="bullet"/>
      <w:lvlText w:val="-"/>
      <w:lvlJc w:val="left"/>
      <w:pPr>
        <w:tabs>
          <w:tab w:pos="6480" w:val="num"/>
        </w:tabs>
        <w:ind w:hanging="360" w:left="6480"/>
      </w:pPr>
      <w:rPr>
        <w:rFonts w:hAnsi="Times New Roman" w:ascii="Times New Roman" w:hint="default"/>
      </w:rPr>
    </w:lvl>
  </w:abstractNum>
  <w:abstractNum w:abstractNumId="14">
    <w:nsid w:val="2A715C4F"/>
    <w:multiLevelType w:val="hybridMultilevel"/>
    <w:tmpl w:val="3882447C"/>
    <w:lvl w:tplc="C2BA1478" w:ilvl="0">
      <w:numFmt w:val="bullet"/>
      <w:lvlText w:val=""/>
      <w:lvlJc w:val="left"/>
      <w:pPr>
        <w:ind w:hanging="361" w:left="1553"/>
      </w:pPr>
      <w:rPr>
        <w:rFonts w:cs="Wingdings" w:eastAsia="Wingdings" w:hAnsi="Wingdings" w:ascii="Wingdings" w:hint="default"/>
        <w:w w:val="100"/>
        <w:sz w:val="22"/>
        <w:szCs w:val="22"/>
        <w:lang w:bidi="hr-HR" w:eastAsia="hr-HR" w:val="hr-HR"/>
      </w:rPr>
    </w:lvl>
    <w:lvl w:tplc="B074F74A" w:ilvl="1">
      <w:numFmt w:val="bullet"/>
      <w:lvlText w:val="•"/>
      <w:lvlJc w:val="left"/>
      <w:pPr>
        <w:ind w:hanging="361" w:left="2115"/>
      </w:pPr>
      <w:rPr>
        <w:rFonts w:hint="default"/>
        <w:lang w:bidi="hr-HR" w:eastAsia="hr-HR" w:val="hr-HR"/>
      </w:rPr>
    </w:lvl>
    <w:lvl w:tplc="86DE68E4" w:ilvl="2">
      <w:numFmt w:val="bullet"/>
      <w:lvlText w:val="•"/>
      <w:lvlJc w:val="left"/>
      <w:pPr>
        <w:ind w:hanging="361" w:left="2671"/>
      </w:pPr>
      <w:rPr>
        <w:rFonts w:hint="default"/>
        <w:lang w:bidi="hr-HR" w:eastAsia="hr-HR" w:val="hr-HR"/>
      </w:rPr>
    </w:lvl>
    <w:lvl w:tplc="64CA104A" w:ilvl="3">
      <w:numFmt w:val="bullet"/>
      <w:lvlText w:val="•"/>
      <w:lvlJc w:val="left"/>
      <w:pPr>
        <w:ind w:hanging="361" w:left="3226"/>
      </w:pPr>
      <w:rPr>
        <w:rFonts w:hint="default"/>
        <w:lang w:bidi="hr-HR" w:eastAsia="hr-HR" w:val="hr-HR"/>
      </w:rPr>
    </w:lvl>
    <w:lvl w:tplc="2CA06FB8" w:ilvl="4">
      <w:numFmt w:val="bullet"/>
      <w:lvlText w:val="•"/>
      <w:lvlJc w:val="left"/>
      <w:pPr>
        <w:ind w:hanging="361" w:left="3782"/>
      </w:pPr>
      <w:rPr>
        <w:rFonts w:hint="default"/>
        <w:lang w:bidi="hr-HR" w:eastAsia="hr-HR" w:val="hr-HR"/>
      </w:rPr>
    </w:lvl>
    <w:lvl w:tplc="6ABABB80" w:ilvl="5">
      <w:numFmt w:val="bullet"/>
      <w:lvlText w:val="•"/>
      <w:lvlJc w:val="left"/>
      <w:pPr>
        <w:ind w:hanging="361" w:left="4337"/>
      </w:pPr>
      <w:rPr>
        <w:rFonts w:hint="default"/>
        <w:lang w:bidi="hr-HR" w:eastAsia="hr-HR" w:val="hr-HR"/>
      </w:rPr>
    </w:lvl>
    <w:lvl w:tplc="9FF02860" w:ilvl="6">
      <w:numFmt w:val="bullet"/>
      <w:lvlText w:val="•"/>
      <w:lvlJc w:val="left"/>
      <w:pPr>
        <w:ind w:hanging="361" w:left="4893"/>
      </w:pPr>
      <w:rPr>
        <w:rFonts w:hint="default"/>
        <w:lang w:bidi="hr-HR" w:eastAsia="hr-HR" w:val="hr-HR"/>
      </w:rPr>
    </w:lvl>
    <w:lvl w:tplc="4952411A" w:ilvl="7">
      <w:numFmt w:val="bullet"/>
      <w:lvlText w:val="•"/>
      <w:lvlJc w:val="left"/>
      <w:pPr>
        <w:ind w:hanging="361" w:left="5448"/>
      </w:pPr>
      <w:rPr>
        <w:rFonts w:hint="default"/>
        <w:lang w:bidi="hr-HR" w:eastAsia="hr-HR" w:val="hr-HR"/>
      </w:rPr>
    </w:lvl>
    <w:lvl w:tplc="F940C1CC" w:ilvl="8">
      <w:numFmt w:val="bullet"/>
      <w:lvlText w:val="•"/>
      <w:lvlJc w:val="left"/>
      <w:pPr>
        <w:ind w:hanging="361" w:left="6004"/>
      </w:pPr>
      <w:rPr>
        <w:rFonts w:hint="default"/>
        <w:lang w:bidi="hr-HR" w:eastAsia="hr-HR" w:val="hr-HR"/>
      </w:rPr>
    </w:lvl>
  </w:abstractNum>
  <w:abstractNum w:abstractNumId="15">
    <w:nsid w:val="2B396D18"/>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16">
    <w:nsid w:val="2E5942D9"/>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17">
    <w:nsid w:val="2ED72DA0"/>
    <w:multiLevelType w:val="hybridMultilevel"/>
    <w:tmpl w:val="2668C46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F6857D7"/>
    <w:multiLevelType w:val="hybridMultilevel"/>
    <w:tmpl w:val="13E21CF0"/>
    <w:lvl w:tplc="041A0001" w:ilvl="0">
      <w:start w:val="1"/>
      <w:numFmt w:val="bullet"/>
      <w:lvlText w:val=""/>
      <w:lvlJc w:val="left"/>
      <w:pPr>
        <w:tabs>
          <w:tab w:pos="787" w:val="num"/>
        </w:tabs>
        <w:ind w:hanging="360" w:left="787"/>
      </w:pPr>
      <w:rPr>
        <w:rFonts w:hAnsi="Symbol" w:ascii="Symbol" w:hint="default"/>
      </w:rPr>
    </w:lvl>
    <w:lvl w:tentative="true" w:tplc="04090003" w:ilvl="1">
      <w:start w:val="1"/>
      <w:numFmt w:val="bullet"/>
      <w:lvlText w:val="o"/>
      <w:lvlJc w:val="left"/>
      <w:pPr>
        <w:ind w:hanging="360" w:left="1507"/>
      </w:pPr>
      <w:rPr>
        <w:rFonts w:cs="Courier New" w:hAnsi="Courier New" w:ascii="Courier New" w:hint="default"/>
      </w:rPr>
    </w:lvl>
    <w:lvl w:tentative="true" w:tplc="04090005" w:ilvl="2">
      <w:start w:val="1"/>
      <w:numFmt w:val="bullet"/>
      <w:lvlText w:val=""/>
      <w:lvlJc w:val="left"/>
      <w:pPr>
        <w:ind w:hanging="360" w:left="2227"/>
      </w:pPr>
      <w:rPr>
        <w:rFonts w:hAnsi="Wingdings" w:ascii="Wingdings" w:hint="default"/>
      </w:rPr>
    </w:lvl>
    <w:lvl w:tentative="true" w:tplc="04090001" w:ilvl="3">
      <w:start w:val="1"/>
      <w:numFmt w:val="bullet"/>
      <w:lvlText w:val=""/>
      <w:lvlJc w:val="left"/>
      <w:pPr>
        <w:ind w:hanging="360" w:left="2947"/>
      </w:pPr>
      <w:rPr>
        <w:rFonts w:hAnsi="Symbol" w:ascii="Symbol" w:hint="default"/>
      </w:rPr>
    </w:lvl>
    <w:lvl w:tentative="true" w:tplc="04090003" w:ilvl="4">
      <w:start w:val="1"/>
      <w:numFmt w:val="bullet"/>
      <w:lvlText w:val="o"/>
      <w:lvlJc w:val="left"/>
      <w:pPr>
        <w:ind w:hanging="360" w:left="3667"/>
      </w:pPr>
      <w:rPr>
        <w:rFonts w:cs="Courier New" w:hAnsi="Courier New" w:ascii="Courier New" w:hint="default"/>
      </w:rPr>
    </w:lvl>
    <w:lvl w:tentative="true" w:tplc="04090005" w:ilvl="5">
      <w:start w:val="1"/>
      <w:numFmt w:val="bullet"/>
      <w:lvlText w:val=""/>
      <w:lvlJc w:val="left"/>
      <w:pPr>
        <w:ind w:hanging="360" w:left="4387"/>
      </w:pPr>
      <w:rPr>
        <w:rFonts w:hAnsi="Wingdings" w:ascii="Wingdings" w:hint="default"/>
      </w:rPr>
    </w:lvl>
    <w:lvl w:tentative="true" w:tplc="04090001" w:ilvl="6">
      <w:start w:val="1"/>
      <w:numFmt w:val="bullet"/>
      <w:lvlText w:val=""/>
      <w:lvlJc w:val="left"/>
      <w:pPr>
        <w:ind w:hanging="360" w:left="5107"/>
      </w:pPr>
      <w:rPr>
        <w:rFonts w:hAnsi="Symbol" w:ascii="Symbol" w:hint="default"/>
      </w:rPr>
    </w:lvl>
    <w:lvl w:tentative="true" w:tplc="04090003" w:ilvl="7">
      <w:start w:val="1"/>
      <w:numFmt w:val="bullet"/>
      <w:lvlText w:val="o"/>
      <w:lvlJc w:val="left"/>
      <w:pPr>
        <w:ind w:hanging="360" w:left="5827"/>
      </w:pPr>
      <w:rPr>
        <w:rFonts w:cs="Courier New" w:hAnsi="Courier New" w:ascii="Courier New" w:hint="default"/>
      </w:rPr>
    </w:lvl>
    <w:lvl w:tentative="true" w:tplc="04090005" w:ilvl="8">
      <w:start w:val="1"/>
      <w:numFmt w:val="bullet"/>
      <w:lvlText w:val=""/>
      <w:lvlJc w:val="left"/>
      <w:pPr>
        <w:ind w:hanging="360" w:left="6547"/>
      </w:pPr>
      <w:rPr>
        <w:rFonts w:hAnsi="Wingdings" w:ascii="Wingdings" w:hint="default"/>
      </w:rPr>
    </w:lvl>
  </w:abstractNum>
  <w:abstractNum w:abstractNumId="19">
    <w:nsid w:val="30E56DFD"/>
    <w:multiLevelType w:val="hybridMultilevel"/>
    <w:tmpl w:val="C9A076B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6E171B"/>
    <w:multiLevelType w:val="hybridMultilevel"/>
    <w:tmpl w:val="33B4EDB8"/>
    <w:lvl w:tplc="F7669364" w:ilvl="0">
      <w:numFmt w:val="bullet"/>
      <w:lvlText w:val="•"/>
      <w:lvlJc w:val="left"/>
      <w:pPr>
        <w:ind w:hanging="360" w:left="720"/>
      </w:pPr>
      <w:rPr>
        <w:rFonts w:hint="default"/>
        <w:lang w:bidi="hr-HR" w:eastAsia="hr-HR" w:val="hr-HR"/>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484BF5"/>
    <w:multiLevelType w:val="hybridMultilevel"/>
    <w:tmpl w:val="79D6A5FC"/>
    <w:lvl w:tplc="04090001" w:ilvl="0">
      <w:start w:val="1"/>
      <w:numFmt w:val="bullet"/>
      <w:lvlText w:val=""/>
      <w:lvlJc w:val="left"/>
      <w:pPr>
        <w:ind w:hanging="360" w:left="1338"/>
      </w:pPr>
      <w:rPr>
        <w:rFonts w:hAnsi="Symbol" w:ascii="Symbol" w:hint="default"/>
      </w:rPr>
    </w:lvl>
    <w:lvl w:tentative="true" w:tplc="04090003" w:ilvl="1">
      <w:start w:val="1"/>
      <w:numFmt w:val="bullet"/>
      <w:lvlText w:val="o"/>
      <w:lvlJc w:val="left"/>
      <w:pPr>
        <w:ind w:hanging="360" w:left="2058"/>
      </w:pPr>
      <w:rPr>
        <w:rFonts w:cs="Courier New" w:hAnsi="Courier New" w:ascii="Courier New" w:hint="default"/>
      </w:rPr>
    </w:lvl>
    <w:lvl w:tentative="true" w:tplc="04090005" w:ilvl="2">
      <w:start w:val="1"/>
      <w:numFmt w:val="bullet"/>
      <w:lvlText w:val=""/>
      <w:lvlJc w:val="left"/>
      <w:pPr>
        <w:ind w:hanging="360" w:left="2778"/>
      </w:pPr>
      <w:rPr>
        <w:rFonts w:hAnsi="Wingdings" w:ascii="Wingdings" w:hint="default"/>
      </w:rPr>
    </w:lvl>
    <w:lvl w:tentative="true" w:tplc="04090001" w:ilvl="3">
      <w:start w:val="1"/>
      <w:numFmt w:val="bullet"/>
      <w:lvlText w:val=""/>
      <w:lvlJc w:val="left"/>
      <w:pPr>
        <w:ind w:hanging="360" w:left="3498"/>
      </w:pPr>
      <w:rPr>
        <w:rFonts w:hAnsi="Symbol" w:ascii="Symbol" w:hint="default"/>
      </w:rPr>
    </w:lvl>
    <w:lvl w:tentative="true" w:tplc="04090003" w:ilvl="4">
      <w:start w:val="1"/>
      <w:numFmt w:val="bullet"/>
      <w:lvlText w:val="o"/>
      <w:lvlJc w:val="left"/>
      <w:pPr>
        <w:ind w:hanging="360" w:left="4218"/>
      </w:pPr>
      <w:rPr>
        <w:rFonts w:cs="Courier New" w:hAnsi="Courier New" w:ascii="Courier New" w:hint="default"/>
      </w:rPr>
    </w:lvl>
    <w:lvl w:tentative="true" w:tplc="04090005" w:ilvl="5">
      <w:start w:val="1"/>
      <w:numFmt w:val="bullet"/>
      <w:lvlText w:val=""/>
      <w:lvlJc w:val="left"/>
      <w:pPr>
        <w:ind w:hanging="360" w:left="4938"/>
      </w:pPr>
      <w:rPr>
        <w:rFonts w:hAnsi="Wingdings" w:ascii="Wingdings" w:hint="default"/>
      </w:rPr>
    </w:lvl>
    <w:lvl w:tentative="true" w:tplc="04090001" w:ilvl="6">
      <w:start w:val="1"/>
      <w:numFmt w:val="bullet"/>
      <w:lvlText w:val=""/>
      <w:lvlJc w:val="left"/>
      <w:pPr>
        <w:ind w:hanging="360" w:left="5658"/>
      </w:pPr>
      <w:rPr>
        <w:rFonts w:hAnsi="Symbol" w:ascii="Symbol" w:hint="default"/>
      </w:rPr>
    </w:lvl>
    <w:lvl w:tentative="true" w:tplc="04090003" w:ilvl="7">
      <w:start w:val="1"/>
      <w:numFmt w:val="bullet"/>
      <w:lvlText w:val="o"/>
      <w:lvlJc w:val="left"/>
      <w:pPr>
        <w:ind w:hanging="360" w:left="6378"/>
      </w:pPr>
      <w:rPr>
        <w:rFonts w:cs="Courier New" w:hAnsi="Courier New" w:ascii="Courier New" w:hint="default"/>
      </w:rPr>
    </w:lvl>
    <w:lvl w:tentative="true" w:tplc="04090005" w:ilvl="8">
      <w:start w:val="1"/>
      <w:numFmt w:val="bullet"/>
      <w:lvlText w:val=""/>
      <w:lvlJc w:val="left"/>
      <w:pPr>
        <w:ind w:hanging="360" w:left="7098"/>
      </w:pPr>
      <w:rPr>
        <w:rFonts w:hAnsi="Wingdings" w:ascii="Wingdings" w:hint="default"/>
      </w:rPr>
    </w:lvl>
  </w:abstractNum>
  <w:abstractNum w:abstractNumId="22">
    <w:nsid w:val="38DE6069"/>
    <w:multiLevelType w:val="hybridMultilevel"/>
    <w:tmpl w:val="D34CB54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3F7B1BDB"/>
    <w:multiLevelType w:val="hybridMultilevel"/>
    <w:tmpl w:val="5478F744"/>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4">
    <w:nsid w:val="41715C07"/>
    <w:multiLevelType w:val="hybridMultilevel"/>
    <w:tmpl w:val="7C7065A8"/>
    <w:lvl w:tplc="6B08B010" w:ilvl="0">
      <w:numFmt w:val="bullet"/>
      <w:lvlText w:val=""/>
      <w:lvlJc w:val="left"/>
      <w:pPr>
        <w:ind w:hanging="360" w:left="978"/>
      </w:pPr>
      <w:rPr>
        <w:rFonts w:cs="Symbol" w:eastAsia="Symbol" w:hAnsi="Symbol" w:ascii="Symbol" w:hint="default"/>
        <w:w w:val="100"/>
        <w:sz w:val="24"/>
        <w:szCs w:val="24"/>
        <w:lang w:bidi="hr-HR" w:eastAsia="hr-HR" w:val="hr-HR"/>
      </w:rPr>
    </w:lvl>
    <w:lvl w:tplc="F7669364" w:ilvl="1">
      <w:numFmt w:val="bullet"/>
      <w:lvlText w:val="•"/>
      <w:lvlJc w:val="left"/>
      <w:pPr>
        <w:ind w:hanging="360" w:left="1870"/>
      </w:pPr>
      <w:rPr>
        <w:rFonts w:hint="default"/>
        <w:lang w:bidi="hr-HR" w:eastAsia="hr-HR" w:val="hr-HR"/>
      </w:rPr>
    </w:lvl>
    <w:lvl w:tplc="0B7E61F4" w:ilvl="2">
      <w:numFmt w:val="bullet"/>
      <w:lvlText w:val="•"/>
      <w:lvlJc w:val="left"/>
      <w:pPr>
        <w:ind w:hanging="360" w:left="2761"/>
      </w:pPr>
      <w:rPr>
        <w:rFonts w:hint="default"/>
        <w:lang w:bidi="hr-HR" w:eastAsia="hr-HR" w:val="hr-HR"/>
      </w:rPr>
    </w:lvl>
    <w:lvl w:tplc="5B5EB76E" w:ilvl="3">
      <w:numFmt w:val="bullet"/>
      <w:lvlText w:val="•"/>
      <w:lvlJc w:val="left"/>
      <w:pPr>
        <w:ind w:hanging="360" w:left="3651"/>
      </w:pPr>
      <w:rPr>
        <w:rFonts w:hint="default"/>
        <w:lang w:bidi="hr-HR" w:eastAsia="hr-HR" w:val="hr-HR"/>
      </w:rPr>
    </w:lvl>
    <w:lvl w:tplc="8EEC9E42" w:ilvl="4">
      <w:numFmt w:val="bullet"/>
      <w:lvlText w:val="•"/>
      <w:lvlJc w:val="left"/>
      <w:pPr>
        <w:ind w:hanging="360" w:left="4542"/>
      </w:pPr>
      <w:rPr>
        <w:rFonts w:hint="default"/>
        <w:lang w:bidi="hr-HR" w:eastAsia="hr-HR" w:val="hr-HR"/>
      </w:rPr>
    </w:lvl>
    <w:lvl w:tplc="ED8229C2" w:ilvl="5">
      <w:numFmt w:val="bullet"/>
      <w:lvlText w:val="•"/>
      <w:lvlJc w:val="left"/>
      <w:pPr>
        <w:ind w:hanging="360" w:left="5433"/>
      </w:pPr>
      <w:rPr>
        <w:rFonts w:hint="default"/>
        <w:lang w:bidi="hr-HR" w:eastAsia="hr-HR" w:val="hr-HR"/>
      </w:rPr>
    </w:lvl>
    <w:lvl w:tplc="50146650" w:ilvl="6">
      <w:numFmt w:val="bullet"/>
      <w:lvlText w:val="•"/>
      <w:lvlJc w:val="left"/>
      <w:pPr>
        <w:ind w:hanging="360" w:left="6323"/>
      </w:pPr>
      <w:rPr>
        <w:rFonts w:hint="default"/>
        <w:lang w:bidi="hr-HR" w:eastAsia="hr-HR" w:val="hr-HR"/>
      </w:rPr>
    </w:lvl>
    <w:lvl w:tplc="AAC0FE50" w:ilvl="7">
      <w:numFmt w:val="bullet"/>
      <w:lvlText w:val="•"/>
      <w:lvlJc w:val="left"/>
      <w:pPr>
        <w:ind w:hanging="360" w:left="7214"/>
      </w:pPr>
      <w:rPr>
        <w:rFonts w:hint="default"/>
        <w:lang w:bidi="hr-HR" w:eastAsia="hr-HR" w:val="hr-HR"/>
      </w:rPr>
    </w:lvl>
    <w:lvl w:tplc="F2D45D10" w:ilvl="8">
      <w:numFmt w:val="bullet"/>
      <w:lvlText w:val="•"/>
      <w:lvlJc w:val="left"/>
      <w:pPr>
        <w:ind w:hanging="360" w:left="8105"/>
      </w:pPr>
      <w:rPr>
        <w:rFonts w:hint="default"/>
        <w:lang w:bidi="hr-HR" w:eastAsia="hr-HR" w:val="hr-HR"/>
      </w:rPr>
    </w:lvl>
  </w:abstractNum>
  <w:abstractNum w:abstractNumId="25">
    <w:nsid w:val="45C55775"/>
    <w:multiLevelType w:val="hybridMultilevel"/>
    <w:tmpl w:val="DBA6EA0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BF249B1"/>
    <w:multiLevelType w:val="hybridMultilevel"/>
    <w:tmpl w:val="A5867D82"/>
    <w:lvl w:tplc="A9F002E4" w:ilvl="0">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7">
    <w:nsid w:val="4CB50722"/>
    <w:multiLevelType w:val="multilevel"/>
    <w:tmpl w:val="75FE0E70"/>
    <w:lvl w:ilvl="0">
      <w:start w:val="1"/>
      <w:numFmt w:val="decima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firstLine="59" w:left="1021"/>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28">
    <w:nsid w:val="4F3565B4"/>
    <w:multiLevelType w:val="hybridMultilevel"/>
    <w:tmpl w:val="0158FC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9">
    <w:nsid w:val="588E04D9"/>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30">
    <w:nsid w:val="5A4973F6"/>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31">
    <w:nsid w:val="5B3B33DB"/>
    <w:multiLevelType w:val="hybridMultilevel"/>
    <w:tmpl w:val="F51848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5C97497F"/>
    <w:multiLevelType w:val="hybridMultilevel"/>
    <w:tmpl w:val="947CE536"/>
    <w:lvl w:tplc="EDEC06BC" w:ilvl="0">
      <w:numFmt w:val="bullet"/>
      <w:lvlText w:val=""/>
      <w:lvlJc w:val="left"/>
      <w:pPr>
        <w:ind w:hanging="360" w:left="978"/>
      </w:pPr>
      <w:rPr>
        <w:rFonts w:cs="Symbol" w:eastAsia="Symbol" w:hAnsi="Symbol" w:ascii="Symbol" w:hint="default"/>
        <w:w w:val="100"/>
        <w:sz w:val="24"/>
        <w:szCs w:val="24"/>
        <w:lang w:bidi="hr-HR" w:eastAsia="hr-HR" w:val="hr-HR"/>
      </w:rPr>
    </w:lvl>
    <w:lvl w:tplc="B88E9D28" w:ilvl="1">
      <w:numFmt w:val="bullet"/>
      <w:lvlText w:val="•"/>
      <w:lvlJc w:val="left"/>
      <w:pPr>
        <w:ind w:hanging="360" w:left="1870"/>
      </w:pPr>
      <w:rPr>
        <w:rFonts w:hint="default"/>
        <w:lang w:bidi="hr-HR" w:eastAsia="hr-HR" w:val="hr-HR"/>
      </w:rPr>
    </w:lvl>
    <w:lvl w:tplc="95066C98" w:ilvl="2">
      <w:numFmt w:val="bullet"/>
      <w:lvlText w:val="•"/>
      <w:lvlJc w:val="left"/>
      <w:pPr>
        <w:ind w:hanging="360" w:left="2761"/>
      </w:pPr>
      <w:rPr>
        <w:rFonts w:hint="default"/>
        <w:lang w:bidi="hr-HR" w:eastAsia="hr-HR" w:val="hr-HR"/>
      </w:rPr>
    </w:lvl>
    <w:lvl w:tplc="8B026374" w:ilvl="3">
      <w:numFmt w:val="bullet"/>
      <w:lvlText w:val="•"/>
      <w:lvlJc w:val="left"/>
      <w:pPr>
        <w:ind w:hanging="360" w:left="3651"/>
      </w:pPr>
      <w:rPr>
        <w:rFonts w:hint="default"/>
        <w:lang w:bidi="hr-HR" w:eastAsia="hr-HR" w:val="hr-HR"/>
      </w:rPr>
    </w:lvl>
    <w:lvl w:tplc="C1D81638" w:ilvl="4">
      <w:numFmt w:val="bullet"/>
      <w:lvlText w:val="•"/>
      <w:lvlJc w:val="left"/>
      <w:pPr>
        <w:ind w:hanging="360" w:left="4542"/>
      </w:pPr>
      <w:rPr>
        <w:rFonts w:hint="default"/>
        <w:lang w:bidi="hr-HR" w:eastAsia="hr-HR" w:val="hr-HR"/>
      </w:rPr>
    </w:lvl>
    <w:lvl w:tplc="EB1064E8" w:ilvl="5">
      <w:numFmt w:val="bullet"/>
      <w:lvlText w:val="•"/>
      <w:lvlJc w:val="left"/>
      <w:pPr>
        <w:ind w:hanging="360" w:left="5433"/>
      </w:pPr>
      <w:rPr>
        <w:rFonts w:hint="default"/>
        <w:lang w:bidi="hr-HR" w:eastAsia="hr-HR" w:val="hr-HR"/>
      </w:rPr>
    </w:lvl>
    <w:lvl w:tplc="7AB88744" w:ilvl="6">
      <w:numFmt w:val="bullet"/>
      <w:lvlText w:val="•"/>
      <w:lvlJc w:val="left"/>
      <w:pPr>
        <w:ind w:hanging="360" w:left="6323"/>
      </w:pPr>
      <w:rPr>
        <w:rFonts w:hint="default"/>
        <w:lang w:bidi="hr-HR" w:eastAsia="hr-HR" w:val="hr-HR"/>
      </w:rPr>
    </w:lvl>
    <w:lvl w:tplc="A3E03322" w:ilvl="7">
      <w:numFmt w:val="bullet"/>
      <w:lvlText w:val="•"/>
      <w:lvlJc w:val="left"/>
      <w:pPr>
        <w:ind w:hanging="360" w:left="7214"/>
      </w:pPr>
      <w:rPr>
        <w:rFonts w:hint="default"/>
        <w:lang w:bidi="hr-HR" w:eastAsia="hr-HR" w:val="hr-HR"/>
      </w:rPr>
    </w:lvl>
    <w:lvl w:tplc="10DAF9A6" w:ilvl="8">
      <w:numFmt w:val="bullet"/>
      <w:lvlText w:val="•"/>
      <w:lvlJc w:val="left"/>
      <w:pPr>
        <w:ind w:hanging="360" w:left="8105"/>
      </w:pPr>
      <w:rPr>
        <w:rFonts w:hint="default"/>
        <w:lang w:bidi="hr-HR" w:eastAsia="hr-HR" w:val="hr-HR"/>
      </w:rPr>
    </w:lvl>
  </w:abstractNum>
  <w:abstractNum w:abstractNumId="33">
    <w:nsid w:val="607B21C5"/>
    <w:multiLevelType w:val="hybridMultilevel"/>
    <w:tmpl w:val="EE304300"/>
    <w:lvl w:tplc="04090001" w:ilvl="0">
      <w:start w:val="1"/>
      <w:numFmt w:val="bullet"/>
      <w:lvlText w:val=""/>
      <w:lvlJc w:val="left"/>
      <w:pPr>
        <w:ind w:hanging="360" w:left="862"/>
      </w:pPr>
      <w:rPr>
        <w:rFonts w:hAnsi="Symbol" w:ascii="Symbol" w:hint="default"/>
      </w:rPr>
    </w:lvl>
    <w:lvl w:tentative="true" w:tplc="04090003" w:ilvl="1">
      <w:start w:val="1"/>
      <w:numFmt w:val="bullet"/>
      <w:lvlText w:val="o"/>
      <w:lvlJc w:val="left"/>
      <w:pPr>
        <w:ind w:hanging="360" w:left="1582"/>
      </w:pPr>
      <w:rPr>
        <w:rFonts w:cs="Courier New" w:hAnsi="Courier New" w:ascii="Courier New" w:hint="default"/>
      </w:rPr>
    </w:lvl>
    <w:lvl w:tentative="true" w:tplc="04090005" w:ilvl="2">
      <w:start w:val="1"/>
      <w:numFmt w:val="bullet"/>
      <w:lvlText w:val=""/>
      <w:lvlJc w:val="left"/>
      <w:pPr>
        <w:ind w:hanging="360" w:left="2302"/>
      </w:pPr>
      <w:rPr>
        <w:rFonts w:hAnsi="Wingdings" w:ascii="Wingdings" w:hint="default"/>
      </w:rPr>
    </w:lvl>
    <w:lvl w:tentative="true" w:tplc="04090001" w:ilvl="3">
      <w:start w:val="1"/>
      <w:numFmt w:val="bullet"/>
      <w:lvlText w:val=""/>
      <w:lvlJc w:val="left"/>
      <w:pPr>
        <w:ind w:hanging="360" w:left="3022"/>
      </w:pPr>
      <w:rPr>
        <w:rFonts w:hAnsi="Symbol" w:ascii="Symbol" w:hint="default"/>
      </w:rPr>
    </w:lvl>
    <w:lvl w:tentative="true" w:tplc="04090003" w:ilvl="4">
      <w:start w:val="1"/>
      <w:numFmt w:val="bullet"/>
      <w:lvlText w:val="o"/>
      <w:lvlJc w:val="left"/>
      <w:pPr>
        <w:ind w:hanging="360" w:left="3742"/>
      </w:pPr>
      <w:rPr>
        <w:rFonts w:cs="Courier New" w:hAnsi="Courier New" w:ascii="Courier New" w:hint="default"/>
      </w:rPr>
    </w:lvl>
    <w:lvl w:tentative="true" w:tplc="04090005" w:ilvl="5">
      <w:start w:val="1"/>
      <w:numFmt w:val="bullet"/>
      <w:lvlText w:val=""/>
      <w:lvlJc w:val="left"/>
      <w:pPr>
        <w:ind w:hanging="360" w:left="4462"/>
      </w:pPr>
      <w:rPr>
        <w:rFonts w:hAnsi="Wingdings" w:ascii="Wingdings" w:hint="default"/>
      </w:rPr>
    </w:lvl>
    <w:lvl w:tentative="true" w:tplc="04090001" w:ilvl="6">
      <w:start w:val="1"/>
      <w:numFmt w:val="bullet"/>
      <w:lvlText w:val=""/>
      <w:lvlJc w:val="left"/>
      <w:pPr>
        <w:ind w:hanging="360" w:left="5182"/>
      </w:pPr>
      <w:rPr>
        <w:rFonts w:hAnsi="Symbol" w:ascii="Symbol" w:hint="default"/>
      </w:rPr>
    </w:lvl>
    <w:lvl w:tentative="true" w:tplc="04090003" w:ilvl="7">
      <w:start w:val="1"/>
      <w:numFmt w:val="bullet"/>
      <w:lvlText w:val="o"/>
      <w:lvlJc w:val="left"/>
      <w:pPr>
        <w:ind w:hanging="360" w:left="5902"/>
      </w:pPr>
      <w:rPr>
        <w:rFonts w:cs="Courier New" w:hAnsi="Courier New" w:ascii="Courier New" w:hint="default"/>
      </w:rPr>
    </w:lvl>
    <w:lvl w:tentative="true" w:tplc="04090005" w:ilvl="8">
      <w:start w:val="1"/>
      <w:numFmt w:val="bullet"/>
      <w:lvlText w:val=""/>
      <w:lvlJc w:val="left"/>
      <w:pPr>
        <w:ind w:hanging="360" w:left="6622"/>
      </w:pPr>
      <w:rPr>
        <w:rFonts w:hAnsi="Wingdings" w:ascii="Wingdings" w:hint="default"/>
      </w:rPr>
    </w:lvl>
  </w:abstractNum>
  <w:abstractNum w:abstractNumId="34">
    <w:nsid w:val="63046B47"/>
    <w:multiLevelType w:val="hybridMultilevel"/>
    <w:tmpl w:val="BC1E6A6C"/>
    <w:lvl w:tplc="D9D6A60E" w:ilvl="0">
      <w:numFmt w:val="bullet"/>
      <w:lvlText w:val=""/>
      <w:lvlJc w:val="left"/>
      <w:pPr>
        <w:ind w:hanging="360" w:left="1326"/>
      </w:pPr>
      <w:rPr>
        <w:rFonts w:cs="Symbol" w:eastAsia="Symbol" w:hAnsi="Symbol" w:ascii="Symbol" w:hint="default"/>
        <w:w w:val="100"/>
        <w:sz w:val="24"/>
        <w:szCs w:val="24"/>
        <w:lang w:bidi="hr-HR" w:eastAsia="hr-HR" w:val="hr-HR"/>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5">
    <w:nsid w:val="67877088"/>
    <w:multiLevelType w:val="hybridMultilevel"/>
    <w:tmpl w:val="B282C3AC"/>
    <w:lvl w:tplc="D9D6A60E" w:ilvl="0">
      <w:numFmt w:val="bullet"/>
      <w:lvlText w:val=""/>
      <w:lvlJc w:val="left"/>
      <w:pPr>
        <w:ind w:hanging="360" w:left="1326"/>
      </w:pPr>
      <w:rPr>
        <w:rFonts w:cs="Symbol" w:eastAsia="Symbol" w:hAnsi="Symbol" w:ascii="Symbol" w:hint="default"/>
        <w:w w:val="100"/>
        <w:sz w:val="24"/>
        <w:szCs w:val="24"/>
        <w:lang w:bidi="hr-HR" w:eastAsia="hr-HR" w:val="hr-HR"/>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6">
    <w:nsid w:val="68723D10"/>
    <w:multiLevelType w:val="hybridMultilevel"/>
    <w:tmpl w:val="BDD4E8F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7">
    <w:nsid w:val="6C4B523F"/>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38">
    <w:nsid w:val="6E0D2F95"/>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39">
    <w:nsid w:val="6E25588B"/>
    <w:multiLevelType w:val="hybridMultilevel"/>
    <w:tmpl w:val="BE4CF900"/>
    <w:lvl w:tplc="DC38E0FC" w:ilvl="0">
      <w:numFmt w:val="bullet"/>
      <w:lvlText w:val="-"/>
      <w:lvlJc w:val="left"/>
      <w:pPr>
        <w:ind w:hanging="360" w:left="720"/>
      </w:pPr>
      <w:rPr>
        <w:rFonts w:cstheme="minorBidi" w:eastAsiaTheme="minorHAnsi" w:hAnsi="Calibri" w:ascii="Calibri" w:hint="default"/>
      </w:rPr>
    </w:lvl>
    <w:lvl w:tentative="true" w:tplc="241A0003" w:ilvl="1">
      <w:start w:val="1"/>
      <w:numFmt w:val="bullet"/>
      <w:lvlText w:val="o"/>
      <w:lvlJc w:val="left"/>
      <w:pPr>
        <w:ind w:hanging="360" w:left="1440"/>
      </w:pPr>
      <w:rPr>
        <w:rFonts w:cs="Courier New" w:hAnsi="Courier New" w:ascii="Courier New" w:hint="default"/>
      </w:rPr>
    </w:lvl>
    <w:lvl w:tentative="true" w:tplc="241A0005" w:ilvl="2">
      <w:start w:val="1"/>
      <w:numFmt w:val="bullet"/>
      <w:lvlText w:val=""/>
      <w:lvlJc w:val="left"/>
      <w:pPr>
        <w:ind w:hanging="360" w:left="2160"/>
      </w:pPr>
      <w:rPr>
        <w:rFonts w:hAnsi="Wingdings" w:ascii="Wingdings" w:hint="default"/>
      </w:rPr>
    </w:lvl>
    <w:lvl w:tentative="true" w:tplc="241A0001" w:ilvl="3">
      <w:start w:val="1"/>
      <w:numFmt w:val="bullet"/>
      <w:lvlText w:val=""/>
      <w:lvlJc w:val="left"/>
      <w:pPr>
        <w:ind w:hanging="360" w:left="2880"/>
      </w:pPr>
      <w:rPr>
        <w:rFonts w:hAnsi="Symbol" w:ascii="Symbol" w:hint="default"/>
      </w:rPr>
    </w:lvl>
    <w:lvl w:tentative="true" w:tplc="241A0003" w:ilvl="4">
      <w:start w:val="1"/>
      <w:numFmt w:val="bullet"/>
      <w:lvlText w:val="o"/>
      <w:lvlJc w:val="left"/>
      <w:pPr>
        <w:ind w:hanging="360" w:left="3600"/>
      </w:pPr>
      <w:rPr>
        <w:rFonts w:cs="Courier New" w:hAnsi="Courier New" w:ascii="Courier New" w:hint="default"/>
      </w:rPr>
    </w:lvl>
    <w:lvl w:tentative="true" w:tplc="241A0005" w:ilvl="5">
      <w:start w:val="1"/>
      <w:numFmt w:val="bullet"/>
      <w:lvlText w:val=""/>
      <w:lvlJc w:val="left"/>
      <w:pPr>
        <w:ind w:hanging="360" w:left="4320"/>
      </w:pPr>
      <w:rPr>
        <w:rFonts w:hAnsi="Wingdings" w:ascii="Wingdings" w:hint="default"/>
      </w:rPr>
    </w:lvl>
    <w:lvl w:tentative="true" w:tplc="241A0001" w:ilvl="6">
      <w:start w:val="1"/>
      <w:numFmt w:val="bullet"/>
      <w:lvlText w:val=""/>
      <w:lvlJc w:val="left"/>
      <w:pPr>
        <w:ind w:hanging="360" w:left="5040"/>
      </w:pPr>
      <w:rPr>
        <w:rFonts w:hAnsi="Symbol" w:ascii="Symbol" w:hint="default"/>
      </w:rPr>
    </w:lvl>
    <w:lvl w:tentative="true" w:tplc="241A0003" w:ilvl="7">
      <w:start w:val="1"/>
      <w:numFmt w:val="bullet"/>
      <w:lvlText w:val="o"/>
      <w:lvlJc w:val="left"/>
      <w:pPr>
        <w:ind w:hanging="360" w:left="5760"/>
      </w:pPr>
      <w:rPr>
        <w:rFonts w:cs="Courier New" w:hAnsi="Courier New" w:ascii="Courier New" w:hint="default"/>
      </w:rPr>
    </w:lvl>
    <w:lvl w:tentative="true" w:tplc="241A0005" w:ilvl="8">
      <w:start w:val="1"/>
      <w:numFmt w:val="bullet"/>
      <w:lvlText w:val=""/>
      <w:lvlJc w:val="left"/>
      <w:pPr>
        <w:ind w:hanging="360" w:left="6480"/>
      </w:pPr>
      <w:rPr>
        <w:rFonts w:hAnsi="Wingdings" w:ascii="Wingdings" w:hint="default"/>
      </w:rPr>
    </w:lvl>
  </w:abstractNum>
  <w:abstractNum w:abstractNumId="40">
    <w:nsid w:val="75226706"/>
    <w:multiLevelType w:val="hybridMultilevel"/>
    <w:tmpl w:val="4460A43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1">
    <w:nsid w:val="752C5D94"/>
    <w:multiLevelType w:val="hybridMultilevel"/>
    <w:tmpl w:val="88523F30"/>
    <w:lvl w:tplc="041A0001" w:ilvl="0">
      <w:start w:val="1"/>
      <w:numFmt w:val="bullet"/>
      <w:lvlText w:val=""/>
      <w:lvlJc w:val="left"/>
      <w:pPr>
        <w:ind w:hanging="360" w:left="720"/>
      </w:pPr>
      <w:rPr>
        <w:rFonts w:hAnsi="Symbol" w:ascii="Symbol" w:hint="default"/>
      </w:rPr>
    </w:lvl>
    <w:lvl w:tplc="041A000B" w:ilvl="1">
      <w:start w:val="1"/>
      <w:numFmt w:val="bullet"/>
      <w:lvlText w:val=""/>
      <w:lvlJc w:val="left"/>
      <w:pPr>
        <w:ind w:hanging="360" w:left="1440"/>
      </w:pPr>
      <w:rPr>
        <w:rFonts w:hAnsi="Wingdings" w:ascii="Wingdings"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755F17E0"/>
    <w:multiLevelType w:val="hybridMultilevel"/>
    <w:tmpl w:val="1DB87FB6"/>
    <w:lvl w:tplc="D9D6A60E" w:ilvl="0">
      <w:numFmt w:val="bullet"/>
      <w:lvlText w:val=""/>
      <w:lvlJc w:val="left"/>
      <w:pPr>
        <w:ind w:hanging="360" w:left="1326"/>
      </w:pPr>
      <w:rPr>
        <w:rFonts w:cs="Symbol" w:eastAsia="Symbol" w:hAnsi="Symbol" w:ascii="Symbol" w:hint="default"/>
        <w:w w:val="100"/>
        <w:sz w:val="24"/>
        <w:szCs w:val="24"/>
        <w:lang w:bidi="hr-HR" w:eastAsia="hr-HR" w:val="hr-HR"/>
      </w:rPr>
    </w:lvl>
    <w:lvl w:tplc="E0F25192" w:ilvl="1">
      <w:numFmt w:val="bullet"/>
      <w:lvlText w:val="•"/>
      <w:lvlJc w:val="left"/>
      <w:pPr>
        <w:ind w:hanging="360" w:left="2176"/>
      </w:pPr>
      <w:rPr>
        <w:rFonts w:hint="default"/>
        <w:lang w:bidi="hr-HR" w:eastAsia="hr-HR" w:val="hr-HR"/>
      </w:rPr>
    </w:lvl>
    <w:lvl w:tplc="A038F02C" w:ilvl="2">
      <w:numFmt w:val="bullet"/>
      <w:lvlText w:val="•"/>
      <w:lvlJc w:val="left"/>
      <w:pPr>
        <w:ind w:hanging="360" w:left="3033"/>
      </w:pPr>
      <w:rPr>
        <w:rFonts w:hint="default"/>
        <w:lang w:bidi="hr-HR" w:eastAsia="hr-HR" w:val="hr-HR"/>
      </w:rPr>
    </w:lvl>
    <w:lvl w:tplc="7EBC8276" w:ilvl="3">
      <w:numFmt w:val="bullet"/>
      <w:lvlText w:val="•"/>
      <w:lvlJc w:val="left"/>
      <w:pPr>
        <w:ind w:hanging="360" w:left="3889"/>
      </w:pPr>
      <w:rPr>
        <w:rFonts w:hint="default"/>
        <w:lang w:bidi="hr-HR" w:eastAsia="hr-HR" w:val="hr-HR"/>
      </w:rPr>
    </w:lvl>
    <w:lvl w:tplc="61E27DF8" w:ilvl="4">
      <w:numFmt w:val="bullet"/>
      <w:lvlText w:val="•"/>
      <w:lvlJc w:val="left"/>
      <w:pPr>
        <w:ind w:hanging="360" w:left="4746"/>
      </w:pPr>
      <w:rPr>
        <w:rFonts w:hint="default"/>
        <w:lang w:bidi="hr-HR" w:eastAsia="hr-HR" w:val="hr-HR"/>
      </w:rPr>
    </w:lvl>
    <w:lvl w:tplc="08F04CF6" w:ilvl="5">
      <w:numFmt w:val="bullet"/>
      <w:lvlText w:val="•"/>
      <w:lvlJc w:val="left"/>
      <w:pPr>
        <w:ind w:hanging="360" w:left="5603"/>
      </w:pPr>
      <w:rPr>
        <w:rFonts w:hint="default"/>
        <w:lang w:bidi="hr-HR" w:eastAsia="hr-HR" w:val="hr-HR"/>
      </w:rPr>
    </w:lvl>
    <w:lvl w:tplc="0310DC50" w:ilvl="6">
      <w:numFmt w:val="bullet"/>
      <w:lvlText w:val="•"/>
      <w:lvlJc w:val="left"/>
      <w:pPr>
        <w:ind w:hanging="360" w:left="6459"/>
      </w:pPr>
      <w:rPr>
        <w:rFonts w:hint="default"/>
        <w:lang w:bidi="hr-HR" w:eastAsia="hr-HR" w:val="hr-HR"/>
      </w:rPr>
    </w:lvl>
    <w:lvl w:tplc="8B12BECE" w:ilvl="7">
      <w:numFmt w:val="bullet"/>
      <w:lvlText w:val="•"/>
      <w:lvlJc w:val="left"/>
      <w:pPr>
        <w:ind w:hanging="360" w:left="7316"/>
      </w:pPr>
      <w:rPr>
        <w:rFonts w:hint="default"/>
        <w:lang w:bidi="hr-HR" w:eastAsia="hr-HR" w:val="hr-HR"/>
      </w:rPr>
    </w:lvl>
    <w:lvl w:tplc="5E0C5C1E" w:ilvl="8">
      <w:numFmt w:val="bullet"/>
      <w:lvlText w:val="•"/>
      <w:lvlJc w:val="left"/>
      <w:pPr>
        <w:ind w:hanging="360" w:left="8173"/>
      </w:pPr>
      <w:rPr>
        <w:rFonts w:hint="default"/>
        <w:lang w:bidi="hr-HR" w:eastAsia="hr-HR" w:val="hr-HR"/>
      </w:rPr>
    </w:lvl>
  </w:abstractNum>
  <w:abstractNum w:abstractNumId="43">
    <w:nsid w:val="76863620"/>
    <w:multiLevelType w:val="hybridMultilevel"/>
    <w:tmpl w:val="8F5AD3E4"/>
    <w:lvl w:tplc="041A0001" w:ilvl="0">
      <w:start w:val="1"/>
      <w:numFmt w:val="bullet"/>
      <w:lvlText w:val=""/>
      <w:lvlJc w:val="left"/>
      <w:pPr>
        <w:tabs>
          <w:tab w:pos="720" w:val="num"/>
        </w:tabs>
        <w:ind w:hanging="360" w:left="720"/>
      </w:pPr>
      <w:rPr>
        <w:rFonts w:hAnsi="Symbol" w:ascii="Symbol" w:hint="default"/>
      </w:rPr>
    </w:lvl>
    <w:lvl w:tplc="87E85050" w:ilvl="1">
      <w:start w:val="1"/>
      <w:numFmt w:val="bullet"/>
      <w:lvlText w:val=""/>
      <w:lvlJc w:val="left"/>
      <w:pPr>
        <w:tabs>
          <w:tab w:pos="1440" w:val="num"/>
        </w:tabs>
        <w:ind w:hanging="360" w:left="1440"/>
      </w:pPr>
      <w:rPr>
        <w:rFonts w:hAnsi="Wingdings" w:ascii="Wingdings" w:hint="default"/>
      </w:rPr>
    </w:lvl>
    <w:lvl w:tplc="7712741E" w:ilvl="2">
      <w:start w:val="1"/>
      <w:numFmt w:val="bullet"/>
      <w:lvlText w:val=""/>
      <w:lvlJc w:val="left"/>
      <w:pPr>
        <w:tabs>
          <w:tab w:pos="2160" w:val="num"/>
        </w:tabs>
        <w:ind w:hanging="360" w:left="2160"/>
      </w:pPr>
      <w:rPr>
        <w:rFonts w:hAnsi="Wingdings" w:ascii="Wingdings" w:hint="default"/>
      </w:rPr>
    </w:lvl>
    <w:lvl w:tplc="28C0BAC8" w:ilvl="3">
      <w:start w:val="1"/>
      <w:numFmt w:val="bullet"/>
      <w:lvlText w:val=""/>
      <w:lvlJc w:val="left"/>
      <w:pPr>
        <w:tabs>
          <w:tab w:pos="2880" w:val="num"/>
        </w:tabs>
        <w:ind w:hanging="360" w:left="2880"/>
      </w:pPr>
      <w:rPr>
        <w:rFonts w:hAnsi="Wingdings" w:ascii="Wingdings" w:hint="default"/>
      </w:rPr>
    </w:lvl>
    <w:lvl w:tplc="071ADAE2" w:ilvl="4">
      <w:start w:val="1"/>
      <w:numFmt w:val="bullet"/>
      <w:lvlText w:val=""/>
      <w:lvlJc w:val="left"/>
      <w:pPr>
        <w:tabs>
          <w:tab w:pos="3600" w:val="num"/>
        </w:tabs>
        <w:ind w:hanging="360" w:left="3600"/>
      </w:pPr>
      <w:rPr>
        <w:rFonts w:hAnsi="Wingdings" w:ascii="Wingdings" w:hint="default"/>
      </w:rPr>
    </w:lvl>
    <w:lvl w:tplc="D21AAA70" w:ilvl="5">
      <w:start w:val="1"/>
      <w:numFmt w:val="bullet"/>
      <w:lvlText w:val=""/>
      <w:lvlJc w:val="left"/>
      <w:pPr>
        <w:tabs>
          <w:tab w:pos="4320" w:val="num"/>
        </w:tabs>
        <w:ind w:hanging="360" w:left="4320"/>
      </w:pPr>
      <w:rPr>
        <w:rFonts w:hAnsi="Wingdings" w:ascii="Wingdings" w:hint="default"/>
      </w:rPr>
    </w:lvl>
    <w:lvl w:tplc="408A43DE" w:ilvl="6">
      <w:start w:val="1"/>
      <w:numFmt w:val="bullet"/>
      <w:lvlText w:val=""/>
      <w:lvlJc w:val="left"/>
      <w:pPr>
        <w:tabs>
          <w:tab w:pos="5040" w:val="num"/>
        </w:tabs>
        <w:ind w:hanging="360" w:left="5040"/>
      </w:pPr>
      <w:rPr>
        <w:rFonts w:hAnsi="Wingdings" w:ascii="Wingdings" w:hint="default"/>
      </w:rPr>
    </w:lvl>
    <w:lvl w:tplc="FC002A3A" w:ilvl="7">
      <w:start w:val="1"/>
      <w:numFmt w:val="bullet"/>
      <w:lvlText w:val=""/>
      <w:lvlJc w:val="left"/>
      <w:pPr>
        <w:tabs>
          <w:tab w:pos="5760" w:val="num"/>
        </w:tabs>
        <w:ind w:hanging="360" w:left="5760"/>
      </w:pPr>
      <w:rPr>
        <w:rFonts w:hAnsi="Wingdings" w:ascii="Wingdings" w:hint="default"/>
      </w:rPr>
    </w:lvl>
    <w:lvl w:tplc="730873FA" w:ilvl="8">
      <w:start w:val="1"/>
      <w:numFmt w:val="bullet"/>
      <w:lvlText w:val=""/>
      <w:lvlJc w:val="left"/>
      <w:pPr>
        <w:tabs>
          <w:tab w:pos="6480" w:val="num"/>
        </w:tabs>
        <w:ind w:hanging="360" w:left="6480"/>
      </w:pPr>
      <w:rPr>
        <w:rFonts w:hAnsi="Wingdings" w:ascii="Wingdings" w:hint="default"/>
      </w:rPr>
    </w:lvl>
  </w:abstractNum>
  <w:abstractNum w:abstractNumId="44">
    <w:nsid w:val="77927F04"/>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45">
    <w:nsid w:val="7A846D19"/>
    <w:multiLevelType w:val="multilevel"/>
    <w:tmpl w:val="0772FC5E"/>
    <w:lvl w:ilvl="0">
      <w:start w:val="1"/>
      <w:numFmt w:val="bullet"/>
      <w:lvlText w:val=""/>
      <w:lvlJc w:val="left"/>
      <w:pPr>
        <w:ind w:hanging="706" w:left="964"/>
      </w:pPr>
      <w:rPr>
        <w:rFonts w:hAnsi="Symbol" w:ascii="Symbol" w:hint="default"/>
        <w:lang w:bidi="hr-HR" w:eastAsia="hr-HR" w:val="hr-HR"/>
      </w:rPr>
    </w:lvl>
    <w:lvl w:ilvl="1">
      <w:start w:val="2"/>
      <w:numFmt w:val="decimal"/>
      <w:lvlText w:val="%1.%2"/>
      <w:lvlJc w:val="left"/>
      <w:pPr>
        <w:ind w:hanging="706" w:left="964"/>
      </w:pPr>
      <w:rPr>
        <w:rFonts w:hint="default"/>
        <w:lang w:bidi="hr-HR" w:eastAsia="hr-HR" w:val="hr-HR"/>
      </w:rPr>
    </w:lvl>
    <w:lvl w:ilvl="2">
      <w:start w:val="1"/>
      <w:numFmt w:val="decimal"/>
      <w:lvlText w:val="%1.%2.%3."/>
      <w:lvlJc w:val="left"/>
      <w:pPr>
        <w:ind w:hanging="706" w:left="964"/>
      </w:pPr>
      <w:rPr>
        <w:rFonts w:cs="Arial" w:eastAsia="Arial" w:hAnsi="Arial" w:ascii="Arial" w:hint="default"/>
        <w:b/>
        <w:bCs/>
        <w:spacing w:val="0"/>
        <w:w w:val="99"/>
        <w:sz w:val="24"/>
        <w:szCs w:val="24"/>
        <w:lang w:bidi="hr-HR" w:eastAsia="hr-HR" w:val="hr-HR"/>
      </w:rPr>
    </w:lvl>
    <w:lvl w:ilvl="3">
      <w:start w:val="1"/>
      <w:numFmt w:val="decimal"/>
      <w:lvlText w:val="%1.%2.%3.%4."/>
      <w:lvlJc w:val="left"/>
      <w:pPr>
        <w:ind w:hanging="979" w:left="966"/>
      </w:pPr>
      <w:rPr>
        <w:rFonts w:cs="Arial" w:eastAsia="Arial" w:hAnsi="Arial" w:ascii="Arial" w:hint="default"/>
        <w:b/>
        <w:bCs/>
        <w:spacing w:val="-25"/>
        <w:w w:val="100"/>
        <w:sz w:val="24"/>
        <w:szCs w:val="24"/>
        <w:lang w:bidi="hr-HR" w:eastAsia="hr-HR" w:val="hr-HR"/>
      </w:rPr>
    </w:lvl>
    <w:lvl w:ilvl="4">
      <w:numFmt w:val="bullet"/>
      <w:lvlText w:val="•"/>
      <w:lvlJc w:val="left"/>
      <w:pPr>
        <w:ind w:hanging="979" w:left="3935"/>
      </w:pPr>
      <w:rPr>
        <w:rFonts w:hint="default"/>
        <w:lang w:bidi="hr-HR" w:eastAsia="hr-HR" w:val="hr-HR"/>
      </w:rPr>
    </w:lvl>
    <w:lvl w:ilvl="5">
      <w:numFmt w:val="bullet"/>
      <w:lvlText w:val="•"/>
      <w:lvlJc w:val="left"/>
      <w:pPr>
        <w:ind w:hanging="979" w:left="4927"/>
      </w:pPr>
      <w:rPr>
        <w:rFonts w:hint="default"/>
        <w:lang w:bidi="hr-HR" w:eastAsia="hr-HR" w:val="hr-HR"/>
      </w:rPr>
    </w:lvl>
    <w:lvl w:ilvl="6">
      <w:numFmt w:val="bullet"/>
      <w:lvlText w:val="•"/>
      <w:lvlJc w:val="left"/>
      <w:pPr>
        <w:ind w:hanging="979" w:left="5919"/>
      </w:pPr>
      <w:rPr>
        <w:rFonts w:hint="default"/>
        <w:lang w:bidi="hr-HR" w:eastAsia="hr-HR" w:val="hr-HR"/>
      </w:rPr>
    </w:lvl>
    <w:lvl w:ilvl="7">
      <w:numFmt w:val="bullet"/>
      <w:lvlText w:val="•"/>
      <w:lvlJc w:val="left"/>
      <w:pPr>
        <w:ind w:hanging="979" w:left="6910"/>
      </w:pPr>
      <w:rPr>
        <w:rFonts w:hint="default"/>
        <w:lang w:bidi="hr-HR" w:eastAsia="hr-HR" w:val="hr-HR"/>
      </w:rPr>
    </w:lvl>
    <w:lvl w:ilvl="8">
      <w:numFmt w:val="bullet"/>
      <w:lvlText w:val="•"/>
      <w:lvlJc w:val="left"/>
      <w:pPr>
        <w:ind w:hanging="979" w:left="7902"/>
      </w:pPr>
      <w:rPr>
        <w:rFonts w:hint="default"/>
        <w:lang w:bidi="hr-HR" w:eastAsia="hr-HR" w:val="hr-HR"/>
      </w:rPr>
    </w:lvl>
  </w:abstractNum>
  <w:abstractNum w:abstractNumId="46">
    <w:nsid w:val="7ABD7E7F"/>
    <w:multiLevelType w:val="hybridMultilevel"/>
    <w:tmpl w:val="26C0E046"/>
    <w:lvl w:tplc="041A0001" w:ilvl="0">
      <w:start w:val="1"/>
      <w:numFmt w:val="bullet"/>
      <w:lvlText w:val=""/>
      <w:lvlJc w:val="left"/>
      <w:pPr>
        <w:ind w:hanging="360" w:left="2046"/>
      </w:pPr>
      <w:rPr>
        <w:rFonts w:hAnsi="Symbol" w:ascii="Symbol" w:hint="default"/>
      </w:rPr>
    </w:lvl>
    <w:lvl w:tentative="true" w:tplc="041A0003" w:ilvl="1">
      <w:start w:val="1"/>
      <w:numFmt w:val="bullet"/>
      <w:lvlText w:val="o"/>
      <w:lvlJc w:val="left"/>
      <w:pPr>
        <w:ind w:hanging="360" w:left="2766"/>
      </w:pPr>
      <w:rPr>
        <w:rFonts w:cs="Courier New" w:hAnsi="Courier New" w:ascii="Courier New" w:hint="default"/>
      </w:rPr>
    </w:lvl>
    <w:lvl w:tentative="true" w:tplc="041A0005" w:ilvl="2">
      <w:start w:val="1"/>
      <w:numFmt w:val="bullet"/>
      <w:lvlText w:val=""/>
      <w:lvlJc w:val="left"/>
      <w:pPr>
        <w:ind w:hanging="360" w:left="3486"/>
      </w:pPr>
      <w:rPr>
        <w:rFonts w:hAnsi="Wingdings" w:ascii="Wingdings" w:hint="default"/>
      </w:rPr>
    </w:lvl>
    <w:lvl w:tentative="true" w:tplc="041A0001" w:ilvl="3">
      <w:start w:val="1"/>
      <w:numFmt w:val="bullet"/>
      <w:lvlText w:val=""/>
      <w:lvlJc w:val="left"/>
      <w:pPr>
        <w:ind w:hanging="360" w:left="4206"/>
      </w:pPr>
      <w:rPr>
        <w:rFonts w:hAnsi="Symbol" w:ascii="Symbol" w:hint="default"/>
      </w:rPr>
    </w:lvl>
    <w:lvl w:tentative="true" w:tplc="041A0003" w:ilvl="4">
      <w:start w:val="1"/>
      <w:numFmt w:val="bullet"/>
      <w:lvlText w:val="o"/>
      <w:lvlJc w:val="left"/>
      <w:pPr>
        <w:ind w:hanging="360" w:left="4926"/>
      </w:pPr>
      <w:rPr>
        <w:rFonts w:cs="Courier New" w:hAnsi="Courier New" w:ascii="Courier New" w:hint="default"/>
      </w:rPr>
    </w:lvl>
    <w:lvl w:tentative="true" w:tplc="041A0005" w:ilvl="5">
      <w:start w:val="1"/>
      <w:numFmt w:val="bullet"/>
      <w:lvlText w:val=""/>
      <w:lvlJc w:val="left"/>
      <w:pPr>
        <w:ind w:hanging="360" w:left="5646"/>
      </w:pPr>
      <w:rPr>
        <w:rFonts w:hAnsi="Wingdings" w:ascii="Wingdings" w:hint="default"/>
      </w:rPr>
    </w:lvl>
    <w:lvl w:tentative="true" w:tplc="041A0001" w:ilvl="6">
      <w:start w:val="1"/>
      <w:numFmt w:val="bullet"/>
      <w:lvlText w:val=""/>
      <w:lvlJc w:val="left"/>
      <w:pPr>
        <w:ind w:hanging="360" w:left="6366"/>
      </w:pPr>
      <w:rPr>
        <w:rFonts w:hAnsi="Symbol" w:ascii="Symbol" w:hint="default"/>
      </w:rPr>
    </w:lvl>
    <w:lvl w:tentative="true" w:tplc="041A0003" w:ilvl="7">
      <w:start w:val="1"/>
      <w:numFmt w:val="bullet"/>
      <w:lvlText w:val="o"/>
      <w:lvlJc w:val="left"/>
      <w:pPr>
        <w:ind w:hanging="360" w:left="7086"/>
      </w:pPr>
      <w:rPr>
        <w:rFonts w:cs="Courier New" w:hAnsi="Courier New" w:ascii="Courier New" w:hint="default"/>
      </w:rPr>
    </w:lvl>
    <w:lvl w:tentative="true" w:tplc="041A0005" w:ilvl="8">
      <w:start w:val="1"/>
      <w:numFmt w:val="bullet"/>
      <w:lvlText w:val=""/>
      <w:lvlJc w:val="left"/>
      <w:pPr>
        <w:ind w:hanging="360" w:left="7806"/>
      </w:pPr>
      <w:rPr>
        <w:rFonts w:hAnsi="Wingdings" w:ascii="Wingdings" w:hint="default"/>
      </w:rPr>
    </w:lvl>
  </w:abstractNum>
  <w:abstractNum w:abstractNumId="47">
    <w:nsid w:val="7BAA0ED1"/>
    <w:multiLevelType w:val="hybridMultilevel"/>
    <w:tmpl w:val="21AE93AE"/>
    <w:lvl w:tplc="0F00D8AE" w:ilvl="0">
      <w:start w:val="1"/>
      <w:numFmt w:val="bullet"/>
      <w:lvlText w:val="-"/>
      <w:lvlJc w:val="left"/>
      <w:pPr>
        <w:ind w:hanging="360" w:left="1326"/>
      </w:pPr>
      <w:rPr>
        <w:rFonts w:cs="Arial" w:eastAsia="Arial" w:hAnsi="Arial" w:ascii="Arial" w:hint="default"/>
      </w:rPr>
    </w:lvl>
    <w:lvl w:tentative="true" w:tplc="04090003" w:ilvl="1">
      <w:start w:val="1"/>
      <w:numFmt w:val="bullet"/>
      <w:lvlText w:val="o"/>
      <w:lvlJc w:val="left"/>
      <w:pPr>
        <w:ind w:hanging="360" w:left="2046"/>
      </w:pPr>
      <w:rPr>
        <w:rFonts w:cs="Courier New" w:hAnsi="Courier New" w:ascii="Courier New" w:hint="default"/>
      </w:rPr>
    </w:lvl>
    <w:lvl w:tentative="true" w:tplc="04090005" w:ilvl="2">
      <w:start w:val="1"/>
      <w:numFmt w:val="bullet"/>
      <w:lvlText w:val=""/>
      <w:lvlJc w:val="left"/>
      <w:pPr>
        <w:ind w:hanging="360" w:left="2766"/>
      </w:pPr>
      <w:rPr>
        <w:rFonts w:hAnsi="Wingdings" w:ascii="Wingdings" w:hint="default"/>
      </w:rPr>
    </w:lvl>
    <w:lvl w:tentative="true" w:tplc="04090001" w:ilvl="3">
      <w:start w:val="1"/>
      <w:numFmt w:val="bullet"/>
      <w:lvlText w:val=""/>
      <w:lvlJc w:val="left"/>
      <w:pPr>
        <w:ind w:hanging="360" w:left="3486"/>
      </w:pPr>
      <w:rPr>
        <w:rFonts w:hAnsi="Symbol" w:ascii="Symbol" w:hint="default"/>
      </w:rPr>
    </w:lvl>
    <w:lvl w:tentative="true" w:tplc="04090003" w:ilvl="4">
      <w:start w:val="1"/>
      <w:numFmt w:val="bullet"/>
      <w:lvlText w:val="o"/>
      <w:lvlJc w:val="left"/>
      <w:pPr>
        <w:ind w:hanging="360" w:left="4206"/>
      </w:pPr>
      <w:rPr>
        <w:rFonts w:cs="Courier New" w:hAnsi="Courier New" w:ascii="Courier New" w:hint="default"/>
      </w:rPr>
    </w:lvl>
    <w:lvl w:tentative="true" w:tplc="04090005" w:ilvl="5">
      <w:start w:val="1"/>
      <w:numFmt w:val="bullet"/>
      <w:lvlText w:val=""/>
      <w:lvlJc w:val="left"/>
      <w:pPr>
        <w:ind w:hanging="360" w:left="4926"/>
      </w:pPr>
      <w:rPr>
        <w:rFonts w:hAnsi="Wingdings" w:ascii="Wingdings" w:hint="default"/>
      </w:rPr>
    </w:lvl>
    <w:lvl w:tentative="true" w:tplc="04090001" w:ilvl="6">
      <w:start w:val="1"/>
      <w:numFmt w:val="bullet"/>
      <w:lvlText w:val=""/>
      <w:lvlJc w:val="left"/>
      <w:pPr>
        <w:ind w:hanging="360" w:left="5646"/>
      </w:pPr>
      <w:rPr>
        <w:rFonts w:hAnsi="Symbol" w:ascii="Symbol" w:hint="default"/>
      </w:rPr>
    </w:lvl>
    <w:lvl w:tentative="true" w:tplc="04090003" w:ilvl="7">
      <w:start w:val="1"/>
      <w:numFmt w:val="bullet"/>
      <w:lvlText w:val="o"/>
      <w:lvlJc w:val="left"/>
      <w:pPr>
        <w:ind w:hanging="360" w:left="6366"/>
      </w:pPr>
      <w:rPr>
        <w:rFonts w:cs="Courier New" w:hAnsi="Courier New" w:ascii="Courier New" w:hint="default"/>
      </w:rPr>
    </w:lvl>
    <w:lvl w:tentative="true" w:tplc="04090005" w:ilvl="8">
      <w:start w:val="1"/>
      <w:numFmt w:val="bullet"/>
      <w:lvlText w:val=""/>
      <w:lvlJc w:val="left"/>
      <w:pPr>
        <w:ind w:hanging="360" w:left="7086"/>
      </w:pPr>
      <w:rPr>
        <w:rFonts w:hAnsi="Wingdings" w:ascii="Wingdings" w:hint="default"/>
      </w:rPr>
    </w:lvl>
  </w:abstractNum>
  <w:num w:numId="1">
    <w:abstractNumId w:val="6"/>
  </w:num>
  <w:num w:numId="2">
    <w:abstractNumId w:val="32"/>
  </w:num>
  <w:num w:numId="3">
    <w:abstractNumId w:val="42"/>
  </w:num>
  <w:num w:numId="4">
    <w:abstractNumId w:val="24"/>
  </w:num>
  <w:num w:numId="5">
    <w:abstractNumId w:val="1"/>
  </w:num>
  <w:num w:numId="6">
    <w:abstractNumId w:val="14"/>
  </w:num>
  <w:num w:numId="7">
    <w:abstractNumId w:val="10"/>
  </w:num>
  <w:num w:numId="8">
    <w:abstractNumId w:val="37"/>
  </w:num>
  <w:num w:numId="9">
    <w:abstractNumId w:val="15"/>
  </w:num>
  <w:num w:numId="10">
    <w:abstractNumId w:val="16"/>
  </w:num>
  <w:num w:numId="11">
    <w:abstractNumId w:val="38"/>
  </w:num>
  <w:num w:numId="12">
    <w:abstractNumId w:val="43"/>
  </w:num>
  <w:num w:numId="13">
    <w:abstractNumId w:val="44"/>
  </w:num>
  <w:num w:numId="14">
    <w:abstractNumId w:val="29"/>
  </w:num>
  <w:num w:numId="15">
    <w:abstractNumId w:val="45"/>
  </w:num>
  <w:num w:numId="16">
    <w:abstractNumId w:val="30"/>
  </w:num>
  <w:num w:numId="17">
    <w:abstractNumId w:val="34"/>
  </w:num>
  <w:num w:numId="18">
    <w:abstractNumId w:val="26"/>
  </w:num>
  <w:num w:numId="19">
    <w:abstractNumId w:val="35"/>
  </w:num>
  <w:num w:numId="20">
    <w:abstractNumId w:val="47"/>
  </w:num>
  <w:num w:numId="21">
    <w:abstractNumId w:val="33"/>
  </w:num>
  <w:num w:numId="22">
    <w:abstractNumId w:val="22"/>
  </w:num>
  <w:num w:numId="23">
    <w:abstractNumId w:val="39"/>
  </w:num>
  <w:num w:numId="24">
    <w:abstractNumId w:val="8"/>
  </w:num>
  <w:num w:numId="25">
    <w:abstractNumId w:val="28"/>
  </w:num>
  <w:num w:numId="26">
    <w:abstractNumId w:val="40"/>
  </w:num>
  <w:num w:numId="27">
    <w:abstractNumId w:val="31"/>
  </w:num>
  <w:num w:numId="28">
    <w:abstractNumId w:val="18"/>
  </w:num>
  <w:num w:numId="29">
    <w:abstractNumId w:val="21"/>
  </w:num>
  <w:num w:numId="30">
    <w:abstractNumId w:val="3"/>
  </w:num>
  <w:num w:numId="31">
    <w:abstractNumId w:val="9"/>
  </w:num>
  <w:num w:numId="32">
    <w:abstractNumId w:val="36"/>
  </w:num>
  <w:num w:numId="33">
    <w:abstractNumId w:val="5"/>
  </w:num>
  <w:num w:numId="34">
    <w:abstractNumId w:val="0"/>
  </w:num>
  <w:num w:numId="35">
    <w:abstractNumId w:val="11"/>
  </w:num>
  <w:num w:numId="36">
    <w:abstractNumId w:val="13"/>
  </w:num>
  <w:num w:numId="37">
    <w:abstractNumId w:val="27"/>
  </w:num>
  <w:num w:numId="38">
    <w:abstractNumId w:val="25"/>
  </w:num>
  <w:num w:numId="39">
    <w:abstractNumId w:val="12"/>
  </w:num>
  <w:num w:numId="40">
    <w:abstractNumId w:val="41"/>
  </w:num>
  <w:num w:numId="41">
    <w:abstractNumId w:val="7"/>
  </w:num>
  <w:num w:numId="42">
    <w:abstractNumId w:val="19"/>
  </w:num>
  <w:num w:numId="43">
    <w:abstractNumId w:val="17"/>
  </w:num>
  <w:num w:numId="44">
    <w:abstractNumId w:val="2"/>
  </w:num>
  <w:num w:numId="45">
    <w:abstractNumId w:val="20"/>
  </w:num>
  <w:num w:numId="46">
    <w:abstractNumId w:val="4"/>
  </w:num>
  <w:num w:numId="47">
    <w:abstractNumId w:val="23"/>
  </w:num>
  <w:num w:numId="48">
    <w:abstractNumId w:val="46"/>
  </w:num>
  <w:numIdMacAtCleanup w:val="1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6252"/>
    <w:rsid w:val="000004AC"/>
    <w:rsid w:val="00000C33"/>
    <w:rsid w:val="0000543A"/>
    <w:rsid w:val="00006C9B"/>
    <w:rsid w:val="00013B40"/>
    <w:rsid w:val="0001488A"/>
    <w:rsid w:val="0001611F"/>
    <w:rsid w:val="00023476"/>
    <w:rsid w:val="0002447E"/>
    <w:rsid w:val="000262A5"/>
    <w:rsid w:val="00026570"/>
    <w:rsid w:val="00026A78"/>
    <w:rsid w:val="00027562"/>
    <w:rsid w:val="00030398"/>
    <w:rsid w:val="0003125F"/>
    <w:rsid w:val="000313D3"/>
    <w:rsid w:val="00031E7C"/>
    <w:rsid w:val="00036492"/>
    <w:rsid w:val="00044472"/>
    <w:rsid w:val="00045149"/>
    <w:rsid w:val="00045ECF"/>
    <w:rsid w:val="00046D49"/>
    <w:rsid w:val="000519A1"/>
    <w:rsid w:val="000527AB"/>
    <w:rsid w:val="00054D9A"/>
    <w:rsid w:val="00055823"/>
    <w:rsid w:val="0006160F"/>
    <w:rsid w:val="00062C1C"/>
    <w:rsid w:val="0006417B"/>
    <w:rsid w:val="00064536"/>
    <w:rsid w:val="0007035F"/>
    <w:rsid w:val="000759DF"/>
    <w:rsid w:val="000767DB"/>
    <w:rsid w:val="000775AF"/>
    <w:rsid w:val="00082A16"/>
    <w:rsid w:val="00082FD7"/>
    <w:rsid w:val="00091438"/>
    <w:rsid w:val="00096B5B"/>
    <w:rsid w:val="000A193B"/>
    <w:rsid w:val="000A2D06"/>
    <w:rsid w:val="000A3DD3"/>
    <w:rsid w:val="000A4E78"/>
    <w:rsid w:val="000A73A1"/>
    <w:rsid w:val="000A7A0C"/>
    <w:rsid w:val="000B11EF"/>
    <w:rsid w:val="000B1E24"/>
    <w:rsid w:val="000B7AB3"/>
    <w:rsid w:val="000C2EB2"/>
    <w:rsid w:val="000C65E0"/>
    <w:rsid w:val="000C7B24"/>
    <w:rsid w:val="000E2C31"/>
    <w:rsid w:val="000E3623"/>
    <w:rsid w:val="000E5C32"/>
    <w:rsid w:val="000F075E"/>
    <w:rsid w:val="000F19C3"/>
    <w:rsid w:val="000F46BA"/>
    <w:rsid w:val="000F4D17"/>
    <w:rsid w:val="000F77E4"/>
    <w:rsid w:val="001002D3"/>
    <w:rsid w:val="00101CDC"/>
    <w:rsid w:val="001061D4"/>
    <w:rsid w:val="00107992"/>
    <w:rsid w:val="00114D21"/>
    <w:rsid w:val="00120FD5"/>
    <w:rsid w:val="0012253B"/>
    <w:rsid w:val="00124021"/>
    <w:rsid w:val="00124529"/>
    <w:rsid w:val="00125AB3"/>
    <w:rsid w:val="001312FE"/>
    <w:rsid w:val="00141305"/>
    <w:rsid w:val="001420E7"/>
    <w:rsid w:val="00143248"/>
    <w:rsid w:val="00147ED8"/>
    <w:rsid w:val="00150BFC"/>
    <w:rsid w:val="00154FB3"/>
    <w:rsid w:val="00156CF2"/>
    <w:rsid w:val="001576D3"/>
    <w:rsid w:val="0016031B"/>
    <w:rsid w:val="00166CD4"/>
    <w:rsid w:val="00167D8D"/>
    <w:rsid w:val="001712FA"/>
    <w:rsid w:val="00172E99"/>
    <w:rsid w:val="001753BD"/>
    <w:rsid w:val="0018026D"/>
    <w:rsid w:val="00183192"/>
    <w:rsid w:val="0018384E"/>
    <w:rsid w:val="00184036"/>
    <w:rsid w:val="0019275C"/>
    <w:rsid w:val="001A109D"/>
    <w:rsid w:val="001A3C1F"/>
    <w:rsid w:val="001A5DFB"/>
    <w:rsid w:val="001A685B"/>
    <w:rsid w:val="001A6B30"/>
    <w:rsid w:val="001B0EE2"/>
    <w:rsid w:val="001B4B1C"/>
    <w:rsid w:val="001B7E8B"/>
    <w:rsid w:val="001C01BA"/>
    <w:rsid w:val="001C54D7"/>
    <w:rsid w:val="001C5A14"/>
    <w:rsid w:val="001D09D5"/>
    <w:rsid w:val="001D4987"/>
    <w:rsid w:val="001D4E35"/>
    <w:rsid w:val="001E0E13"/>
    <w:rsid w:val="001E17D5"/>
    <w:rsid w:val="001E233D"/>
    <w:rsid w:val="001E4EF4"/>
    <w:rsid w:val="001F082E"/>
    <w:rsid w:val="001F652C"/>
    <w:rsid w:val="002004CB"/>
    <w:rsid w:val="00201406"/>
    <w:rsid w:val="00203A0A"/>
    <w:rsid w:val="0020473A"/>
    <w:rsid w:val="00207CF0"/>
    <w:rsid w:val="00207E5F"/>
    <w:rsid w:val="00211901"/>
    <w:rsid w:val="0021331E"/>
    <w:rsid w:val="00213AB2"/>
    <w:rsid w:val="00222392"/>
    <w:rsid w:val="00224741"/>
    <w:rsid w:val="00226D1C"/>
    <w:rsid w:val="0023514C"/>
    <w:rsid w:val="0023573E"/>
    <w:rsid w:val="002378A8"/>
    <w:rsid w:val="00237D0D"/>
    <w:rsid w:val="002436AE"/>
    <w:rsid w:val="002479F8"/>
    <w:rsid w:val="00247A72"/>
    <w:rsid w:val="00250A42"/>
    <w:rsid w:val="00250BE6"/>
    <w:rsid w:val="00250F70"/>
    <w:rsid w:val="00253313"/>
    <w:rsid w:val="00254F9A"/>
    <w:rsid w:val="00255172"/>
    <w:rsid w:val="00260171"/>
    <w:rsid w:val="00261742"/>
    <w:rsid w:val="00266104"/>
    <w:rsid w:val="00267B88"/>
    <w:rsid w:val="002732EF"/>
    <w:rsid w:val="002758D6"/>
    <w:rsid w:val="00277229"/>
    <w:rsid w:val="002815AE"/>
    <w:rsid w:val="00281663"/>
    <w:rsid w:val="00284797"/>
    <w:rsid w:val="00294415"/>
    <w:rsid w:val="00294A6D"/>
    <w:rsid w:val="0029795C"/>
    <w:rsid w:val="002A6815"/>
    <w:rsid w:val="002A683E"/>
    <w:rsid w:val="002B09D4"/>
    <w:rsid w:val="002B1A48"/>
    <w:rsid w:val="002B22C4"/>
    <w:rsid w:val="002B2805"/>
    <w:rsid w:val="002B32E8"/>
    <w:rsid w:val="002B657C"/>
    <w:rsid w:val="002C48C4"/>
    <w:rsid w:val="002D4E3D"/>
    <w:rsid w:val="002D5102"/>
    <w:rsid w:val="002D7C08"/>
    <w:rsid w:val="002D7F64"/>
    <w:rsid w:val="002E0DB4"/>
    <w:rsid w:val="002E41B3"/>
    <w:rsid w:val="002E5339"/>
    <w:rsid w:val="002E539F"/>
    <w:rsid w:val="002E584A"/>
    <w:rsid w:val="002E6DA0"/>
    <w:rsid w:val="002E7E9C"/>
    <w:rsid w:val="002F1395"/>
    <w:rsid w:val="002F2F77"/>
    <w:rsid w:val="002F3A51"/>
    <w:rsid w:val="002F5638"/>
    <w:rsid w:val="002F585D"/>
    <w:rsid w:val="00300567"/>
    <w:rsid w:val="00300885"/>
    <w:rsid w:val="003014D1"/>
    <w:rsid w:val="0030155C"/>
    <w:rsid w:val="003051D6"/>
    <w:rsid w:val="0030545A"/>
    <w:rsid w:val="0030654E"/>
    <w:rsid w:val="003127C3"/>
    <w:rsid w:val="00315745"/>
    <w:rsid w:val="00316CB4"/>
    <w:rsid w:val="00323B91"/>
    <w:rsid w:val="00327679"/>
    <w:rsid w:val="0033101A"/>
    <w:rsid w:val="00331E15"/>
    <w:rsid w:val="00332BA2"/>
    <w:rsid w:val="00336B91"/>
    <w:rsid w:val="00336D7D"/>
    <w:rsid w:val="00342319"/>
    <w:rsid w:val="00343270"/>
    <w:rsid w:val="0034401F"/>
    <w:rsid w:val="003470E7"/>
    <w:rsid w:val="00350F37"/>
    <w:rsid w:val="00362890"/>
    <w:rsid w:val="003650AC"/>
    <w:rsid w:val="0037334A"/>
    <w:rsid w:val="00375768"/>
    <w:rsid w:val="00375F4B"/>
    <w:rsid w:val="00380E7B"/>
    <w:rsid w:val="00381AA4"/>
    <w:rsid w:val="00381C80"/>
    <w:rsid w:val="00384328"/>
    <w:rsid w:val="00384CBA"/>
    <w:rsid w:val="00386DDE"/>
    <w:rsid w:val="00387338"/>
    <w:rsid w:val="003917B9"/>
    <w:rsid w:val="00391ACD"/>
    <w:rsid w:val="0039333D"/>
    <w:rsid w:val="0039375C"/>
    <w:rsid w:val="00395FC2"/>
    <w:rsid w:val="00396B5E"/>
    <w:rsid w:val="003A0D53"/>
    <w:rsid w:val="003A3029"/>
    <w:rsid w:val="003A7525"/>
    <w:rsid w:val="003A7ADC"/>
    <w:rsid w:val="003A7CA4"/>
    <w:rsid w:val="003B19B7"/>
    <w:rsid w:val="003B6EB9"/>
    <w:rsid w:val="003C02CF"/>
    <w:rsid w:val="003C5B5B"/>
    <w:rsid w:val="003C725D"/>
    <w:rsid w:val="003D70E9"/>
    <w:rsid w:val="003D76A6"/>
    <w:rsid w:val="003D77F7"/>
    <w:rsid w:val="003E344B"/>
    <w:rsid w:val="003E3507"/>
    <w:rsid w:val="003E48B6"/>
    <w:rsid w:val="003E798F"/>
    <w:rsid w:val="003F236B"/>
    <w:rsid w:val="003F4EFF"/>
    <w:rsid w:val="003F634A"/>
    <w:rsid w:val="00403846"/>
    <w:rsid w:val="00416E01"/>
    <w:rsid w:val="0041722E"/>
    <w:rsid w:val="00420FA1"/>
    <w:rsid w:val="004216BD"/>
    <w:rsid w:val="00423DF6"/>
    <w:rsid w:val="004301BE"/>
    <w:rsid w:val="0043128A"/>
    <w:rsid w:val="00431BB0"/>
    <w:rsid w:val="00433F06"/>
    <w:rsid w:val="00453D97"/>
    <w:rsid w:val="00455D91"/>
    <w:rsid w:val="0045789E"/>
    <w:rsid w:val="004726A1"/>
    <w:rsid w:val="004748D8"/>
    <w:rsid w:val="00482C0F"/>
    <w:rsid w:val="00484F7B"/>
    <w:rsid w:val="00490227"/>
    <w:rsid w:val="004912DD"/>
    <w:rsid w:val="004924C0"/>
    <w:rsid w:val="004A288F"/>
    <w:rsid w:val="004A3B1B"/>
    <w:rsid w:val="004A6B49"/>
    <w:rsid w:val="004B421A"/>
    <w:rsid w:val="004B5C83"/>
    <w:rsid w:val="004B6802"/>
    <w:rsid w:val="004C03F7"/>
    <w:rsid w:val="004C2571"/>
    <w:rsid w:val="004C398C"/>
    <w:rsid w:val="004C6877"/>
    <w:rsid w:val="004D1052"/>
    <w:rsid w:val="004D4131"/>
    <w:rsid w:val="004D5FF8"/>
    <w:rsid w:val="004E2F8F"/>
    <w:rsid w:val="004F59FC"/>
    <w:rsid w:val="004F7601"/>
    <w:rsid w:val="0050344A"/>
    <w:rsid w:val="0050611A"/>
    <w:rsid w:val="00512A71"/>
    <w:rsid w:val="005173F5"/>
    <w:rsid w:val="00517BA5"/>
    <w:rsid w:val="00523DFD"/>
    <w:rsid w:val="005245DF"/>
    <w:rsid w:val="0053006B"/>
    <w:rsid w:val="005305A2"/>
    <w:rsid w:val="00530BB9"/>
    <w:rsid w:val="00530E83"/>
    <w:rsid w:val="00534620"/>
    <w:rsid w:val="00540A19"/>
    <w:rsid w:val="00541E4F"/>
    <w:rsid w:val="0054471C"/>
    <w:rsid w:val="005465D3"/>
    <w:rsid w:val="005504AC"/>
    <w:rsid w:val="0055743D"/>
    <w:rsid w:val="005575E6"/>
    <w:rsid w:val="005632EE"/>
    <w:rsid w:val="00563BCB"/>
    <w:rsid w:val="005647E1"/>
    <w:rsid w:val="0057075E"/>
    <w:rsid w:val="00572AB0"/>
    <w:rsid w:val="00575AEE"/>
    <w:rsid w:val="005763CB"/>
    <w:rsid w:val="00580B1E"/>
    <w:rsid w:val="005829CF"/>
    <w:rsid w:val="0058456F"/>
    <w:rsid w:val="005864F9"/>
    <w:rsid w:val="00597535"/>
    <w:rsid w:val="005A1C82"/>
    <w:rsid w:val="005A2C6C"/>
    <w:rsid w:val="005A3343"/>
    <w:rsid w:val="005A3496"/>
    <w:rsid w:val="005A5D5C"/>
    <w:rsid w:val="005A60E4"/>
    <w:rsid w:val="005A756D"/>
    <w:rsid w:val="005B6C52"/>
    <w:rsid w:val="005C3204"/>
    <w:rsid w:val="005C47A5"/>
    <w:rsid w:val="005C4B4F"/>
    <w:rsid w:val="005C63B7"/>
    <w:rsid w:val="005C6652"/>
    <w:rsid w:val="005D186E"/>
    <w:rsid w:val="005D340D"/>
    <w:rsid w:val="005D4128"/>
    <w:rsid w:val="005D7523"/>
    <w:rsid w:val="005E31EC"/>
    <w:rsid w:val="005E5E39"/>
    <w:rsid w:val="005E682C"/>
    <w:rsid w:val="005E7E6F"/>
    <w:rsid w:val="005F10B3"/>
    <w:rsid w:val="005F1AB9"/>
    <w:rsid w:val="005F1CBC"/>
    <w:rsid w:val="005F4216"/>
    <w:rsid w:val="005F5CB2"/>
    <w:rsid w:val="00605557"/>
    <w:rsid w:val="00611BAB"/>
    <w:rsid w:val="0061349D"/>
    <w:rsid w:val="0061441D"/>
    <w:rsid w:val="0061449D"/>
    <w:rsid w:val="006165A8"/>
    <w:rsid w:val="00620C71"/>
    <w:rsid w:val="00620F0B"/>
    <w:rsid w:val="006229C4"/>
    <w:rsid w:val="006261F1"/>
    <w:rsid w:val="0062645D"/>
    <w:rsid w:val="0062798A"/>
    <w:rsid w:val="00630BBE"/>
    <w:rsid w:val="006333D3"/>
    <w:rsid w:val="00635731"/>
    <w:rsid w:val="00635D5C"/>
    <w:rsid w:val="0063630B"/>
    <w:rsid w:val="006415F6"/>
    <w:rsid w:val="00641A89"/>
    <w:rsid w:val="00644DAE"/>
    <w:rsid w:val="0065237C"/>
    <w:rsid w:val="00652EC7"/>
    <w:rsid w:val="006538DB"/>
    <w:rsid w:val="00655E8C"/>
    <w:rsid w:val="00657AF6"/>
    <w:rsid w:val="0066063C"/>
    <w:rsid w:val="0066346D"/>
    <w:rsid w:val="006670AF"/>
    <w:rsid w:val="00674340"/>
    <w:rsid w:val="00677B3A"/>
    <w:rsid w:val="006842A3"/>
    <w:rsid w:val="0068465D"/>
    <w:rsid w:val="006858E2"/>
    <w:rsid w:val="00687851"/>
    <w:rsid w:val="00695140"/>
    <w:rsid w:val="00696676"/>
    <w:rsid w:val="006A068E"/>
    <w:rsid w:val="006A20DE"/>
    <w:rsid w:val="006A4E1E"/>
    <w:rsid w:val="006A50BF"/>
    <w:rsid w:val="006B1516"/>
    <w:rsid w:val="006B1F16"/>
    <w:rsid w:val="006B3CB0"/>
    <w:rsid w:val="006B3CE0"/>
    <w:rsid w:val="006B3CF2"/>
    <w:rsid w:val="006B53B8"/>
    <w:rsid w:val="006B61B2"/>
    <w:rsid w:val="006C1F86"/>
    <w:rsid w:val="006D1F5E"/>
    <w:rsid w:val="006D3DCD"/>
    <w:rsid w:val="006D5A0D"/>
    <w:rsid w:val="006D7009"/>
    <w:rsid w:val="006D7877"/>
    <w:rsid w:val="006E1981"/>
    <w:rsid w:val="006E44E7"/>
    <w:rsid w:val="006E656B"/>
    <w:rsid w:val="006E7554"/>
    <w:rsid w:val="006F0E7D"/>
    <w:rsid w:val="006F0FDD"/>
    <w:rsid w:val="006F11B2"/>
    <w:rsid w:val="006F29E6"/>
    <w:rsid w:val="006F3471"/>
    <w:rsid w:val="006F456E"/>
    <w:rsid w:val="006F516A"/>
    <w:rsid w:val="006F5F83"/>
    <w:rsid w:val="006F6606"/>
    <w:rsid w:val="006F6614"/>
    <w:rsid w:val="00701409"/>
    <w:rsid w:val="0070486E"/>
    <w:rsid w:val="00704F91"/>
    <w:rsid w:val="0070588C"/>
    <w:rsid w:val="00716899"/>
    <w:rsid w:val="00717291"/>
    <w:rsid w:val="00717C56"/>
    <w:rsid w:val="00721058"/>
    <w:rsid w:val="007247AB"/>
    <w:rsid w:val="007304E5"/>
    <w:rsid w:val="0073737C"/>
    <w:rsid w:val="00737A2A"/>
    <w:rsid w:val="00740D7E"/>
    <w:rsid w:val="00740FD5"/>
    <w:rsid w:val="007433AE"/>
    <w:rsid w:val="007455BB"/>
    <w:rsid w:val="007468B8"/>
    <w:rsid w:val="0075063A"/>
    <w:rsid w:val="00752C93"/>
    <w:rsid w:val="0075504B"/>
    <w:rsid w:val="00756E40"/>
    <w:rsid w:val="00757AF3"/>
    <w:rsid w:val="00766A13"/>
    <w:rsid w:val="00767939"/>
    <w:rsid w:val="00772D53"/>
    <w:rsid w:val="00773CB0"/>
    <w:rsid w:val="0077609B"/>
    <w:rsid w:val="00776EDE"/>
    <w:rsid w:val="007773A1"/>
    <w:rsid w:val="007778FC"/>
    <w:rsid w:val="00784ED9"/>
    <w:rsid w:val="00785094"/>
    <w:rsid w:val="00785AD5"/>
    <w:rsid w:val="0079049E"/>
    <w:rsid w:val="007A47D6"/>
    <w:rsid w:val="007A4EAD"/>
    <w:rsid w:val="007A5B13"/>
    <w:rsid w:val="007A6555"/>
    <w:rsid w:val="007B2FE8"/>
    <w:rsid w:val="007B33B3"/>
    <w:rsid w:val="007C02B9"/>
    <w:rsid w:val="007C1726"/>
    <w:rsid w:val="007C6A9C"/>
    <w:rsid w:val="007C6DB7"/>
    <w:rsid w:val="007D342C"/>
    <w:rsid w:val="007D6DED"/>
    <w:rsid w:val="007E17D6"/>
    <w:rsid w:val="007E3ACE"/>
    <w:rsid w:val="007E3B64"/>
    <w:rsid w:val="007E47B1"/>
    <w:rsid w:val="007F10F2"/>
    <w:rsid w:val="007F3884"/>
    <w:rsid w:val="007F6856"/>
    <w:rsid w:val="007F71EE"/>
    <w:rsid w:val="008043EF"/>
    <w:rsid w:val="00806ADD"/>
    <w:rsid w:val="008109EB"/>
    <w:rsid w:val="00814800"/>
    <w:rsid w:val="00815CD5"/>
    <w:rsid w:val="00816135"/>
    <w:rsid w:val="00822440"/>
    <w:rsid w:val="00825E02"/>
    <w:rsid w:val="008268DE"/>
    <w:rsid w:val="00830016"/>
    <w:rsid w:val="00831EA0"/>
    <w:rsid w:val="0083255A"/>
    <w:rsid w:val="00833F35"/>
    <w:rsid w:val="00837B89"/>
    <w:rsid w:val="0084296B"/>
    <w:rsid w:val="00843AD0"/>
    <w:rsid w:val="00843EE2"/>
    <w:rsid w:val="008456E2"/>
    <w:rsid w:val="00845EBE"/>
    <w:rsid w:val="00854237"/>
    <w:rsid w:val="0085720B"/>
    <w:rsid w:val="0086299C"/>
    <w:rsid w:val="00863B30"/>
    <w:rsid w:val="008651FF"/>
    <w:rsid w:val="00866783"/>
    <w:rsid w:val="00874198"/>
    <w:rsid w:val="00874601"/>
    <w:rsid w:val="0088052B"/>
    <w:rsid w:val="008812F2"/>
    <w:rsid w:val="00884364"/>
    <w:rsid w:val="00897FFA"/>
    <w:rsid w:val="008A1345"/>
    <w:rsid w:val="008A1894"/>
    <w:rsid w:val="008A4408"/>
    <w:rsid w:val="008A4A4E"/>
    <w:rsid w:val="008A6252"/>
    <w:rsid w:val="008A66EB"/>
    <w:rsid w:val="008B059F"/>
    <w:rsid w:val="008B0C00"/>
    <w:rsid w:val="008B2014"/>
    <w:rsid w:val="008B31E6"/>
    <w:rsid w:val="008B5AFD"/>
    <w:rsid w:val="008C0AA5"/>
    <w:rsid w:val="008C130D"/>
    <w:rsid w:val="008C3440"/>
    <w:rsid w:val="008C5380"/>
    <w:rsid w:val="008C5B28"/>
    <w:rsid w:val="008C5D3B"/>
    <w:rsid w:val="008C757C"/>
    <w:rsid w:val="008D442E"/>
    <w:rsid w:val="008D6341"/>
    <w:rsid w:val="008D7594"/>
    <w:rsid w:val="008D7F7E"/>
    <w:rsid w:val="008E0ECA"/>
    <w:rsid w:val="008E3065"/>
    <w:rsid w:val="008E38E1"/>
    <w:rsid w:val="008F0750"/>
    <w:rsid w:val="008F4558"/>
    <w:rsid w:val="008F59BA"/>
    <w:rsid w:val="008F7165"/>
    <w:rsid w:val="008F7A7A"/>
    <w:rsid w:val="008F7A93"/>
    <w:rsid w:val="009036DE"/>
    <w:rsid w:val="00905EDF"/>
    <w:rsid w:val="0090650E"/>
    <w:rsid w:val="00906C0A"/>
    <w:rsid w:val="00913E38"/>
    <w:rsid w:val="00921089"/>
    <w:rsid w:val="00940A09"/>
    <w:rsid w:val="00941183"/>
    <w:rsid w:val="00942666"/>
    <w:rsid w:val="00942A11"/>
    <w:rsid w:val="00942DEC"/>
    <w:rsid w:val="00946B03"/>
    <w:rsid w:val="00946D11"/>
    <w:rsid w:val="00953D41"/>
    <w:rsid w:val="009568C6"/>
    <w:rsid w:val="009610DD"/>
    <w:rsid w:val="00962FD1"/>
    <w:rsid w:val="009640BB"/>
    <w:rsid w:val="009646CE"/>
    <w:rsid w:val="00964AD5"/>
    <w:rsid w:val="009650B7"/>
    <w:rsid w:val="009650C3"/>
    <w:rsid w:val="00967072"/>
    <w:rsid w:val="009675AD"/>
    <w:rsid w:val="00967A68"/>
    <w:rsid w:val="00971F4F"/>
    <w:rsid w:val="009744EF"/>
    <w:rsid w:val="009755CD"/>
    <w:rsid w:val="00980D4F"/>
    <w:rsid w:val="00983EB4"/>
    <w:rsid w:val="00992C3E"/>
    <w:rsid w:val="00993190"/>
    <w:rsid w:val="00993CC4"/>
    <w:rsid w:val="009A2908"/>
    <w:rsid w:val="009A4A0D"/>
    <w:rsid w:val="009A5527"/>
    <w:rsid w:val="009A6A2A"/>
    <w:rsid w:val="009B28A5"/>
    <w:rsid w:val="009B64E9"/>
    <w:rsid w:val="009B7DB9"/>
    <w:rsid w:val="009C0257"/>
    <w:rsid w:val="009C27FE"/>
    <w:rsid w:val="009C3EB3"/>
    <w:rsid w:val="009C5737"/>
    <w:rsid w:val="009C631F"/>
    <w:rsid w:val="009C7D77"/>
    <w:rsid w:val="009D0ABB"/>
    <w:rsid w:val="009D3DA9"/>
    <w:rsid w:val="009D5088"/>
    <w:rsid w:val="009D6059"/>
    <w:rsid w:val="009D7FFA"/>
    <w:rsid w:val="009E0421"/>
    <w:rsid w:val="009E1022"/>
    <w:rsid w:val="009E25A7"/>
    <w:rsid w:val="009E5E2C"/>
    <w:rsid w:val="009E74AD"/>
    <w:rsid w:val="009F18F9"/>
    <w:rsid w:val="009F1A01"/>
    <w:rsid w:val="00A006A8"/>
    <w:rsid w:val="00A01814"/>
    <w:rsid w:val="00A10D7D"/>
    <w:rsid w:val="00A132B3"/>
    <w:rsid w:val="00A14E81"/>
    <w:rsid w:val="00A177B8"/>
    <w:rsid w:val="00A20EFE"/>
    <w:rsid w:val="00A21D1A"/>
    <w:rsid w:val="00A220D8"/>
    <w:rsid w:val="00A27BAC"/>
    <w:rsid w:val="00A33360"/>
    <w:rsid w:val="00A3639B"/>
    <w:rsid w:val="00A40807"/>
    <w:rsid w:val="00A41B61"/>
    <w:rsid w:val="00A44C81"/>
    <w:rsid w:val="00A47D0F"/>
    <w:rsid w:val="00A47E5E"/>
    <w:rsid w:val="00A51804"/>
    <w:rsid w:val="00A53850"/>
    <w:rsid w:val="00A53A42"/>
    <w:rsid w:val="00A60B2F"/>
    <w:rsid w:val="00A60F7A"/>
    <w:rsid w:val="00A76210"/>
    <w:rsid w:val="00A8147A"/>
    <w:rsid w:val="00A941D3"/>
    <w:rsid w:val="00A94E09"/>
    <w:rsid w:val="00A95B9D"/>
    <w:rsid w:val="00AA2679"/>
    <w:rsid w:val="00AB1155"/>
    <w:rsid w:val="00AB1309"/>
    <w:rsid w:val="00AB1C54"/>
    <w:rsid w:val="00AB57FA"/>
    <w:rsid w:val="00AC1F79"/>
    <w:rsid w:val="00AC3668"/>
    <w:rsid w:val="00AC5261"/>
    <w:rsid w:val="00AC5AE8"/>
    <w:rsid w:val="00AD29FB"/>
    <w:rsid w:val="00AD331A"/>
    <w:rsid w:val="00AD675F"/>
    <w:rsid w:val="00AD7365"/>
    <w:rsid w:val="00AE0AE3"/>
    <w:rsid w:val="00AE0EAB"/>
    <w:rsid w:val="00AE15B6"/>
    <w:rsid w:val="00AE1887"/>
    <w:rsid w:val="00AE302A"/>
    <w:rsid w:val="00AE3A7D"/>
    <w:rsid w:val="00AE695D"/>
    <w:rsid w:val="00AF0BA7"/>
    <w:rsid w:val="00AF0DD1"/>
    <w:rsid w:val="00AF4238"/>
    <w:rsid w:val="00B000C9"/>
    <w:rsid w:val="00B00CDC"/>
    <w:rsid w:val="00B00FB1"/>
    <w:rsid w:val="00B01BA5"/>
    <w:rsid w:val="00B05F05"/>
    <w:rsid w:val="00B1081C"/>
    <w:rsid w:val="00B11F81"/>
    <w:rsid w:val="00B128CB"/>
    <w:rsid w:val="00B13807"/>
    <w:rsid w:val="00B14B21"/>
    <w:rsid w:val="00B15650"/>
    <w:rsid w:val="00B25D28"/>
    <w:rsid w:val="00B26774"/>
    <w:rsid w:val="00B274A5"/>
    <w:rsid w:val="00B305F1"/>
    <w:rsid w:val="00B33119"/>
    <w:rsid w:val="00B33CA2"/>
    <w:rsid w:val="00B4074F"/>
    <w:rsid w:val="00B41CC2"/>
    <w:rsid w:val="00B42860"/>
    <w:rsid w:val="00B4488F"/>
    <w:rsid w:val="00B465C0"/>
    <w:rsid w:val="00B56BA4"/>
    <w:rsid w:val="00B57E70"/>
    <w:rsid w:val="00B70770"/>
    <w:rsid w:val="00B7106D"/>
    <w:rsid w:val="00B74684"/>
    <w:rsid w:val="00B75125"/>
    <w:rsid w:val="00B92929"/>
    <w:rsid w:val="00B93F9E"/>
    <w:rsid w:val="00B949B9"/>
    <w:rsid w:val="00BA6269"/>
    <w:rsid w:val="00BB1EDA"/>
    <w:rsid w:val="00BB2959"/>
    <w:rsid w:val="00BB2EA4"/>
    <w:rsid w:val="00BB739A"/>
    <w:rsid w:val="00BC1B3F"/>
    <w:rsid w:val="00BC360D"/>
    <w:rsid w:val="00BC52C0"/>
    <w:rsid w:val="00BD360F"/>
    <w:rsid w:val="00BD5378"/>
    <w:rsid w:val="00BD69D8"/>
    <w:rsid w:val="00BD77C4"/>
    <w:rsid w:val="00BE5E7A"/>
    <w:rsid w:val="00BE5FE6"/>
    <w:rsid w:val="00BF240F"/>
    <w:rsid w:val="00BF5BA0"/>
    <w:rsid w:val="00C01EC6"/>
    <w:rsid w:val="00C03304"/>
    <w:rsid w:val="00C07460"/>
    <w:rsid w:val="00C07673"/>
    <w:rsid w:val="00C15CB7"/>
    <w:rsid w:val="00C16EAD"/>
    <w:rsid w:val="00C23E00"/>
    <w:rsid w:val="00C24214"/>
    <w:rsid w:val="00C24767"/>
    <w:rsid w:val="00C27A86"/>
    <w:rsid w:val="00C32ED1"/>
    <w:rsid w:val="00C346EB"/>
    <w:rsid w:val="00C3655B"/>
    <w:rsid w:val="00C37E3B"/>
    <w:rsid w:val="00C42BD9"/>
    <w:rsid w:val="00C4439B"/>
    <w:rsid w:val="00C50829"/>
    <w:rsid w:val="00C61871"/>
    <w:rsid w:val="00C6201B"/>
    <w:rsid w:val="00C63EAA"/>
    <w:rsid w:val="00C70AFA"/>
    <w:rsid w:val="00C75522"/>
    <w:rsid w:val="00C75643"/>
    <w:rsid w:val="00C76FA9"/>
    <w:rsid w:val="00C77B5D"/>
    <w:rsid w:val="00C808E2"/>
    <w:rsid w:val="00C82673"/>
    <w:rsid w:val="00C8293F"/>
    <w:rsid w:val="00C8616A"/>
    <w:rsid w:val="00C8696C"/>
    <w:rsid w:val="00C87E4E"/>
    <w:rsid w:val="00C90F2F"/>
    <w:rsid w:val="00C91089"/>
    <w:rsid w:val="00C926CE"/>
    <w:rsid w:val="00C946C3"/>
    <w:rsid w:val="00C9478A"/>
    <w:rsid w:val="00C948F6"/>
    <w:rsid w:val="00C95E24"/>
    <w:rsid w:val="00C9625A"/>
    <w:rsid w:val="00C97A4A"/>
    <w:rsid w:val="00CA4BC6"/>
    <w:rsid w:val="00CA56BE"/>
    <w:rsid w:val="00CB008A"/>
    <w:rsid w:val="00CB2FF0"/>
    <w:rsid w:val="00CB6D29"/>
    <w:rsid w:val="00CC2009"/>
    <w:rsid w:val="00CC2E54"/>
    <w:rsid w:val="00CC3F8B"/>
    <w:rsid w:val="00CC4EA3"/>
    <w:rsid w:val="00CC7DA9"/>
    <w:rsid w:val="00CD01D1"/>
    <w:rsid w:val="00CD0469"/>
    <w:rsid w:val="00CD1B87"/>
    <w:rsid w:val="00CD28A2"/>
    <w:rsid w:val="00CD6ACC"/>
    <w:rsid w:val="00CE3910"/>
    <w:rsid w:val="00CE39CA"/>
    <w:rsid w:val="00CE4EC5"/>
    <w:rsid w:val="00CE77E9"/>
    <w:rsid w:val="00CE7800"/>
    <w:rsid w:val="00CF0126"/>
    <w:rsid w:val="00CF3954"/>
    <w:rsid w:val="00CF47C9"/>
    <w:rsid w:val="00D00770"/>
    <w:rsid w:val="00D01844"/>
    <w:rsid w:val="00D1088B"/>
    <w:rsid w:val="00D111E6"/>
    <w:rsid w:val="00D12664"/>
    <w:rsid w:val="00D1291A"/>
    <w:rsid w:val="00D13C6A"/>
    <w:rsid w:val="00D14965"/>
    <w:rsid w:val="00D17FC0"/>
    <w:rsid w:val="00D20CAC"/>
    <w:rsid w:val="00D21716"/>
    <w:rsid w:val="00D258CA"/>
    <w:rsid w:val="00D25FD8"/>
    <w:rsid w:val="00D27602"/>
    <w:rsid w:val="00D30D27"/>
    <w:rsid w:val="00D312CF"/>
    <w:rsid w:val="00D34360"/>
    <w:rsid w:val="00D407AC"/>
    <w:rsid w:val="00D40DAD"/>
    <w:rsid w:val="00D4334E"/>
    <w:rsid w:val="00D4503A"/>
    <w:rsid w:val="00D46C7E"/>
    <w:rsid w:val="00D52048"/>
    <w:rsid w:val="00D52BC8"/>
    <w:rsid w:val="00D52FA1"/>
    <w:rsid w:val="00D62817"/>
    <w:rsid w:val="00D708DD"/>
    <w:rsid w:val="00D83D41"/>
    <w:rsid w:val="00D90224"/>
    <w:rsid w:val="00D90704"/>
    <w:rsid w:val="00D9439C"/>
    <w:rsid w:val="00DA08C9"/>
    <w:rsid w:val="00DA0BBD"/>
    <w:rsid w:val="00DA2481"/>
    <w:rsid w:val="00DA4A26"/>
    <w:rsid w:val="00DA5AF7"/>
    <w:rsid w:val="00DA7DEA"/>
    <w:rsid w:val="00DB0AA4"/>
    <w:rsid w:val="00DB0E45"/>
    <w:rsid w:val="00DB382A"/>
    <w:rsid w:val="00DB5AA2"/>
    <w:rsid w:val="00DB6B62"/>
    <w:rsid w:val="00DC41C8"/>
    <w:rsid w:val="00DC444F"/>
    <w:rsid w:val="00DC4C10"/>
    <w:rsid w:val="00DC7B55"/>
    <w:rsid w:val="00DC7EEF"/>
    <w:rsid w:val="00DD0D82"/>
    <w:rsid w:val="00DD5D07"/>
    <w:rsid w:val="00DE5F0B"/>
    <w:rsid w:val="00DF0986"/>
    <w:rsid w:val="00DF1646"/>
    <w:rsid w:val="00DF2A68"/>
    <w:rsid w:val="00DF3EFD"/>
    <w:rsid w:val="00DF679B"/>
    <w:rsid w:val="00E12D1B"/>
    <w:rsid w:val="00E2168E"/>
    <w:rsid w:val="00E228BE"/>
    <w:rsid w:val="00E3003D"/>
    <w:rsid w:val="00E334CA"/>
    <w:rsid w:val="00E36666"/>
    <w:rsid w:val="00E36679"/>
    <w:rsid w:val="00E4005A"/>
    <w:rsid w:val="00E40F05"/>
    <w:rsid w:val="00E41663"/>
    <w:rsid w:val="00E426CC"/>
    <w:rsid w:val="00E44EAD"/>
    <w:rsid w:val="00E4738E"/>
    <w:rsid w:val="00E50495"/>
    <w:rsid w:val="00E50E37"/>
    <w:rsid w:val="00E51DB7"/>
    <w:rsid w:val="00E52097"/>
    <w:rsid w:val="00E53D01"/>
    <w:rsid w:val="00E53F1B"/>
    <w:rsid w:val="00E54344"/>
    <w:rsid w:val="00E546AE"/>
    <w:rsid w:val="00E60000"/>
    <w:rsid w:val="00E62B69"/>
    <w:rsid w:val="00E64E0B"/>
    <w:rsid w:val="00E66A49"/>
    <w:rsid w:val="00E77E9F"/>
    <w:rsid w:val="00E85CC2"/>
    <w:rsid w:val="00E86B90"/>
    <w:rsid w:val="00EA104E"/>
    <w:rsid w:val="00EA5934"/>
    <w:rsid w:val="00EA5FBE"/>
    <w:rsid w:val="00EB41DF"/>
    <w:rsid w:val="00EB46FE"/>
    <w:rsid w:val="00EB4BF1"/>
    <w:rsid w:val="00EC0E80"/>
    <w:rsid w:val="00EC247C"/>
    <w:rsid w:val="00EC5CA3"/>
    <w:rsid w:val="00EC748D"/>
    <w:rsid w:val="00ED1BBF"/>
    <w:rsid w:val="00ED2798"/>
    <w:rsid w:val="00ED3F45"/>
    <w:rsid w:val="00ED67D8"/>
    <w:rsid w:val="00EE01DE"/>
    <w:rsid w:val="00EE03FB"/>
    <w:rsid w:val="00EE3CCA"/>
    <w:rsid w:val="00EF106B"/>
    <w:rsid w:val="00EF14C8"/>
    <w:rsid w:val="00EF453D"/>
    <w:rsid w:val="00EF64D5"/>
    <w:rsid w:val="00F07463"/>
    <w:rsid w:val="00F12896"/>
    <w:rsid w:val="00F12A96"/>
    <w:rsid w:val="00F130D6"/>
    <w:rsid w:val="00F16D28"/>
    <w:rsid w:val="00F171FB"/>
    <w:rsid w:val="00F206CE"/>
    <w:rsid w:val="00F23F06"/>
    <w:rsid w:val="00F23FD2"/>
    <w:rsid w:val="00F279FF"/>
    <w:rsid w:val="00F318C4"/>
    <w:rsid w:val="00F32388"/>
    <w:rsid w:val="00F33AB8"/>
    <w:rsid w:val="00F34633"/>
    <w:rsid w:val="00F3510C"/>
    <w:rsid w:val="00F431B2"/>
    <w:rsid w:val="00F43DA9"/>
    <w:rsid w:val="00F441FD"/>
    <w:rsid w:val="00F469A2"/>
    <w:rsid w:val="00F47760"/>
    <w:rsid w:val="00F52D86"/>
    <w:rsid w:val="00F60BEA"/>
    <w:rsid w:val="00F63621"/>
    <w:rsid w:val="00F6750E"/>
    <w:rsid w:val="00F742BE"/>
    <w:rsid w:val="00F76A93"/>
    <w:rsid w:val="00F908C8"/>
    <w:rsid w:val="00F90FE8"/>
    <w:rsid w:val="00F91541"/>
    <w:rsid w:val="00F94667"/>
    <w:rsid w:val="00F95097"/>
    <w:rsid w:val="00F956D3"/>
    <w:rsid w:val="00F95AD7"/>
    <w:rsid w:val="00F96417"/>
    <w:rsid w:val="00F9648F"/>
    <w:rsid w:val="00FA4109"/>
    <w:rsid w:val="00FA6DED"/>
    <w:rsid w:val="00FA730B"/>
    <w:rsid w:val="00FB1A4B"/>
    <w:rsid w:val="00FB42DD"/>
    <w:rsid w:val="00FB5DC2"/>
    <w:rsid w:val="00FB665B"/>
    <w:rsid w:val="00FC2832"/>
    <w:rsid w:val="00FC7051"/>
    <w:rsid w:val="00FD273B"/>
    <w:rsid w:val="00FD28AA"/>
    <w:rsid w:val="00FD6F16"/>
    <w:rsid w:val="00FE2A9E"/>
    <w:rsid w:val="00FE6D51"/>
    <w:rsid w:val="00FE7D71"/>
    <w:rsid w:val="00FF2979"/>
    <w:rsid w:val="00FF4112"/>
    <w:rsid w:val="00FF4A8D"/>
    <w:rsid w:val="00FF5306"/>
    <w:rsid w:val="00FF549A"/>
    <w:rsid w:val="00FF6A98"/>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widowControl w:val="false"/>
        <w:autoSpaceDE w:val="false"/>
        <w:autoSpaceDN w:val="fals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uiPriority w:val="1"/>
    <w:qFormat/>
    <w:rPr>
      <w:rFonts w:cs="Arial" w:eastAsia="Arial" w:hAnsi="Arial" w:asci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true"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E2C"/>
    <w:rPr>
      <w:rFonts w:cs="Tahoma" w:eastAsia="Arial" w:hAnsi="Tahoma" w:asci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Autospacing="true" w:after="100" w:beforeAutospacing="true" w:before="100"/>
    </w:pPr>
    <w:rPr>
      <w:rFonts w:eastAsiaTheme="minorEastAsia" w:cs="Times New Roman" w:hAnsi="Times New Roman" w:asci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lineRule="auto" w:line="276" w:before="480"/>
      <w:ind w:firstLine="0" w:left="0"/>
      <w:outlineLvl w:val="9"/>
    </w:pPr>
    <w:rPr>
      <w:rFonts w:cstheme="majorBidi" w:eastAsiaTheme="majorEastAsia" w:hAnsiTheme="majorHAnsi" w:asciiTheme="majorHAnsi"/>
      <w:color w:themeShade="BF" w:themeColor="accent1" w:val="365F91"/>
      <w:lang w:bidi="ar-SA" w:eastAsia="ja-JP" w:val="en-US"/>
    </w:rPr>
  </w:style>
  <w:style w:styleId="Sadraj2" w:type="paragraph">
    <w:name w:val="toc 2"/>
    <w:basedOn w:val="Normal"/>
    <w:next w:val="Normal"/>
    <w:autoRedefine/>
    <w:uiPriority w:val="39"/>
    <w:unhideWhenUsed/>
    <w:rsid w:val="00203A0A"/>
    <w:pPr>
      <w:tabs>
        <w:tab w:pos="880" w:val="left"/>
        <w:tab w:pos="9880" w:leader="dot"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true" w:styleId="TekstkomentaraChar" w:type="character">
    <w:name w:val="Tekst komentara Char"/>
    <w:basedOn w:val="Zadanifontodlomka"/>
    <w:link w:val="Tekstkomentara"/>
    <w:uiPriority w:val="99"/>
    <w:semiHidden/>
    <w:rsid w:val="00D13C6A"/>
    <w:rPr>
      <w:rFonts w:cs="Arial" w:eastAsia="Arial" w:hAnsi="Arial" w:asci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true" w:styleId="PredmetkomentaraChar" w:type="character">
    <w:name w:val="Predmet komentara Char"/>
    <w:basedOn w:val="TekstkomentaraChar"/>
    <w:link w:val="Predmetkomentara"/>
    <w:uiPriority w:val="99"/>
    <w:semiHidden/>
    <w:rsid w:val="00D13C6A"/>
    <w:rPr>
      <w:rFonts w:cs="Arial" w:eastAsia="Arial" w:hAnsi="Arial" w:asci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true" w:styleId="ZaglavljeChar" w:type="character">
    <w:name w:val="Zaglavlje Char"/>
    <w:basedOn w:val="Zadanifontodlomka"/>
    <w:link w:val="Zaglavlje"/>
    <w:uiPriority w:val="99"/>
    <w:rsid w:val="00281663"/>
    <w:rPr>
      <w:rFonts w:cs="Arial" w:eastAsia="Arial" w:hAnsi="Arial" w:asci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true" w:styleId="PodnojeChar" w:type="character">
    <w:name w:val="Podnožje Char"/>
    <w:basedOn w:val="Zadanifontodlomka"/>
    <w:link w:val="Podnoje"/>
    <w:uiPriority w:val="99"/>
    <w:rsid w:val="00281663"/>
    <w:rPr>
      <w:rFonts w:cs="Arial" w:eastAsia="Arial" w:hAnsi="Arial" w:ascii="Arial"/>
      <w:lang w:bidi="hr-HR" w:eastAsia="hr-HR" w:val="hr-HR"/>
    </w:rPr>
  </w:style>
  <w:style w:customStyle="true" w:styleId="Naslov1Char1" w:type="character">
    <w:name w:val="Naslov 1 Char1"/>
    <w:basedOn w:val="Zadanifontodlomka"/>
    <w:link w:val="Naslov1"/>
    <w:uiPriority w:val="1"/>
    <w:rsid w:val="00BC1B3F"/>
    <w:rPr>
      <w:rFonts w:cs="Arial" w:eastAsia="Arial" w:hAnsi="Arial" w:ascii="Arial"/>
      <w:b/>
      <w:bCs/>
      <w:sz w:val="28"/>
      <w:szCs w:val="28"/>
      <w:lang w:bidi="hr-HR" w:eastAsia="hr-HR" w:val="hr-HR"/>
    </w:rPr>
  </w:style>
  <w:style w:customStyle="true" w:styleId="TijelotekstaChar" w:type="character">
    <w:name w:val="Tijelo teksta Char"/>
    <w:basedOn w:val="Zadanifontodlomka"/>
    <w:link w:val="Tijeloteksta"/>
    <w:uiPriority w:val="1"/>
    <w:rsid w:val="00BC1B3F"/>
    <w:rPr>
      <w:rFonts w:cs="Arial" w:eastAsia="Arial" w:hAnsi="Arial" w:ascii="Arial"/>
      <w:sz w:val="24"/>
      <w:szCs w:val="24"/>
      <w:lang w:bidi="hr-HR" w:eastAsia="hr-HR" w:val="hr-HR"/>
    </w:rPr>
  </w:style>
  <w:style w:customStyle="true" w:styleId="Naslov11" w:type="paragraph">
    <w:name w:val="Naslov 11"/>
    <w:basedOn w:val="Odlomakpopisa"/>
    <w:link w:val="Naslov1Char"/>
    <w:uiPriority w:val="1"/>
    <w:qFormat/>
    <w:rsid w:val="00183192"/>
    <w:pPr>
      <w:numPr>
        <w:numId w:val="39"/>
      </w:numPr>
    </w:pPr>
    <w:rPr>
      <w:b/>
      <w:sz w:val="32"/>
    </w:rPr>
  </w:style>
  <w:style w:customStyle="true" w:styleId="Naslov21" w:type="paragraph">
    <w:name w:val="Naslov 21"/>
    <w:basedOn w:val="Naslov11"/>
    <w:uiPriority w:val="1"/>
    <w:qFormat/>
    <w:rsid w:val="00183192"/>
    <w:pPr>
      <w:numPr>
        <w:ilvl w:val="1"/>
      </w:numPr>
      <w:ind w:hanging="360" w:left="1440"/>
    </w:pPr>
    <w:rPr>
      <w:sz w:val="28"/>
    </w:rPr>
  </w:style>
  <w:style w:customStyle="true" w:styleId="Naslov1Char" w:type="character">
    <w:name w:val="Naslov 1 Char"/>
    <w:basedOn w:val="Zadanifontodlomka"/>
    <w:link w:val="Naslov11"/>
    <w:uiPriority w:val="1"/>
    <w:rsid w:val="00183192"/>
    <w:rPr>
      <w:rFonts w:cs="Arial" w:eastAsia="Arial" w:hAnsi="Arial" w:ascii="Arial"/>
      <w:b/>
      <w:sz w:val="32"/>
      <w:lang w:bidi="hr-HR" w:eastAsia="hr-HR" w:val="hr-HR"/>
    </w:rPr>
  </w:style>
  <w:style w:customStyle="true" w:styleId="Naslov31" w:type="paragraph">
    <w:name w:val="Naslov 31"/>
    <w:basedOn w:val="Naslov11"/>
    <w:uiPriority w:val="1"/>
    <w:qFormat/>
    <w:rsid w:val="00183192"/>
    <w:pPr>
      <w:numPr>
        <w:ilvl w:val="2"/>
      </w:numPr>
      <w:ind w:hanging="360" w:left="2160"/>
    </w:pPr>
    <w:rPr>
      <w:sz w:val="24"/>
    </w:rPr>
  </w:style>
  <w:style w:customStyle="true"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D4987"/>
    <w:rPr>
      <w:color w:val="808080"/>
      <w:bdr w:space="0" w:sz="0" w:color="auto" w:val="none"/>
      <w:shd w:fill="auto" w:color="auto" w:val="clear"/>
    </w:rPr>
  </w:style>
  <w:style w:customStyle="true" w:styleId="eSPISCCParagraphDefaultFont" w:type="character">
    <w:name w:val="eSPIS_CC_Paragraph Default Font"/>
    <w:basedOn w:val="Zadanifontodlomka"/>
    <w:rsid w:val="001D49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987"/>
    <w:rPr>
      <w:sz w:val="12"/>
      <w:bdr w:space="0" w:sz="0" w:color="auto" w:val="none"/>
      <w:shd w:fill="FFFFCC" w:color="auto" w:val="clear"/>
      <w:lang w:val="hr-HR"/>
    </w:rPr>
  </w:style>
  <w:style w:customStyle="true" w:styleId="PozadinaSvijetloCrvena" w:type="character">
    <w:name w:val="Pozadina_SvijetloCrvena"/>
    <w:basedOn w:val="eSPISCCParagraphDefaultFont"/>
    <w:rsid w:val="001D4987"/>
    <w:rPr>
      <w:rFonts w:cs="Times New Roman" w:hAnsi="Times New Roman" w:ascii="Times New Roman"/>
      <w:sz w:val="12"/>
      <w:bdr w:space="0" w:sz="0" w:color="auto" w:val="none"/>
      <w:shd w:fill="FFCCCC" w:color="auto" w:val="clear"/>
      <w:lang w:val="hr-HR"/>
    </w:rPr>
  </w:style>
  <w:style w:customStyle="true" w:styleId="PozadinaSvijetloZelena" w:type="character">
    <w:name w:val="Pozadina_SvijetloZelena"/>
    <w:basedOn w:val="eSPISCCParagraphDefaultFont"/>
    <w:rsid w:val="001D4987"/>
    <w:rPr>
      <w:rFonts w:cs="Times New Roman" w:hAnsi="Times New Roman" w:ascii="Times New Roman"/>
      <w:sz w:val="1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widowControl w:val="0"/>
        <w:autoSpaceDE w:val="0"/>
        <w:autoSpaceDN w:val="0"/>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59"/>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uiPriority w:val="1"/>
    <w:qFormat/>
    <w:rPr>
      <w:rFonts w:ascii="Arial" w:cs="Arial" w:eastAsia="Arial" w:hAnsi="Arial"/>
      <w:lang w:bidi="hr-HR" w:eastAsia="hr-HR" w:val="hr-HR"/>
    </w:rPr>
  </w:style>
  <w:style w:styleId="Naslov1" w:type="paragraph">
    <w:name w:val="heading 1"/>
    <w:basedOn w:val="Normal"/>
    <w:link w:val="Naslov1Char1"/>
    <w:uiPriority w:val="1"/>
    <w:qFormat/>
    <w:pPr>
      <w:spacing w:before="91"/>
      <w:ind w:hanging="360" w:left="618"/>
      <w:outlineLvl w:val="0"/>
    </w:pPr>
    <w:rPr>
      <w:b/>
      <w:bCs/>
      <w:sz w:val="28"/>
      <w:szCs w:val="28"/>
    </w:rPr>
  </w:style>
  <w:style w:styleId="Naslov2" w:type="paragraph">
    <w:name w:val="heading 2"/>
    <w:basedOn w:val="Normal"/>
    <w:uiPriority w:val="1"/>
    <w:qFormat/>
    <w:pPr>
      <w:ind w:left="966"/>
      <w:outlineLvl w:val="1"/>
    </w:pPr>
    <w:rPr>
      <w:b/>
      <w:bCs/>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adraj1" w:type="paragraph">
    <w:name w:val="toc 1"/>
    <w:basedOn w:val="Normal"/>
    <w:uiPriority w:val="39"/>
    <w:qFormat/>
    <w:pPr>
      <w:spacing w:before="135"/>
      <w:ind w:hanging="554" w:left="671"/>
    </w:pPr>
    <w:rPr>
      <w:b/>
      <w:bCs/>
      <w:sz w:val="20"/>
      <w:szCs w:val="20"/>
    </w:rPr>
  </w:style>
  <w:style w:styleId="Tijeloteksta" w:type="paragraph">
    <w:name w:val="Body Text"/>
    <w:basedOn w:val="Normal"/>
    <w:link w:val="TijelotekstaChar"/>
    <w:uiPriority w:val="1"/>
    <w:qFormat/>
    <w:rPr>
      <w:sz w:val="24"/>
      <w:szCs w:val="24"/>
    </w:rPr>
  </w:style>
  <w:style w:styleId="Odlomakpopisa" w:type="paragraph">
    <w:name w:val="List Paragraph"/>
    <w:basedOn w:val="Normal"/>
    <w:uiPriority w:val="34"/>
    <w:qFormat/>
    <w:pPr>
      <w:ind w:hanging="360" w:left="978"/>
    </w:pPr>
  </w:style>
  <w:style w:customStyle="1" w:styleId="TableParagraph" w:type="paragraph">
    <w:name w:val="Table Paragraph"/>
    <w:basedOn w:val="Normal"/>
    <w:uiPriority w:val="1"/>
    <w:qFormat/>
  </w:style>
  <w:style w:styleId="Tekstbalonia" w:type="paragraph">
    <w:name w:val="Balloon Text"/>
    <w:basedOn w:val="Normal"/>
    <w:link w:val="TekstbaloniaChar"/>
    <w:uiPriority w:val="99"/>
    <w:semiHidden/>
    <w:unhideWhenUsed/>
    <w:rsid w:val="009E5E2C"/>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E2C"/>
    <w:rPr>
      <w:rFonts w:ascii="Tahoma" w:cs="Tahoma" w:eastAsia="Arial" w:hAnsi="Tahoma"/>
      <w:sz w:val="16"/>
      <w:szCs w:val="16"/>
      <w:lang w:bidi="hr-HR" w:eastAsia="hr-HR" w:val="hr-HR"/>
    </w:rPr>
  </w:style>
  <w:style w:styleId="StandardWeb" w:type="paragraph">
    <w:name w:val="Normal (Web)"/>
    <w:basedOn w:val="Normal"/>
    <w:uiPriority w:val="99"/>
    <w:unhideWhenUsed/>
    <w:rsid w:val="00482C0F"/>
    <w:pPr>
      <w:widowControl/>
      <w:autoSpaceDE/>
      <w:autoSpaceDN/>
      <w:spacing w:after="100" w:afterAutospacing="1" w:before="100" w:beforeAutospacing="1"/>
    </w:pPr>
    <w:rPr>
      <w:rFonts w:ascii="Times New Roman" w:cs="Times New Roman" w:eastAsiaTheme="minorEastAsia" w:hAnsi="Times New Roman"/>
      <w:sz w:val="24"/>
      <w:szCs w:val="24"/>
      <w:lang w:bidi="ar-SA"/>
    </w:rPr>
  </w:style>
  <w:style w:styleId="TOCNaslov" w:type="paragraph">
    <w:name w:val="TOC Heading"/>
    <w:basedOn w:val="Naslov1"/>
    <w:next w:val="Normal"/>
    <w:uiPriority w:val="39"/>
    <w:semiHidden/>
    <w:unhideWhenUsed/>
    <w:qFormat/>
    <w:rsid w:val="008C5380"/>
    <w:pPr>
      <w:keepNext/>
      <w:keepLines/>
      <w:widowControl/>
      <w:autoSpaceDE/>
      <w:autoSpaceDN/>
      <w:spacing w:before="480" w:line="276" w:lineRule="auto"/>
      <w:ind w:firstLine="0" w:left="0"/>
      <w:outlineLvl w:val="9"/>
    </w:pPr>
    <w:rPr>
      <w:rFonts w:asciiTheme="majorHAnsi" w:cstheme="majorBidi" w:eastAsiaTheme="majorEastAsia" w:hAnsiTheme="majorHAnsi"/>
      <w:color w:themeColor="accent1" w:themeShade="BF" w:val="365F91"/>
      <w:lang w:bidi="ar-SA" w:eastAsia="ja-JP" w:val="en-US"/>
    </w:rPr>
  </w:style>
  <w:style w:styleId="Sadraj2" w:type="paragraph">
    <w:name w:val="toc 2"/>
    <w:basedOn w:val="Normal"/>
    <w:next w:val="Normal"/>
    <w:autoRedefine/>
    <w:uiPriority w:val="39"/>
    <w:unhideWhenUsed/>
    <w:rsid w:val="00203A0A"/>
    <w:pPr>
      <w:tabs>
        <w:tab w:pos="880" w:val="left"/>
        <w:tab w:leader="dot" w:pos="9880" w:val="right"/>
      </w:tabs>
      <w:spacing w:after="100"/>
      <w:ind w:left="220"/>
    </w:pPr>
    <w:rPr>
      <w:bCs/>
      <w:noProof/>
      <w:w w:val="99"/>
      <w:sz w:val="24"/>
      <w:szCs w:val="24"/>
    </w:rPr>
  </w:style>
  <w:style w:styleId="Hiperveza" w:type="character">
    <w:name w:val="Hyperlink"/>
    <w:basedOn w:val="Zadanifontodlomka"/>
    <w:uiPriority w:val="99"/>
    <w:unhideWhenUsed/>
    <w:rsid w:val="008C5380"/>
    <w:rPr>
      <w:color w:themeColor="hyperlink" w:val="0000FF"/>
      <w:u w:val="single"/>
    </w:rPr>
  </w:style>
  <w:style w:styleId="Referencakomentara" w:type="character">
    <w:name w:val="annotation reference"/>
    <w:basedOn w:val="Zadanifontodlomka"/>
    <w:uiPriority w:val="99"/>
    <w:semiHidden/>
    <w:unhideWhenUsed/>
    <w:rsid w:val="00D13C6A"/>
    <w:rPr>
      <w:sz w:val="16"/>
      <w:szCs w:val="16"/>
    </w:rPr>
  </w:style>
  <w:style w:styleId="Tekstkomentara" w:type="paragraph">
    <w:name w:val="annotation text"/>
    <w:basedOn w:val="Normal"/>
    <w:link w:val="TekstkomentaraChar"/>
    <w:uiPriority w:val="99"/>
    <w:semiHidden/>
    <w:unhideWhenUsed/>
    <w:rsid w:val="00D13C6A"/>
    <w:rPr>
      <w:sz w:val="20"/>
      <w:szCs w:val="20"/>
    </w:rPr>
  </w:style>
  <w:style w:customStyle="1" w:styleId="TekstkomentaraChar" w:type="character">
    <w:name w:val="Tekst komentara Char"/>
    <w:basedOn w:val="Zadanifontodlomka"/>
    <w:link w:val="Tekstkomentara"/>
    <w:uiPriority w:val="99"/>
    <w:semiHidden/>
    <w:rsid w:val="00D13C6A"/>
    <w:rPr>
      <w:rFonts w:ascii="Arial" w:cs="Arial" w:eastAsia="Arial" w:hAnsi="Arial"/>
      <w:sz w:val="20"/>
      <w:szCs w:val="20"/>
      <w:lang w:bidi="hr-HR" w:eastAsia="hr-HR" w:val="hr-HR"/>
    </w:rPr>
  </w:style>
  <w:style w:styleId="Predmetkomentara" w:type="paragraph">
    <w:name w:val="annotation subject"/>
    <w:basedOn w:val="Tekstkomentara"/>
    <w:next w:val="Tekstkomentara"/>
    <w:link w:val="PredmetkomentaraChar"/>
    <w:uiPriority w:val="99"/>
    <w:semiHidden/>
    <w:unhideWhenUsed/>
    <w:rsid w:val="00D13C6A"/>
    <w:rPr>
      <w:b/>
      <w:bCs/>
    </w:rPr>
  </w:style>
  <w:style w:customStyle="1" w:styleId="PredmetkomentaraChar" w:type="character">
    <w:name w:val="Predmet komentara Char"/>
    <w:basedOn w:val="TekstkomentaraChar"/>
    <w:link w:val="Predmetkomentara"/>
    <w:uiPriority w:val="99"/>
    <w:semiHidden/>
    <w:rsid w:val="00D13C6A"/>
    <w:rPr>
      <w:rFonts w:ascii="Arial" w:cs="Arial" w:eastAsia="Arial" w:hAnsi="Arial"/>
      <w:b/>
      <w:bCs/>
      <w:sz w:val="20"/>
      <w:szCs w:val="20"/>
      <w:lang w:bidi="hr-HR" w:eastAsia="hr-HR" w:val="hr-HR"/>
    </w:rPr>
  </w:style>
  <w:style w:styleId="Zaglavlje" w:type="paragraph">
    <w:name w:val="header"/>
    <w:basedOn w:val="Normal"/>
    <w:link w:val="ZaglavljeChar"/>
    <w:uiPriority w:val="99"/>
    <w:unhideWhenUsed/>
    <w:rsid w:val="00281663"/>
    <w:pPr>
      <w:tabs>
        <w:tab w:pos="4536" w:val="center"/>
        <w:tab w:pos="9072" w:val="right"/>
      </w:tabs>
    </w:pPr>
  </w:style>
  <w:style w:customStyle="1" w:styleId="ZaglavljeChar" w:type="character">
    <w:name w:val="Zaglavlje Char"/>
    <w:basedOn w:val="Zadanifontodlomka"/>
    <w:link w:val="Zaglavlje"/>
    <w:uiPriority w:val="99"/>
    <w:rsid w:val="00281663"/>
    <w:rPr>
      <w:rFonts w:ascii="Arial" w:cs="Arial" w:eastAsia="Arial" w:hAnsi="Arial"/>
      <w:lang w:bidi="hr-HR" w:eastAsia="hr-HR" w:val="hr-HR"/>
    </w:rPr>
  </w:style>
  <w:style w:styleId="Podnoje" w:type="paragraph">
    <w:name w:val="footer"/>
    <w:basedOn w:val="Normal"/>
    <w:link w:val="PodnojeChar"/>
    <w:uiPriority w:val="99"/>
    <w:unhideWhenUsed/>
    <w:rsid w:val="00281663"/>
    <w:pPr>
      <w:tabs>
        <w:tab w:pos="4536" w:val="center"/>
        <w:tab w:pos="9072" w:val="right"/>
      </w:tabs>
    </w:pPr>
  </w:style>
  <w:style w:customStyle="1" w:styleId="PodnojeChar" w:type="character">
    <w:name w:val="Podnožje Char"/>
    <w:basedOn w:val="Zadanifontodlomka"/>
    <w:link w:val="Podnoje"/>
    <w:uiPriority w:val="99"/>
    <w:rsid w:val="00281663"/>
    <w:rPr>
      <w:rFonts w:ascii="Arial" w:cs="Arial" w:eastAsia="Arial" w:hAnsi="Arial"/>
      <w:lang w:bidi="hr-HR" w:eastAsia="hr-HR" w:val="hr-HR"/>
    </w:rPr>
  </w:style>
  <w:style w:customStyle="1" w:styleId="Naslov1Char1" w:type="character">
    <w:name w:val="Naslov 1 Char1"/>
    <w:basedOn w:val="Zadanifontodlomka"/>
    <w:link w:val="Naslov1"/>
    <w:uiPriority w:val="1"/>
    <w:rsid w:val="00BC1B3F"/>
    <w:rPr>
      <w:rFonts w:ascii="Arial" w:cs="Arial" w:eastAsia="Arial" w:hAnsi="Arial"/>
      <w:b/>
      <w:bCs/>
      <w:sz w:val="28"/>
      <w:szCs w:val="28"/>
      <w:lang w:bidi="hr-HR" w:eastAsia="hr-HR" w:val="hr-HR"/>
    </w:rPr>
  </w:style>
  <w:style w:customStyle="1" w:styleId="TijelotekstaChar" w:type="character">
    <w:name w:val="Tijelo teksta Char"/>
    <w:basedOn w:val="Zadanifontodlomka"/>
    <w:link w:val="Tijeloteksta"/>
    <w:uiPriority w:val="1"/>
    <w:rsid w:val="00BC1B3F"/>
    <w:rPr>
      <w:rFonts w:ascii="Arial" w:cs="Arial" w:eastAsia="Arial" w:hAnsi="Arial"/>
      <w:sz w:val="24"/>
      <w:szCs w:val="24"/>
      <w:lang w:bidi="hr-HR" w:eastAsia="hr-HR" w:val="hr-HR"/>
    </w:rPr>
  </w:style>
  <w:style w:customStyle="1" w:styleId="Naslov11" w:type="paragraph">
    <w:name w:val="Naslov 11"/>
    <w:basedOn w:val="Odlomakpopisa"/>
    <w:link w:val="Naslov1Char"/>
    <w:uiPriority w:val="1"/>
    <w:qFormat/>
    <w:rsid w:val="00183192"/>
    <w:pPr>
      <w:numPr>
        <w:numId w:val="39"/>
      </w:numPr>
    </w:pPr>
    <w:rPr>
      <w:b/>
      <w:sz w:val="32"/>
    </w:rPr>
  </w:style>
  <w:style w:customStyle="1" w:styleId="Naslov21" w:type="paragraph">
    <w:name w:val="Naslov 21"/>
    <w:basedOn w:val="Naslov11"/>
    <w:uiPriority w:val="1"/>
    <w:qFormat/>
    <w:rsid w:val="00183192"/>
    <w:pPr>
      <w:numPr>
        <w:ilvl w:val="1"/>
      </w:numPr>
      <w:ind w:hanging="360" w:left="1440"/>
    </w:pPr>
    <w:rPr>
      <w:sz w:val="28"/>
    </w:rPr>
  </w:style>
  <w:style w:customStyle="1" w:styleId="Naslov1Char" w:type="character">
    <w:name w:val="Naslov 1 Char"/>
    <w:basedOn w:val="Zadanifontodlomka"/>
    <w:link w:val="Naslov11"/>
    <w:uiPriority w:val="1"/>
    <w:rsid w:val="00183192"/>
    <w:rPr>
      <w:rFonts w:ascii="Arial" w:cs="Arial" w:eastAsia="Arial" w:hAnsi="Arial"/>
      <w:b/>
      <w:sz w:val="32"/>
      <w:lang w:bidi="hr-HR" w:eastAsia="hr-HR" w:val="hr-HR"/>
    </w:rPr>
  </w:style>
  <w:style w:customStyle="1" w:styleId="Naslov31" w:type="paragraph">
    <w:name w:val="Naslov 31"/>
    <w:basedOn w:val="Naslov11"/>
    <w:uiPriority w:val="1"/>
    <w:qFormat/>
    <w:rsid w:val="00183192"/>
    <w:pPr>
      <w:numPr>
        <w:ilvl w:val="2"/>
      </w:numPr>
      <w:ind w:hanging="360" w:left="2160"/>
    </w:pPr>
    <w:rPr>
      <w:sz w:val="24"/>
    </w:rPr>
  </w:style>
  <w:style w:customStyle="1" w:styleId="Naslov41" w:type="paragraph">
    <w:name w:val="Naslov 41"/>
    <w:basedOn w:val="Naslov31"/>
    <w:uiPriority w:val="1"/>
    <w:qFormat/>
    <w:rsid w:val="00183192"/>
    <w:pPr>
      <w:numPr>
        <w:ilvl w:val="3"/>
      </w:numPr>
      <w:ind w:hanging="360" w:left="2880"/>
    </w:pPr>
  </w:style>
  <w:style w:styleId="Sadraj3" w:type="paragraph">
    <w:name w:val="toc 3"/>
    <w:basedOn w:val="Normal"/>
    <w:next w:val="Normal"/>
    <w:autoRedefine/>
    <w:uiPriority w:val="39"/>
    <w:unhideWhenUsed/>
    <w:rsid w:val="001E0E13"/>
    <w:pPr>
      <w:spacing w:after="100"/>
      <w:ind w:left="440"/>
    </w:pPr>
  </w:style>
  <w:style w:styleId="Reetkatablice" w:type="table">
    <w:name w:val="Table Grid"/>
    <w:basedOn w:val="Obinatablica"/>
    <w:uiPriority w:val="59"/>
    <w:rsid w:val="00F171F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D4987"/>
    <w:rPr>
      <w:color w:val="808080"/>
      <w:bdr w:color="auto" w:space="0" w:sz="0" w:val="none"/>
      <w:shd w:color="auto" w:fill="auto" w:val="clear"/>
    </w:rPr>
  </w:style>
  <w:style w:customStyle="1" w:styleId="eSPISCCParagraphDefaultFont" w:type="character">
    <w:name w:val="eSPIS_CC_Paragraph Default Font"/>
    <w:basedOn w:val="Zadanifontodlomka"/>
    <w:rsid w:val="001D49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987"/>
    <w:rPr>
      <w:sz w:val="12"/>
      <w:bdr w:color="auto" w:space="0" w:sz="0" w:val="none"/>
      <w:shd w:color="auto" w:fill="FFFFCC" w:val="clear"/>
      <w:lang w:val="hr-HR"/>
    </w:rPr>
  </w:style>
  <w:style w:customStyle="1" w:styleId="PozadinaSvijetloCrvena" w:type="character">
    <w:name w:val="Pozadina_SvijetloCrvena"/>
    <w:basedOn w:val="eSPISCCParagraphDefaultFont"/>
    <w:rsid w:val="001D4987"/>
    <w:rPr>
      <w:rFonts w:ascii="Times New Roman" w:cs="Times New Roman" w:hAnsi="Times New Roman"/>
      <w:sz w:val="12"/>
      <w:bdr w:color="auto" w:space="0" w:sz="0" w:val="none"/>
      <w:shd w:color="auto" w:fill="FFCCCC" w:val="clear"/>
      <w:lang w:val="hr-HR"/>
    </w:rPr>
  </w:style>
  <w:style w:customStyle="1" w:styleId="PozadinaSvijetloZelena" w:type="character">
    <w:name w:val="Pozadina_SvijetloZelena"/>
    <w:basedOn w:val="eSPISCCParagraphDefaultFont"/>
    <w:rsid w:val="001D4987"/>
    <w:rPr>
      <w:rFonts w:ascii="Times New Roman" w:cs="Times New Roman" w:hAnsi="Times New Roman"/>
      <w:sz w:val="1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3656718">
      <w:bodyDiv w:val="true"/>
      <w:marLeft w:val="0"/>
      <w:marRight w:val="0"/>
      <w:marTop w:val="0"/>
      <w:marBottom w:val="0"/>
      <w:divBdr>
        <w:top w:space="0" w:sz="0" w:color="auto" w:val="none"/>
        <w:left w:space="0" w:sz="0" w:color="auto" w:val="none"/>
        <w:bottom w:space="0" w:sz="0" w:color="auto" w:val="none"/>
        <w:right w:space="0" w:sz="0" w:color="auto" w:val="none"/>
      </w:divBdr>
    </w:div>
    <w:div w:id="289634766">
      <w:bodyDiv w:val="true"/>
      <w:marLeft w:val="0"/>
      <w:marRight w:val="0"/>
      <w:marTop w:val="0"/>
      <w:marBottom w:val="0"/>
      <w:divBdr>
        <w:top w:space="0" w:sz="0" w:color="auto" w:val="none"/>
        <w:left w:space="0" w:sz="0" w:color="auto" w:val="none"/>
        <w:bottom w:space="0" w:sz="0" w:color="auto" w:val="none"/>
        <w:right w:space="0" w:sz="0" w:color="auto" w:val="none"/>
      </w:divBdr>
    </w:div>
    <w:div w:id="346560421">
      <w:bodyDiv w:val="true"/>
      <w:marLeft w:val="0"/>
      <w:marRight w:val="0"/>
      <w:marTop w:val="0"/>
      <w:marBottom w:val="0"/>
      <w:divBdr>
        <w:top w:space="0" w:sz="0" w:color="auto" w:val="none"/>
        <w:left w:space="0" w:sz="0" w:color="auto" w:val="none"/>
        <w:bottom w:space="0" w:sz="0" w:color="auto" w:val="none"/>
        <w:right w:space="0" w:sz="0" w:color="auto" w:val="none"/>
      </w:divBdr>
    </w:div>
    <w:div w:id="349986240">
      <w:bodyDiv w:val="true"/>
      <w:marLeft w:val="0"/>
      <w:marRight w:val="0"/>
      <w:marTop w:val="0"/>
      <w:marBottom w:val="0"/>
      <w:divBdr>
        <w:top w:space="0" w:sz="0" w:color="auto" w:val="none"/>
        <w:left w:space="0" w:sz="0" w:color="auto" w:val="none"/>
        <w:bottom w:space="0" w:sz="0" w:color="auto" w:val="none"/>
        <w:right w:space="0" w:sz="0" w:color="auto" w:val="none"/>
      </w:divBdr>
    </w:div>
    <w:div w:id="375929000">
      <w:bodyDiv w:val="true"/>
      <w:marLeft w:val="0"/>
      <w:marRight w:val="0"/>
      <w:marTop w:val="0"/>
      <w:marBottom w:val="0"/>
      <w:divBdr>
        <w:top w:space="0" w:sz="0" w:color="auto" w:val="none"/>
        <w:left w:space="0" w:sz="0" w:color="auto" w:val="none"/>
        <w:bottom w:space="0" w:sz="0" w:color="auto" w:val="none"/>
        <w:right w:space="0" w:sz="0" w:color="auto" w:val="none"/>
      </w:divBdr>
    </w:div>
    <w:div w:id="422844850">
      <w:bodyDiv w:val="true"/>
      <w:marLeft w:val="0"/>
      <w:marRight w:val="0"/>
      <w:marTop w:val="0"/>
      <w:marBottom w:val="0"/>
      <w:divBdr>
        <w:top w:space="0" w:sz="0" w:color="auto" w:val="none"/>
        <w:left w:space="0" w:sz="0" w:color="auto" w:val="none"/>
        <w:bottom w:space="0" w:sz="0" w:color="auto" w:val="none"/>
        <w:right w:space="0" w:sz="0" w:color="auto" w:val="none"/>
      </w:divBdr>
    </w:div>
    <w:div w:id="435057016">
      <w:bodyDiv w:val="true"/>
      <w:marLeft w:val="0"/>
      <w:marRight w:val="0"/>
      <w:marTop w:val="0"/>
      <w:marBottom w:val="0"/>
      <w:divBdr>
        <w:top w:space="0" w:sz="0" w:color="auto" w:val="none"/>
        <w:left w:space="0" w:sz="0" w:color="auto" w:val="none"/>
        <w:bottom w:space="0" w:sz="0" w:color="auto" w:val="none"/>
        <w:right w:space="0" w:sz="0" w:color="auto" w:val="none"/>
      </w:divBdr>
    </w:div>
    <w:div w:id="512038222">
      <w:bodyDiv w:val="true"/>
      <w:marLeft w:val="0"/>
      <w:marRight w:val="0"/>
      <w:marTop w:val="0"/>
      <w:marBottom w:val="0"/>
      <w:divBdr>
        <w:top w:space="0" w:sz="0" w:color="auto" w:val="none"/>
        <w:left w:space="0" w:sz="0" w:color="auto" w:val="none"/>
        <w:bottom w:space="0" w:sz="0" w:color="auto" w:val="none"/>
        <w:right w:space="0" w:sz="0" w:color="auto" w:val="none"/>
      </w:divBdr>
    </w:div>
    <w:div w:id="580719127">
      <w:bodyDiv w:val="true"/>
      <w:marLeft w:val="0"/>
      <w:marRight w:val="0"/>
      <w:marTop w:val="0"/>
      <w:marBottom w:val="0"/>
      <w:divBdr>
        <w:top w:space="0" w:sz="0" w:color="auto" w:val="none"/>
        <w:left w:space="0" w:sz="0" w:color="auto" w:val="none"/>
        <w:bottom w:space="0" w:sz="0" w:color="auto" w:val="none"/>
        <w:right w:space="0" w:sz="0" w:color="auto" w:val="none"/>
      </w:divBdr>
    </w:div>
    <w:div w:id="614559281">
      <w:bodyDiv w:val="true"/>
      <w:marLeft w:val="0"/>
      <w:marRight w:val="0"/>
      <w:marTop w:val="0"/>
      <w:marBottom w:val="0"/>
      <w:divBdr>
        <w:top w:space="0" w:sz="0" w:color="auto" w:val="none"/>
        <w:left w:space="0" w:sz="0" w:color="auto" w:val="none"/>
        <w:bottom w:space="0" w:sz="0" w:color="auto" w:val="none"/>
        <w:right w:space="0" w:sz="0" w:color="auto" w:val="none"/>
      </w:divBdr>
    </w:div>
    <w:div w:id="778841442">
      <w:bodyDiv w:val="true"/>
      <w:marLeft w:val="0"/>
      <w:marRight w:val="0"/>
      <w:marTop w:val="0"/>
      <w:marBottom w:val="0"/>
      <w:divBdr>
        <w:top w:space="0" w:sz="0" w:color="auto" w:val="none"/>
        <w:left w:space="0" w:sz="0" w:color="auto" w:val="none"/>
        <w:bottom w:space="0" w:sz="0" w:color="auto" w:val="none"/>
        <w:right w:space="0" w:sz="0" w:color="auto" w:val="none"/>
      </w:divBdr>
    </w:div>
    <w:div w:id="793018221">
      <w:bodyDiv w:val="true"/>
      <w:marLeft w:val="0"/>
      <w:marRight w:val="0"/>
      <w:marTop w:val="0"/>
      <w:marBottom w:val="0"/>
      <w:divBdr>
        <w:top w:space="0" w:sz="0" w:color="auto" w:val="none"/>
        <w:left w:space="0" w:sz="0" w:color="auto" w:val="none"/>
        <w:bottom w:space="0" w:sz="0" w:color="auto" w:val="none"/>
        <w:right w:space="0" w:sz="0" w:color="auto" w:val="none"/>
      </w:divBdr>
    </w:div>
    <w:div w:id="814375766">
      <w:bodyDiv w:val="true"/>
      <w:marLeft w:val="0"/>
      <w:marRight w:val="0"/>
      <w:marTop w:val="0"/>
      <w:marBottom w:val="0"/>
      <w:divBdr>
        <w:top w:space="0" w:sz="0" w:color="auto" w:val="none"/>
        <w:left w:space="0" w:sz="0" w:color="auto" w:val="none"/>
        <w:bottom w:space="0" w:sz="0" w:color="auto" w:val="none"/>
        <w:right w:space="0" w:sz="0" w:color="auto" w:val="none"/>
      </w:divBdr>
    </w:div>
    <w:div w:id="873157798">
      <w:bodyDiv w:val="true"/>
      <w:marLeft w:val="0"/>
      <w:marRight w:val="0"/>
      <w:marTop w:val="0"/>
      <w:marBottom w:val="0"/>
      <w:divBdr>
        <w:top w:space="0" w:sz="0" w:color="auto" w:val="none"/>
        <w:left w:space="0" w:sz="0" w:color="auto" w:val="none"/>
        <w:bottom w:space="0" w:sz="0" w:color="auto" w:val="none"/>
        <w:right w:space="0" w:sz="0" w:color="auto" w:val="none"/>
      </w:divBdr>
    </w:div>
    <w:div w:id="1023556588">
      <w:bodyDiv w:val="true"/>
      <w:marLeft w:val="0"/>
      <w:marRight w:val="0"/>
      <w:marTop w:val="0"/>
      <w:marBottom w:val="0"/>
      <w:divBdr>
        <w:top w:space="0" w:sz="0" w:color="auto" w:val="none"/>
        <w:left w:space="0" w:sz="0" w:color="auto" w:val="none"/>
        <w:bottom w:space="0" w:sz="0" w:color="auto" w:val="none"/>
        <w:right w:space="0" w:sz="0" w:color="auto" w:val="none"/>
      </w:divBdr>
    </w:div>
    <w:div w:id="1124270735">
      <w:bodyDiv w:val="true"/>
      <w:marLeft w:val="0"/>
      <w:marRight w:val="0"/>
      <w:marTop w:val="0"/>
      <w:marBottom w:val="0"/>
      <w:divBdr>
        <w:top w:space="0" w:sz="0" w:color="auto" w:val="none"/>
        <w:left w:space="0" w:sz="0" w:color="auto" w:val="none"/>
        <w:bottom w:space="0" w:sz="0" w:color="auto" w:val="none"/>
        <w:right w:space="0" w:sz="0" w:color="auto" w:val="none"/>
      </w:divBdr>
    </w:div>
    <w:div w:id="1166750804">
      <w:bodyDiv w:val="true"/>
      <w:marLeft w:val="0"/>
      <w:marRight w:val="0"/>
      <w:marTop w:val="0"/>
      <w:marBottom w:val="0"/>
      <w:divBdr>
        <w:top w:space="0" w:sz="0" w:color="auto" w:val="none"/>
        <w:left w:space="0" w:sz="0" w:color="auto" w:val="none"/>
        <w:bottom w:space="0" w:sz="0" w:color="auto" w:val="none"/>
        <w:right w:space="0" w:sz="0" w:color="auto" w:val="none"/>
      </w:divBdr>
    </w:div>
    <w:div w:id="1215970887">
      <w:bodyDiv w:val="true"/>
      <w:marLeft w:val="0"/>
      <w:marRight w:val="0"/>
      <w:marTop w:val="0"/>
      <w:marBottom w:val="0"/>
      <w:divBdr>
        <w:top w:space="0" w:sz="0" w:color="auto" w:val="none"/>
        <w:left w:space="0" w:sz="0" w:color="auto" w:val="none"/>
        <w:bottom w:space="0" w:sz="0" w:color="auto" w:val="none"/>
        <w:right w:space="0" w:sz="0" w:color="auto" w:val="none"/>
      </w:divBdr>
    </w:div>
    <w:div w:id="1242061590">
      <w:bodyDiv w:val="true"/>
      <w:marLeft w:val="0"/>
      <w:marRight w:val="0"/>
      <w:marTop w:val="0"/>
      <w:marBottom w:val="0"/>
      <w:divBdr>
        <w:top w:space="0" w:sz="0" w:color="auto" w:val="none"/>
        <w:left w:space="0" w:sz="0" w:color="auto" w:val="none"/>
        <w:bottom w:space="0" w:sz="0" w:color="auto" w:val="none"/>
        <w:right w:space="0" w:sz="0" w:color="auto" w:val="none"/>
      </w:divBdr>
    </w:div>
    <w:div w:id="1242637972">
      <w:bodyDiv w:val="true"/>
      <w:marLeft w:val="0"/>
      <w:marRight w:val="0"/>
      <w:marTop w:val="0"/>
      <w:marBottom w:val="0"/>
      <w:divBdr>
        <w:top w:space="0" w:sz="0" w:color="auto" w:val="none"/>
        <w:left w:space="0" w:sz="0" w:color="auto" w:val="none"/>
        <w:bottom w:space="0" w:sz="0" w:color="auto" w:val="none"/>
        <w:right w:space="0" w:sz="0" w:color="auto" w:val="none"/>
      </w:divBdr>
    </w:div>
    <w:div w:id="1340426755">
      <w:bodyDiv w:val="true"/>
      <w:marLeft w:val="0"/>
      <w:marRight w:val="0"/>
      <w:marTop w:val="0"/>
      <w:marBottom w:val="0"/>
      <w:divBdr>
        <w:top w:space="0" w:sz="0" w:color="auto" w:val="none"/>
        <w:left w:space="0" w:sz="0" w:color="auto" w:val="none"/>
        <w:bottom w:space="0" w:sz="0" w:color="auto" w:val="none"/>
        <w:right w:space="0" w:sz="0" w:color="auto" w:val="none"/>
      </w:divBdr>
    </w:div>
    <w:div w:id="1581021067">
      <w:bodyDiv w:val="true"/>
      <w:marLeft w:val="0"/>
      <w:marRight w:val="0"/>
      <w:marTop w:val="0"/>
      <w:marBottom w:val="0"/>
      <w:divBdr>
        <w:top w:space="0" w:sz="0" w:color="auto" w:val="none"/>
        <w:left w:space="0" w:sz="0" w:color="auto" w:val="none"/>
        <w:bottom w:space="0" w:sz="0" w:color="auto" w:val="none"/>
        <w:right w:space="0" w:sz="0" w:color="auto" w:val="none"/>
      </w:divBdr>
    </w:div>
    <w:div w:id="1604918204">
      <w:bodyDiv w:val="true"/>
      <w:marLeft w:val="0"/>
      <w:marRight w:val="0"/>
      <w:marTop w:val="0"/>
      <w:marBottom w:val="0"/>
      <w:divBdr>
        <w:top w:space="0" w:sz="0" w:color="auto" w:val="none"/>
        <w:left w:space="0" w:sz="0" w:color="auto" w:val="none"/>
        <w:bottom w:space="0" w:sz="0" w:color="auto" w:val="none"/>
        <w:right w:space="0" w:sz="0" w:color="auto" w:val="none"/>
      </w:divBdr>
    </w:div>
    <w:div w:id="1607344056">
      <w:bodyDiv w:val="true"/>
      <w:marLeft w:val="0"/>
      <w:marRight w:val="0"/>
      <w:marTop w:val="0"/>
      <w:marBottom w:val="0"/>
      <w:divBdr>
        <w:top w:space="0" w:sz="0" w:color="auto" w:val="none"/>
        <w:left w:space="0" w:sz="0" w:color="auto" w:val="none"/>
        <w:bottom w:space="0" w:sz="0" w:color="auto" w:val="none"/>
        <w:right w:space="0" w:sz="0" w:color="auto" w:val="none"/>
      </w:divBdr>
    </w:div>
    <w:div w:id="1648780389">
      <w:bodyDiv w:val="true"/>
      <w:marLeft w:val="0"/>
      <w:marRight w:val="0"/>
      <w:marTop w:val="0"/>
      <w:marBottom w:val="0"/>
      <w:divBdr>
        <w:top w:space="0" w:sz="0" w:color="auto" w:val="none"/>
        <w:left w:space="0" w:sz="0" w:color="auto" w:val="none"/>
        <w:bottom w:space="0" w:sz="0" w:color="auto" w:val="none"/>
        <w:right w:space="0" w:sz="0" w:color="auto" w:val="none"/>
      </w:divBdr>
    </w:div>
    <w:div w:id="1759596671">
      <w:bodyDiv w:val="true"/>
      <w:marLeft w:val="0"/>
      <w:marRight w:val="0"/>
      <w:marTop w:val="0"/>
      <w:marBottom w:val="0"/>
      <w:divBdr>
        <w:top w:space="0" w:sz="0" w:color="auto" w:val="none"/>
        <w:left w:space="0" w:sz="0" w:color="auto" w:val="none"/>
        <w:bottom w:space="0" w:sz="0" w:color="auto" w:val="none"/>
        <w:right w:space="0" w:sz="0" w:color="auto" w:val="none"/>
      </w:divBdr>
    </w:div>
    <w:div w:id="191577876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chart" Target="charts/chart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chart" Target="charts/chart2.xm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3.xml"/><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chart" Target="charts/chart6.xml"/><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png"/><Relationship Id="rId23" Type="http://schemas.openxmlformats.org/officeDocument/2006/relationships/chart" Target="charts/chart5.xml"/><Relationship Id="rId28" Type="http://schemas.openxmlformats.org/officeDocument/2006/relationships/chart" Target="charts/chart8.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chart" Target="charts/chart7.xml"/><Relationship Id="rId30" Type="http://schemas.openxmlformats.org/officeDocument/2006/relationships/header" Target="header4.xml"/></Relationships>
</file>

<file path=word/_rels/header1.xml.rels><?xml version="1.0" encoding="UTF-8" standalone="yes"?><Relationships xmlns="http://schemas.openxmlformats.org/package/2006/relationships"><Relationship Id="rId1" Type="http://schemas.openxmlformats.org/officeDocument/2006/relationships/image" Target="media/image1.jpeg"/></Relationships>
</file>

<file path=word/_rels/header2.xml.rels><?xml version="1.0" encoding="UTF-8" standalone="yes"?><Relationships xmlns="http://schemas.openxmlformats.org/package/2006/relationships"><Relationship Id="rId1" Type="http://schemas.openxmlformats.org/officeDocument/2006/relationships/image" Target="media/image1.jpeg"/></Relationships>
</file>

<file path=word/_rels/header3.xml.rels><?xml version="1.0" encoding="UTF-8" standalone="yes"?><Relationships xmlns="http://schemas.openxmlformats.org/package/2006/relationships"><Relationship Id="rId1" Type="http://schemas.openxmlformats.org/officeDocument/2006/relationships/image" Target="media/image1.jpeg"/></Relationships>
</file>

<file path=word/_rels/header4.xml.rels><?xml version="1.0" encoding="UTF-8" standalone="yes"?><Relationships xmlns="http://schemas.openxmlformats.org/package/2006/relationships"><Relationship Id="rId1"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Relationships xmlns="http://schemas.openxmlformats.org/package/2006/relationships"><Relationship Id="rId2" Type="http://schemas.openxmlformats.org/officeDocument/2006/relationships/oleObject" Target="file:///C:\Users\apaic\Documents\AP\Agrokor%20group\2016\Interno%20izvje&#353;tavanje\7.2018\Podloga%20za%20lenders%20prezentaciju%207.2018.xlsx" TargetMode="External"/><Relationship Id="rId1" Type="http://schemas.openxmlformats.org/officeDocument/2006/relationships/themeOverride" Target="../theme/themeOverride2.xml"/></Relationships>
</file>

<file path=word/charts/_rels/chart4.xml.rels><?xml version="1.0" encoding="UTF-8" standalone="yes"?><Relationships xmlns="http://schemas.openxmlformats.org/package/2006/relationships"><Relationship Id="rId2" Type="http://schemas.openxmlformats.org/officeDocument/2006/relationships/oleObject" Target="file:///C:\Users\apaic\Documents\AP\Agrokor%20group\2016\Interno%20izvje&#353;tavanje\7.2018\Podloga%20za%20lenders%20prezentaciju%207.2018.xlsx" TargetMode="External"/><Relationship Id="rId1" Type="http://schemas.openxmlformats.org/officeDocument/2006/relationships/themeOverride" Target="../theme/themeOverride3.xml"/></Relationships>
</file>

<file path=word/charts/_rels/chart5.xml.rels><?xml version="1.0" encoding="UTF-8" standalone="yes"?><Relationships xmlns="http://schemas.openxmlformats.org/package/2006/relationships"><Relationship Id="rId1" Type="http://schemas.openxmlformats.org/officeDocument/2006/relationships/oleObject" Target="file:///C:\Users\apaic\Documents\AP\Agrokor%20group\2016\Interno%20izvje&#353;tavanje\7.2018\Podloga%20za%20lenders%20prezentaciju%207.2018.xlsx" TargetMode="External"/></Relationships>
</file>

<file path=word/charts/_rels/chart6.xml.rels><?xml version="1.0" encoding="UTF-8" standalone="yes"?><Relationships xmlns="http://schemas.openxmlformats.org/package/2006/relationships"><Relationship Id="rId1" Type="http://schemas.openxmlformats.org/officeDocument/2006/relationships/oleObject" Target="file:///C:\Users\apaic\Documents\AP\Agrokor%20group\2016\Interno%20izvje&#353;tavanje\7.2018\Podloga%20za%20lenders%20prezentaciju%207.2018.xlsx" TargetMode="External"/></Relationships>
</file>

<file path=word/charts/_rels/chart7.xml.rels><?xml version="1.0" encoding="UTF-8" standalone="yes"?><Relationships xmlns="http://schemas.openxmlformats.org/package/2006/relationships"><Relationship Id="rId1" Type="http://schemas.openxmlformats.org/officeDocument/2006/relationships/package" Target="../embeddings/Microsoft_Excel_Worksheet3.xlsx"/></Relationships>
</file>

<file path=word/charts/_rels/chart8.xml.rels><?xml version="1.0" encoding="UTF-8" standalone="yes"?><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manualLayout>
          <c:layoutTarget val="inner"/>
          <c:xMode val="edge"/>
          <c:yMode val="edge"/>
          <c:x val="0.17697426161650745"/>
          <c:y val="0.0489886783953986"/>
          <c:w val="0.7655817331134004"/>
          <c:h val="0.8403789261441658"/>
        </c:manualLayout>
      </c:layout>
      <c:barChart>
        <c:barDir val="col"/>
        <c:grouping val="clustered"/>
        <c:varyColors val="false"/>
        <c:ser>
          <c:idx val="5"/>
          <c:order val="0"/>
          <c:spPr>
            <a:solidFill>
              <a:srgbClr val="CC0000"/>
            </a:solidFill>
            <a:ln>
              <a:solidFill>
                <a:schemeClr val="tx1">
                  <a:lumMod val="50000"/>
                  <a:lumOff val="50000"/>
                </a:schemeClr>
              </a:solidFill>
            </a:ln>
          </c:spPr>
          <c:invertIfNegative val="false"/>
          <c:dLbls>
            <c:dLbl>
              <c:idx val="0"/>
              <c:layout>
                <c:manualLayout>
                  <c:x val="-0.021080368906455864"/>
                  <c:y val="0.008830022075055188"/>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Group'!$E$7</c:f>
              <c:numCache>
                <c:formatCode>#,##0</c:formatCode>
                <c:ptCount val="1"/>
                <c:pt idx="0">
                  <c:v>1459.1120000000001</c:v>
                </c:pt>
              </c:numCache>
            </c:numRef>
          </c:val>
          <c:extLst>
            <c:ext uri="{C3380CC4-5D6E-409C-BE32-E72D297353CC}">
              <c16:uniqueId xmlns:c16="http://schemas.microsoft.com/office/drawing/2014/chart" xmlns:c16r2="http://schemas.microsoft.com/office/drawing/2015/06/chart" val="{00000001-125F-DA44-8BAA-F0D13E958737}"/>
            </c:ext>
          </c:extLst>
        </c:ser>
        <c:ser>
          <c:idx val="2"/>
          <c:order val="1"/>
          <c:spPr>
            <a:solidFill>
              <a:srgbClr val="CC0000"/>
            </a:solidFill>
            <a:ln>
              <a:solidFill>
                <a:schemeClr val="tx1">
                  <a:lumMod val="50000"/>
                  <a:lumOff val="50000"/>
                </a:schemeClr>
              </a:solidFill>
            </a:ln>
          </c:spPr>
          <c:invertIfNegative val="false"/>
          <c:dLbls>
            <c:dLbl>
              <c:idx val="0"/>
              <c:layout>
                <c:manualLayout>
                  <c:x val="-0.015810276679841896"/>
                  <c:y val="0.004415011037527594"/>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125F-DA44-8BAA-F0D13E958737}"/>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125F-DA44-8BAA-F0D13E958737}"/>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125F-DA44-8BAA-F0D13E958737}"/>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125F-DA44-8BAA-F0D13E958737}"/>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125F-DA44-8BAA-F0D13E958737}"/>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125F-DA44-8BAA-F0D13E958737}"/>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125F-DA44-8BAA-F0D13E958737}"/>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Group'!$F$7</c:f>
              <c:numCache>
                <c:formatCode>#,##0</c:formatCode>
                <c:ptCount val="1"/>
                <c:pt idx="0">
                  <c:v>2900.4680000000003</c:v>
                </c:pt>
              </c:numCache>
            </c:numRef>
          </c:val>
          <c:extLst>
            <c:ext uri="{C3380CC4-5D6E-409C-BE32-E72D297353CC}">
              <c16:uniqueId xmlns:c16="http://schemas.microsoft.com/office/drawing/2014/chart" xmlns:c16r2="http://schemas.microsoft.com/office/drawing/2015/06/chart" val="{0000000A-125F-DA44-8BAA-F0D13E958737}"/>
            </c:ext>
          </c:extLst>
        </c:ser>
        <c:ser>
          <c:idx val="0"/>
          <c:order val="2"/>
          <c:spPr>
            <a:solidFill>
              <a:srgbClr val="CC0000"/>
            </a:solidFill>
            <a:ln>
              <a:solidFill>
                <a:schemeClr val="tx1">
                  <a:lumMod val="50000"/>
                  <a:lumOff val="50000"/>
                </a:schemeClr>
              </a:solidFill>
            </a:ln>
          </c:spPr>
          <c:invertIfNegative val="false"/>
          <c:dLbls>
            <c:dLbl>
              <c:idx val="0"/>
              <c:layout>
                <c:manualLayout>
                  <c:x val="-0.015810276679841896"/>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B-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Group'!$G$7</c:f>
              <c:numCache>
                <c:formatCode>#,##0</c:formatCode>
                <c:ptCount val="1"/>
                <c:pt idx="0">
                  <c:v>4818.6039999999994</c:v>
                </c:pt>
              </c:numCache>
            </c:numRef>
          </c:val>
          <c:extLst>
            <c:ext uri="{C3380CC4-5D6E-409C-BE32-E72D297353CC}">
              <c16:uniqueId xmlns:c16="http://schemas.microsoft.com/office/drawing/2014/chart" xmlns:c16r2="http://schemas.microsoft.com/office/drawing/2015/06/chart" val="{0000000C-125F-DA44-8BAA-F0D13E958737}"/>
            </c:ext>
          </c:extLst>
        </c:ser>
        <c:ser>
          <c:idx val="3"/>
          <c:order val="3"/>
          <c:spPr>
            <a:solidFill>
              <a:srgbClr val="C00000"/>
            </a:solidFill>
            <a:ln>
              <a:solidFill>
                <a:schemeClr val="tx1">
                  <a:lumMod val="50000"/>
                  <a:lumOff val="50000"/>
                </a:schemeClr>
              </a:solidFill>
            </a:ln>
          </c:spPr>
          <c:invertIfNegative val="false"/>
          <c:dLbls>
            <c:dLbl>
              <c:idx val="0"/>
              <c:layout>
                <c:manualLayout>
                  <c:x val="-0.015810276679841896"/>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D-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Group'!$H$7</c:f>
              <c:numCache>
                <c:formatCode>#,##0</c:formatCode>
                <c:ptCount val="1"/>
                <c:pt idx="0">
                  <c:v>6604.7529999999997</c:v>
                </c:pt>
              </c:numCache>
            </c:numRef>
          </c:val>
          <c:extLst>
            <c:ext uri="{C3380CC4-5D6E-409C-BE32-E72D297353CC}">
              <c16:uniqueId xmlns:c16="http://schemas.microsoft.com/office/drawing/2014/chart" xmlns:c16r2="http://schemas.microsoft.com/office/drawing/2015/06/chart" val="{0000000E-125F-DA44-8BAA-F0D13E958737}"/>
            </c:ext>
          </c:extLst>
        </c:ser>
        <c:ser>
          <c:idx val="4"/>
          <c:order val="4"/>
          <c:spPr>
            <a:solidFill>
              <a:srgbClr val="C00000"/>
            </a:solidFill>
            <a:ln>
              <a:solidFill>
                <a:schemeClr val="bg1">
                  <a:lumMod val="65000"/>
                </a:schemeClr>
              </a:solidFill>
            </a:ln>
          </c:spPr>
          <c:invertIfNegative val="false"/>
          <c:dLbls>
            <c:dLbl>
              <c:idx val="0"/>
              <c:layout>
                <c:manualLayout>
                  <c:x val="-0.015810276679841896"/>
                  <c:y val="0.013245033112582781"/>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Group'!$I$7</c:f>
              <c:numCache>
                <c:formatCode>#,##0</c:formatCode>
                <c:ptCount val="1"/>
                <c:pt idx="0">
                  <c:v>8679.1530000000002</c:v>
                </c:pt>
              </c:numCache>
            </c:numRef>
          </c:val>
          <c:extLst>
            <c:ext uri="{C3380CC4-5D6E-409C-BE32-E72D297353CC}">
              <c16:uniqueId xmlns:c16="http://schemas.microsoft.com/office/drawing/2014/chart" xmlns:c16r2="http://schemas.microsoft.com/office/drawing/2015/06/chart" val="{00000010-125F-DA44-8BAA-F0D13E958737}"/>
            </c:ext>
          </c:extLst>
        </c:ser>
        <c:ser>
          <c:idx val="1"/>
          <c:order val="5"/>
          <c:spPr>
            <a:solidFill>
              <a:srgbClr val="CC0000"/>
            </a:solidFill>
            <a:ln>
              <a:solidFill>
                <a:schemeClr val="bg1">
                  <a:lumMod val="65000"/>
                </a:schemeClr>
              </a:solidFill>
            </a:ln>
          </c:spPr>
          <c:invertIfNegative val="false"/>
          <c:dLbls>
            <c:dLbl>
              <c:idx val="0"/>
              <c:layout>
                <c:manualLayout>
                  <c:x val="-0.021080368906455864"/>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1-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Group'!$J$7</c:f>
              <c:numCache>
                <c:formatCode>#,##0</c:formatCode>
                <c:ptCount val="1"/>
                <c:pt idx="0">
                  <c:v>10950.600999999999</c:v>
                </c:pt>
              </c:numCache>
            </c:numRef>
          </c:val>
          <c:extLst>
            <c:ext uri="{C3380CC4-5D6E-409C-BE32-E72D297353CC}">
              <c16:uniqueId xmlns:c16="http://schemas.microsoft.com/office/drawing/2014/chart" xmlns:c16r2="http://schemas.microsoft.com/office/drawing/2015/06/chart" val="{00000012-125F-DA44-8BAA-F0D13E958737}"/>
            </c:ext>
          </c:extLst>
        </c:ser>
        <c:ser>
          <c:idx val="7"/>
          <c:order val="6"/>
          <c:spPr>
            <a:solidFill>
              <a:srgbClr val="C00000"/>
            </a:solidFill>
            <a:ln>
              <a:solidFill>
                <a:schemeClr val="bg1">
                  <a:lumMod val="65000"/>
                </a:schemeClr>
              </a:solidFill>
            </a:ln>
          </c:spPr>
          <c:invertIfNegative val="false"/>
          <c:dLbls>
            <c:dLbl>
              <c:idx val="0"/>
              <c:layout>
                <c:manualLayout>
                  <c:x val="-0.03689064558629766"/>
                  <c:y val="0.004415011037527594"/>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3-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Group'!$K$7</c:f>
              <c:numCache>
                <c:formatCode>#,##0</c:formatCode>
                <c:ptCount val="1"/>
                <c:pt idx="0">
                  <c:v>13459.337</c:v>
                </c:pt>
              </c:numCache>
            </c:numRef>
          </c:val>
          <c:extLst>
            <c:ext uri="{C3380CC4-5D6E-409C-BE32-E72D297353CC}">
              <c16:uniqueId xmlns:c16="http://schemas.microsoft.com/office/drawing/2014/chart" xmlns:c16r2="http://schemas.microsoft.com/office/drawing/2015/06/chart" val="{00000014-125F-DA44-8BAA-F0D13E958737}"/>
            </c:ext>
          </c:extLst>
        </c:ser>
        <c:ser>
          <c:idx val="6"/>
          <c:order val="7"/>
          <c:spPr>
            <a:solidFill>
              <a:srgbClr val="002060"/>
            </a:solidFill>
            <a:ln>
              <a:solidFill>
                <a:schemeClr val="bg1">
                  <a:lumMod val="65000"/>
                </a:schemeClr>
              </a:solidFill>
            </a:ln>
          </c:spPr>
          <c:invertIfNegative val="false"/>
          <c:dLbls>
            <c:dLbl>
              <c:idx val="0"/>
              <c:layout>
                <c:manualLayout>
                  <c:x val="0.03065134099616858"/>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5-125F-DA44-8BAA-F0D13E958737}"/>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Group'!$D$7</c:f>
              <c:strCache>
                <c:ptCount val="1"/>
                <c:pt idx="0">
                  <c:v>Revenue</c:v>
                </c:pt>
              </c:strCache>
            </c:strRef>
          </c:cat>
          <c:val>
            <c:numRef>
              <c:f>'Graf-sumarni Group'!$L$7</c:f>
              <c:numCache>
                <c:formatCode>#,##0</c:formatCode>
                <c:ptCount val="1"/>
                <c:pt idx="0">
                  <c:v>14243.656000000003</c:v>
                </c:pt>
              </c:numCache>
            </c:numRef>
          </c:val>
          <c:extLst>
            <c:ext uri="{C3380CC4-5D6E-409C-BE32-E72D297353CC}">
              <c16:uniqueId xmlns:c16="http://schemas.microsoft.com/office/drawing/2014/chart" xmlns:c16r2="http://schemas.microsoft.com/office/drawing/2015/06/chart" val="{00000016-125F-DA44-8BAA-F0D13E958737}"/>
            </c:ext>
          </c:extLst>
        </c:ser>
        <c:dLbls>
          <c:showLegendKey val="false"/>
          <c:showVal val="false"/>
          <c:showCatName val="false"/>
          <c:showSerName val="false"/>
          <c:showPercent val="false"/>
          <c:showBubbleSize val="false"/>
        </c:dLbls>
        <c:gapWidth val="150"/>
        <c:axId val="35454336"/>
        <c:axId val="70210688"/>
      </c:barChart>
      <c:catAx>
        <c:axId val="35454336"/>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70210688"/>
        <c:crosses val="autoZero"/>
        <c:auto val="true"/>
        <c:lblAlgn val="ctr"/>
        <c:lblOffset val="100"/>
        <c:noMultiLvlLbl val="false"/>
      </c:catAx>
      <c:valAx>
        <c:axId val="70210688"/>
        <c:scaling>
          <c:orientation val="minMax"/>
          <c:max val="16000.0"/>
          <c:min val="0.0"/>
        </c:scaling>
        <c:delete val="false"/>
        <c:axPos val="l"/>
        <c:majorGridlines>
          <c:spPr>
            <a:ln>
              <a:noFill/>
            </a:ln>
          </c:spPr>
        </c:majorGridlines>
        <c:numFmt sourceLinked="true" formatCode="#,##0"/>
        <c:majorTickMark val="out"/>
        <c:minorTickMark val="none"/>
        <c:tickLblPos val="nextTo"/>
        <c:crossAx val="3545433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2">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Group'!$E$8</c:f>
              <c:numCache>
                <c:formatCode>0.0</c:formatCode>
                <c:ptCount val="1"/>
                <c:pt idx="0">
                  <c:v>10.150999999999998</c:v>
                </c:pt>
              </c:numCache>
            </c:numRef>
          </c:val>
          <c:extLst>
            <c:ext uri="{C3380CC4-5D6E-409C-BE32-E72D297353CC}">
              <c16:uniqueId xmlns:c16="http://schemas.microsoft.com/office/drawing/2014/chart" xmlns:c16r2="http://schemas.microsoft.com/office/drawing/2015/06/chart" val="{00000000-3672-5947-8E96-3473B04C187F}"/>
            </c:ext>
          </c:extLst>
        </c:ser>
        <c:ser>
          <c:idx val="2"/>
          <c:order val="1"/>
          <c:spPr>
            <a:solidFill>
              <a:srgbClr val="CC0000"/>
            </a:solidFill>
            <a:ln>
              <a:solidFill>
                <a:schemeClr val="tx1">
                  <a:lumMod val="50000"/>
                  <a:lumOff val="50000"/>
                </a:schemeClr>
              </a:solidFill>
            </a:ln>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3672-5947-8E96-3473B04C187F}"/>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3672-5947-8E96-3473B04C187F}"/>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3672-5947-8E96-3473B04C187F}"/>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3672-5947-8E96-3473B04C187F}"/>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3672-5947-8E96-3473B04C187F}"/>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3672-5947-8E96-3473B04C187F}"/>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3672-5947-8E96-3473B04C187F}"/>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Group'!$F$8</c:f>
              <c:numCache>
                <c:formatCode>0.0</c:formatCode>
                <c:ptCount val="1"/>
                <c:pt idx="0">
                  <c:v>20.748000000000001</c:v>
                </c:pt>
              </c:numCache>
            </c:numRef>
          </c:val>
          <c:extLst>
            <c:ext uri="{C3380CC4-5D6E-409C-BE32-E72D297353CC}">
              <c16:uniqueId xmlns:c16="http://schemas.microsoft.com/office/drawing/2014/chart" xmlns:c16r2="http://schemas.microsoft.com/office/drawing/2015/06/chart" val="{00000008-3672-5947-8E96-3473B04C187F}"/>
            </c:ext>
          </c:extLst>
        </c:ser>
        <c:ser>
          <c:idx val="0"/>
          <c:order val="2"/>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Group'!$G$8</c:f>
              <c:numCache>
                <c:formatCode>0.0</c:formatCode>
                <c:ptCount val="1"/>
                <c:pt idx="0">
                  <c:v>167.25199999999998</c:v>
                </c:pt>
              </c:numCache>
            </c:numRef>
          </c:val>
          <c:extLst>
            <c:ext uri="{C3380CC4-5D6E-409C-BE32-E72D297353CC}">
              <c16:uniqueId xmlns:c16="http://schemas.microsoft.com/office/drawing/2014/chart" xmlns:c16r2="http://schemas.microsoft.com/office/drawing/2015/06/chart" val="{00000009-3672-5947-8E96-3473B04C187F}"/>
            </c:ext>
          </c:extLst>
        </c:ser>
        <c:ser>
          <c:idx val="3"/>
          <c:order val="3"/>
          <c:spPr>
            <a:solidFill>
              <a:srgbClr val="C0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Group'!$H$8</c:f>
              <c:numCache>
                <c:formatCode>0.0</c:formatCode>
                <c:ptCount val="1"/>
                <c:pt idx="0">
                  <c:v>274.56200000000001</c:v>
                </c:pt>
              </c:numCache>
            </c:numRef>
          </c:val>
          <c:extLst>
            <c:ext uri="{C3380CC4-5D6E-409C-BE32-E72D297353CC}">
              <c16:uniqueId xmlns:c16="http://schemas.microsoft.com/office/drawing/2014/chart" xmlns:c16r2="http://schemas.microsoft.com/office/drawing/2015/06/chart" val="{0000000A-3672-5947-8E96-3473B04C187F}"/>
            </c:ext>
          </c:extLst>
        </c:ser>
        <c:ser>
          <c:idx val="4"/>
          <c:order val="4"/>
          <c:spPr>
            <a:solidFill>
              <a:srgbClr val="C00000"/>
            </a:solidFill>
            <a:ln>
              <a:solidFill>
                <a:schemeClr val="bg1">
                  <a:lumMod val="65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Group'!$I$8</c:f>
              <c:numCache>
                <c:formatCode>#,##0.0</c:formatCode>
                <c:ptCount val="1"/>
                <c:pt idx="0">
                  <c:v>449.38300000000004</c:v>
                </c:pt>
              </c:numCache>
            </c:numRef>
          </c:val>
          <c:extLst>
            <c:ext uri="{C3380CC4-5D6E-409C-BE32-E72D297353CC}">
              <c16:uniqueId xmlns:c16="http://schemas.microsoft.com/office/drawing/2014/chart" xmlns:c16r2="http://schemas.microsoft.com/office/drawing/2015/06/chart" val="{0000000B-3672-5947-8E96-3473B04C187F}"/>
            </c:ext>
          </c:extLst>
        </c:ser>
        <c:ser>
          <c:idx val="1"/>
          <c:order val="5"/>
          <c:spPr>
            <a:solidFill>
              <a:srgbClr val="CC0000"/>
            </a:solidFill>
            <a:ln>
              <a:solidFill>
                <a:schemeClr val="bg1">
                  <a:lumMod val="65000"/>
                </a:schemeClr>
              </a:solidFill>
            </a:ln>
          </c:spPr>
          <c:invertIfNegative val="false"/>
          <c:dLbls>
            <c:dLbl>
              <c:idx val="0"/>
              <c:layout>
                <c:manualLayout>
                  <c:x val="0.016"/>
                  <c:y val="0.008859357696566999"/>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C-3672-5947-8E96-3473B04C187F}"/>
                </c:ext>
              </c:extLst>
            </c:dLbl>
            <c:spPr>
              <a:noFill/>
              <a:ln>
                <a:noFill/>
              </a:ln>
              <a:effectLst/>
            </c:spPr>
            <c:showLegendKey val="false"/>
            <c:showVal val="false"/>
            <c:showCatName val="false"/>
            <c:showSerName val="false"/>
            <c:showPercent val="false"/>
            <c:showBubbleSize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Group'!$J$8</c:f>
              <c:numCache>
                <c:formatCode>#,##0.0</c:formatCode>
                <c:ptCount val="1"/>
                <c:pt idx="0">
                  <c:v>729.65600000000006</c:v>
                </c:pt>
              </c:numCache>
            </c:numRef>
          </c:val>
          <c:extLst>
            <c:ext uri="{C3380CC4-5D6E-409C-BE32-E72D297353CC}">
              <c16:uniqueId xmlns:c16="http://schemas.microsoft.com/office/drawing/2014/chart" xmlns:c16r2="http://schemas.microsoft.com/office/drawing/2015/06/chart" val="{0000000D-3672-5947-8E96-3473B04C187F}"/>
            </c:ext>
          </c:extLst>
        </c:ser>
        <c:ser>
          <c:idx val="7"/>
          <c:order val="6"/>
          <c:spPr>
            <a:solidFill>
              <a:srgbClr val="C00000"/>
            </a:solidFill>
            <a:ln>
              <a:solidFill>
                <a:schemeClr val="bg1">
                  <a:lumMod val="65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Group'!$K$8</c:f>
              <c:numCache>
                <c:formatCode>#,##0.0</c:formatCode>
                <c:ptCount val="1"/>
                <c:pt idx="0">
                  <c:v>1103.9639999999999</c:v>
                </c:pt>
              </c:numCache>
            </c:numRef>
          </c:val>
          <c:extLst>
            <c:ext uri="{C3380CC4-5D6E-409C-BE32-E72D297353CC}">
              <c16:uniqueId xmlns:c16="http://schemas.microsoft.com/office/drawing/2014/chart" xmlns:c16r2="http://schemas.microsoft.com/office/drawing/2015/06/chart" val="{0000000E-3672-5947-8E96-3473B04C187F}"/>
            </c:ext>
          </c:extLst>
        </c:ser>
        <c:ser>
          <c:idx val="6"/>
          <c:order val="7"/>
          <c:spPr>
            <a:solidFill>
              <a:srgbClr val="002060"/>
            </a:solidFill>
            <a:ln>
              <a:solidFill>
                <a:schemeClr val="bg1">
                  <a:lumMod val="65000"/>
                </a:schemeClr>
              </a:solidFill>
            </a:ln>
          </c:spPr>
          <c:invertIfNegative val="false"/>
          <c:dLbls>
            <c:dLbl>
              <c:idx val="0"/>
              <c:layout>
                <c:manualLayout>
                  <c:x val="0.025839793281653745"/>
                  <c:y val="0.01384083044982699"/>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3672-5947-8E96-3473B04C187F}"/>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Group'!$D$8</c:f>
              <c:strCache>
                <c:ptCount val="1"/>
                <c:pt idx="0">
                  <c:v>EBITDA</c:v>
                </c:pt>
              </c:strCache>
            </c:strRef>
          </c:cat>
          <c:val>
            <c:numRef>
              <c:f>'Graf-sumarni Group'!$L$8</c:f>
              <c:numCache>
                <c:formatCode>#,##0.0</c:formatCode>
                <c:ptCount val="1"/>
                <c:pt idx="0">
                  <c:v>1083.261</c:v>
                </c:pt>
              </c:numCache>
            </c:numRef>
          </c:val>
          <c:extLst>
            <c:ext uri="{C3380CC4-5D6E-409C-BE32-E72D297353CC}">
              <c16:uniqueId xmlns:c16="http://schemas.microsoft.com/office/drawing/2014/chart" xmlns:c16r2="http://schemas.microsoft.com/office/drawing/2015/06/chart" val="{00000010-3672-5947-8E96-3473B04C187F}"/>
            </c:ext>
          </c:extLst>
        </c:ser>
        <c:dLbls>
          <c:showLegendKey val="false"/>
          <c:showVal val="false"/>
          <c:showCatName val="false"/>
          <c:showSerName val="false"/>
          <c:showPercent val="false"/>
          <c:showBubbleSize val="false"/>
        </c:dLbls>
        <c:gapWidth val="150"/>
        <c:axId val="70352896"/>
        <c:axId val="70354432"/>
      </c:barChart>
      <c:catAx>
        <c:axId val="70352896"/>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70354432"/>
        <c:crosses val="autoZero"/>
        <c:auto val="true"/>
        <c:lblAlgn val="ctr"/>
        <c:lblOffset val="100"/>
        <c:noMultiLvlLbl val="false"/>
      </c:catAx>
      <c:valAx>
        <c:axId val="70354432"/>
        <c:scaling>
          <c:orientation val="minMax"/>
          <c:max val="1200.0"/>
          <c:min val="0.0"/>
        </c:scaling>
        <c:delete val="false"/>
        <c:axPos val="l"/>
        <c:majorGridlines>
          <c:spPr>
            <a:ln>
              <a:noFill/>
            </a:ln>
          </c:spPr>
        </c:majorGridlines>
        <c:numFmt sourceLinked="true" formatCode="0.0"/>
        <c:majorTickMark val="out"/>
        <c:minorTickMark val="none"/>
        <c:tickLblPos val="nextTo"/>
        <c:crossAx val="70352896"/>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C00000"/>
            </a:solidFill>
            <a:ln>
              <a:solidFill>
                <a:schemeClr val="tx1">
                  <a:lumMod val="50000"/>
                  <a:lumOff val="50000"/>
                </a:schemeClr>
              </a:solidFill>
            </a:ln>
          </c:spPr>
          <c:invertIfNegative val="false"/>
          <c:dLbls>
            <c:dLbl>
              <c:idx val="0"/>
              <c:layout>
                <c:manualLayout>
                  <c:x val="-0.005505452565540921"/>
                  <c:y val="0.01996427652094981"/>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R&amp;W'!$C$7</c:f>
              <c:numCache>
                <c:formatCode>#,##0</c:formatCode>
                <c:ptCount val="1"/>
                <c:pt idx="0">
                  <c:v>896</c:v>
                </c:pt>
              </c:numCache>
            </c:numRef>
          </c:val>
          <c:extLst>
            <c:ext uri="{C3380CC4-5D6E-409C-BE32-E72D297353CC}">
              <c16:uniqueId xmlns:c16="http://schemas.microsoft.com/office/drawing/2014/chart" xmlns:c16r2="http://schemas.microsoft.com/office/drawing/2015/06/chart" val="{00000001-F239-EB45-A033-92B371F8C6C8}"/>
            </c:ext>
          </c:extLst>
        </c:ser>
        <c:ser>
          <c:idx val="2"/>
          <c:order val="1"/>
          <c:spPr>
            <a:solidFill>
              <a:srgbClr val="CC0000"/>
            </a:solidFill>
            <a:ln>
              <a:solidFill>
                <a:schemeClr val="tx1">
                  <a:lumMod val="50000"/>
                  <a:lumOff val="50000"/>
                </a:schemeClr>
              </a:solidFill>
            </a:ln>
          </c:spPr>
          <c:invertIfNegative val="false"/>
          <c:dLbls>
            <c:dLbl>
              <c:idx val="0"/>
              <c:layout>
                <c:manualLayout>
                  <c:x val="-0.022021810262163582"/>
                  <c:y val="0.009982138260474858"/>
                </c:manualLayout>
              </c:layout>
              <c:tx>
                <c:rich>
                  <a:bodyPr/>
                  <a:lstStyle/>
                  <a:p>
                    <a:r>
                      <a:rPr dirty="false" lang="en-US"/>
                      <a:t>1,777</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F239-EB45-A033-92B371F8C6C8}"/>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F239-EB45-A033-92B371F8C6C8}"/>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F239-EB45-A033-92B371F8C6C8}"/>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F239-EB45-A033-92B371F8C6C8}"/>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F239-EB45-A033-92B371F8C6C8}"/>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F239-EB45-A033-92B371F8C6C8}"/>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F239-EB45-A033-92B371F8C6C8}"/>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R&amp;W'!$D$7</c:f>
              <c:numCache>
                <c:formatCode>#,##0</c:formatCode>
                <c:ptCount val="1"/>
                <c:pt idx="0">
                  <c:v>1777.01</c:v>
                </c:pt>
              </c:numCache>
            </c:numRef>
          </c:val>
          <c:extLst>
            <c:ext uri="{C3380CC4-5D6E-409C-BE32-E72D297353CC}">
              <c16:uniqueId xmlns:c16="http://schemas.microsoft.com/office/drawing/2014/chart" xmlns:c16r2="http://schemas.microsoft.com/office/drawing/2015/06/chart" val="{0000000A-F239-EB45-A033-92B371F8C6C8}"/>
            </c:ext>
          </c:extLst>
        </c:ser>
        <c:ser>
          <c:idx val="0"/>
          <c:order val="2"/>
          <c:spPr>
            <a:solidFill>
              <a:srgbClr val="C00000"/>
            </a:solidFill>
            <a:ln>
              <a:solidFill>
                <a:schemeClr val="tx1">
                  <a:lumMod val="50000"/>
                  <a:lumOff val="50000"/>
                </a:schemeClr>
              </a:solidFill>
            </a:ln>
          </c:spPr>
          <c:invertIfNegative val="false"/>
          <c:dLbls>
            <c:dLbl>
              <c:idx val="0"/>
              <c:layout>
                <c:manualLayout>
                  <c:x val="-0.011010905131081791"/>
                  <c:y val="0.014973207390712288"/>
                </c:manualLayout>
              </c:layout>
              <c:tx>
                <c:rich>
                  <a:bodyPr/>
                  <a:lstStyle/>
                  <a:p>
                    <a:r>
                      <a:rPr dirty="false" lang="en-US"/>
                      <a:t>2,866</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B-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R&amp;W'!$E$7</c:f>
              <c:numCache>
                <c:formatCode>#,##0</c:formatCode>
                <c:ptCount val="1"/>
                <c:pt idx="0">
                  <c:v>2866.4059999999999</c:v>
                </c:pt>
              </c:numCache>
            </c:numRef>
          </c:val>
          <c:extLst>
            <c:ext uri="{C3380CC4-5D6E-409C-BE32-E72D297353CC}">
              <c16:uniqueId xmlns:c16="http://schemas.microsoft.com/office/drawing/2014/chart" xmlns:c16r2="http://schemas.microsoft.com/office/drawing/2015/06/chart" val="{0000000C-F239-EB45-A033-92B371F8C6C8}"/>
            </c:ext>
          </c:extLst>
        </c:ser>
        <c:ser>
          <c:idx val="3"/>
          <c:order val="3"/>
          <c:spPr>
            <a:solidFill>
              <a:srgbClr val="CC0000"/>
            </a:solidFill>
            <a:ln>
              <a:solidFill>
                <a:schemeClr val="bg1">
                  <a:lumMod val="50000"/>
                </a:schemeClr>
              </a:solidFill>
            </a:ln>
          </c:spPr>
          <c:invertIfNegative val="false"/>
          <c:dLbls>
            <c:dLbl>
              <c:idx val="0"/>
              <c:layout>
                <c:manualLayout>
                  <c:x val="-0.016516357696622637"/>
                  <c:y val="0.004991069130237429"/>
                </c:manualLayout>
              </c:layout>
              <c:tx>
                <c:rich>
                  <a:bodyPr/>
                  <a:lstStyle/>
                  <a:p>
                    <a:r>
                      <a:rPr dirty="false" lang="en-US"/>
                      <a:t>3,822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D-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R&amp;W'!$F$7</c:f>
              <c:numCache>
                <c:formatCode>#,##0</c:formatCode>
                <c:ptCount val="1"/>
                <c:pt idx="0">
                  <c:v>3821.846</c:v>
                </c:pt>
              </c:numCache>
            </c:numRef>
          </c:val>
          <c:extLst>
            <c:ext uri="{C3380CC4-5D6E-409C-BE32-E72D297353CC}">
              <c16:uniqueId xmlns:c16="http://schemas.microsoft.com/office/drawing/2014/chart" xmlns:c16r2="http://schemas.microsoft.com/office/drawing/2015/06/chart" val="{0000000E-F239-EB45-A033-92B371F8C6C8}"/>
            </c:ext>
          </c:extLst>
        </c:ser>
        <c:ser>
          <c:idx val="4"/>
          <c:order val="4"/>
          <c:spPr>
            <a:solidFill>
              <a:srgbClr val="CC0000"/>
            </a:solidFill>
            <a:ln>
              <a:solidFill>
                <a:schemeClr val="bg1">
                  <a:lumMod val="65000"/>
                </a:schemeClr>
              </a:solidFill>
            </a:ln>
          </c:spPr>
          <c:invertIfNegative val="false"/>
          <c:dLbls>
            <c:dLbl>
              <c:idx val="0"/>
              <c:layout>
                <c:manualLayout>
                  <c:x val="-0.011010905131081791"/>
                  <c:y val="0.004991069130237429"/>
                </c:manualLayout>
              </c:layout>
              <c:tx>
                <c:rich>
                  <a:bodyPr/>
                  <a:lstStyle/>
                  <a:p>
                    <a:r>
                      <a:rPr dirty="false" lang="en-US"/>
                      <a:t>4,932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R&amp;W'!$G$7</c:f>
              <c:numCache>
                <c:formatCode>#,##0</c:formatCode>
                <c:ptCount val="1"/>
                <c:pt idx="0">
                  <c:v>4932.2520000000004</c:v>
                </c:pt>
              </c:numCache>
            </c:numRef>
          </c:val>
          <c:extLst>
            <c:ext uri="{C3380CC4-5D6E-409C-BE32-E72D297353CC}">
              <c16:uniqueId xmlns:c16="http://schemas.microsoft.com/office/drawing/2014/chart" xmlns:c16r2="http://schemas.microsoft.com/office/drawing/2015/06/chart" val="{00000010-F239-EB45-A033-92B371F8C6C8}"/>
            </c:ext>
          </c:extLst>
        </c:ser>
        <c:ser>
          <c:idx val="1"/>
          <c:order val="5"/>
          <c:spPr>
            <a:solidFill>
              <a:srgbClr val="CC0000"/>
            </a:solidFill>
            <a:ln>
              <a:solidFill>
                <a:schemeClr val="bg1">
                  <a:lumMod val="50000"/>
                </a:schemeClr>
              </a:solidFill>
            </a:ln>
          </c:spPr>
          <c:invertIfNegative val="false"/>
          <c:dPt>
            <c:idx val="0"/>
            <c:invertIfNegative val="false"/>
            <c:bubble3D val="false"/>
            <c:spPr>
              <a:solidFill>
                <a:srgbClr val="CC0000"/>
              </a:solidFill>
              <a:ln>
                <a:solidFill>
                  <a:schemeClr val="bg1">
                    <a:lumMod val="65000"/>
                  </a:schemeClr>
                </a:solidFill>
              </a:ln>
            </c:spPr>
            <c:extLst>
              <c:ext uri="{C3380CC4-5D6E-409C-BE32-E72D297353CC}">
                <c16:uniqueId xmlns:c16="http://schemas.microsoft.com/office/drawing/2014/chart" xmlns:c16r2="http://schemas.microsoft.com/office/drawing/2015/06/chart" val="{00000012-F239-EB45-A033-92B371F8C6C8}"/>
              </c:ext>
            </c:extLst>
          </c:dPt>
          <c:dLbls>
            <c:dLbl>
              <c:idx val="0"/>
              <c:layout>
                <c:manualLayout>
                  <c:x val="-0.016516357696622685"/>
                  <c:y val="0.009982138260474881"/>
                </c:manualLayout>
              </c:layout>
              <c:tx>
                <c:rich>
                  <a:bodyPr/>
                  <a:lstStyle/>
                  <a:p>
                    <a:r>
                      <a:rPr dirty="false" lang="en-US"/>
                      <a:t>6,128</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2-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R&amp;W'!$H$7</c:f>
              <c:numCache>
                <c:formatCode>#,##0</c:formatCode>
                <c:ptCount val="1"/>
                <c:pt idx="0">
                  <c:v>6127.8090000000002</c:v>
                </c:pt>
              </c:numCache>
            </c:numRef>
          </c:val>
          <c:extLst>
            <c:ext uri="{C3380CC4-5D6E-409C-BE32-E72D297353CC}">
              <c16:uniqueId xmlns:c16="http://schemas.microsoft.com/office/drawing/2014/chart" xmlns:c16r2="http://schemas.microsoft.com/office/drawing/2015/06/chart" val="{00000013-F239-EB45-A033-92B371F8C6C8}"/>
            </c:ext>
          </c:extLst>
        </c:ser>
        <c:ser>
          <c:idx val="7"/>
          <c:order val="6"/>
          <c:spPr>
            <a:solidFill>
              <a:srgbClr val="C00000"/>
            </a:solidFill>
            <a:ln>
              <a:solidFill>
                <a:schemeClr val="bg1">
                  <a:lumMod val="75000"/>
                </a:schemeClr>
              </a:solidFill>
            </a:ln>
          </c:spPr>
          <c:invertIfNegative val="false"/>
          <c:dLbls>
            <c:dLbl>
              <c:idx val="0"/>
              <c:layout>
                <c:manualLayout>
                  <c:x val="-0.020961468768044444"/>
                  <c:y val="0.02805884745602849"/>
                </c:manualLayout>
              </c:layout>
              <c:tx>
                <c:rich>
                  <a:bodyPr/>
                  <a:lstStyle/>
                  <a:p>
                    <a:r>
                      <a:rPr dirty="false" lang="en-US"/>
                      <a:t>7,534</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4-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R&amp;W'!$I$7</c:f>
              <c:numCache>
                <c:formatCode>#,##0</c:formatCode>
                <c:ptCount val="1"/>
                <c:pt idx="0">
                  <c:v>7533.59</c:v>
                </c:pt>
              </c:numCache>
            </c:numRef>
          </c:val>
          <c:extLst>
            <c:ext uri="{C3380CC4-5D6E-409C-BE32-E72D297353CC}">
              <c16:uniqueId xmlns:c16="http://schemas.microsoft.com/office/drawing/2014/chart" xmlns:c16r2="http://schemas.microsoft.com/office/drawing/2015/06/chart" val="{00000015-F239-EB45-A033-92B371F8C6C8}"/>
            </c:ext>
          </c:extLst>
        </c:ser>
        <c:ser>
          <c:idx val="6"/>
          <c:order val="7"/>
          <c:spPr>
            <a:solidFill>
              <a:srgbClr val="002060"/>
            </a:solidFill>
            <a:ln>
              <a:solidFill>
                <a:schemeClr val="bg1">
                  <a:lumMod val="75000"/>
                </a:schemeClr>
              </a:solidFill>
            </a:ln>
          </c:spPr>
          <c:invertIfNegative val="false"/>
          <c:dLbls>
            <c:dLbl>
              <c:idx val="0"/>
              <c:tx>
                <c:rich>
                  <a:bodyPr/>
                  <a:lstStyle/>
                  <a:p>
                    <a:r>
                      <a:rPr lang="en-US"/>
                      <a:t>8,007</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6-F239-EB45-A033-92B371F8C6C8}"/>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R&amp;W'!$B$7</c:f>
              <c:strCache>
                <c:ptCount val="1"/>
                <c:pt idx="0">
                  <c:v>Revenue</c:v>
                </c:pt>
              </c:strCache>
            </c:strRef>
          </c:cat>
          <c:val>
            <c:numRef>
              <c:f>'Graf-sumarni R&amp;W'!$J$7</c:f>
              <c:numCache>
                <c:formatCode>#,##0</c:formatCode>
                <c:ptCount val="1"/>
                <c:pt idx="0">
                  <c:v>8007.1710000000012</c:v>
                </c:pt>
              </c:numCache>
            </c:numRef>
          </c:val>
          <c:extLst>
            <c:ext uri="{C3380CC4-5D6E-409C-BE32-E72D297353CC}">
              <c16:uniqueId xmlns:c16="http://schemas.microsoft.com/office/drawing/2014/chart" xmlns:c16r2="http://schemas.microsoft.com/office/drawing/2015/06/chart" val="{00000017-F239-EB45-A033-92B371F8C6C8}"/>
            </c:ext>
          </c:extLst>
        </c:ser>
        <c:dLbls>
          <c:showLegendKey val="false"/>
          <c:showVal val="false"/>
          <c:showCatName val="false"/>
          <c:showSerName val="false"/>
          <c:showPercent val="false"/>
          <c:showBubbleSize val="false"/>
        </c:dLbls>
        <c:gapWidth val="150"/>
        <c:axId val="72532352"/>
        <c:axId val="72533888"/>
      </c:barChart>
      <c:catAx>
        <c:axId val="72532352"/>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72533888"/>
        <c:crosses val="autoZero"/>
        <c:auto val="true"/>
        <c:lblAlgn val="ctr"/>
        <c:lblOffset val="100"/>
        <c:noMultiLvlLbl val="false"/>
      </c:catAx>
      <c:valAx>
        <c:axId val="72533888"/>
        <c:scaling>
          <c:orientation val="minMax"/>
          <c:max val="9000.0"/>
          <c:min val="0.0"/>
        </c:scaling>
        <c:delete val="false"/>
        <c:axPos val="l"/>
        <c:majorGridlines>
          <c:spPr>
            <a:ln>
              <a:noFill/>
            </a:ln>
          </c:spPr>
        </c:majorGridlines>
        <c:numFmt sourceLinked="true" formatCode="#,##0"/>
        <c:majorTickMark val="out"/>
        <c:minorTickMark val="none"/>
        <c:tickLblPos val="nextTo"/>
        <c:crossAx val="72532352"/>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2">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lrMapOvr folHlink="folHlink" hlink="hlink" accent6="accent6" accent5="accent5" accent4="accent4" accent3="accent3" accent2="accent2" accent1="accent1" tx2="dk2" bg2="lt2" tx1="dk1" bg1="lt1"/>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C00000"/>
            </a:solidFill>
            <a:ln>
              <a:solidFill>
                <a:schemeClr val="tx1">
                  <a:lumMod val="50000"/>
                  <a:lumOff val="50000"/>
                </a:schemeClr>
              </a:solidFill>
            </a:ln>
          </c:spPr>
          <c:invertIfNegative val="false"/>
          <c:dLbls>
            <c:dLbl>
              <c:idx val="0"/>
              <c:layout>
                <c:manualLayout>
                  <c:x val="-0.028467357803306247"/>
                  <c:y val="0.0050036995857568045"/>
                </c:manualLayout>
              </c:layout>
              <c:tx>
                <c:rich>
                  <a:bodyPr/>
                  <a:lstStyle/>
                  <a:p>
                    <a:r>
                      <a:rPr dirty="false" lang="en-US"/>
                      <a:t>-21.1</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R&amp;W'!$C$8</c:f>
              <c:numCache>
                <c:formatCode>0.0</c:formatCode>
                <c:ptCount val="1"/>
                <c:pt idx="0">
                  <c:v>-21.1</c:v>
                </c:pt>
              </c:numCache>
            </c:numRef>
          </c:val>
          <c:extLst>
            <c:ext uri="{C3380CC4-5D6E-409C-BE32-E72D297353CC}">
              <c16:uniqueId xmlns:c16="http://schemas.microsoft.com/office/drawing/2014/chart" xmlns:c16r2="http://schemas.microsoft.com/office/drawing/2015/06/chart" val="{00000001-5158-9B49-89DE-52989109EC49}"/>
            </c:ext>
          </c:extLst>
        </c:ser>
        <c:ser>
          <c:idx val="2"/>
          <c:order val="1"/>
          <c:spPr>
            <a:solidFill>
              <a:srgbClr val="CC0000"/>
            </a:solidFill>
            <a:ln>
              <a:solidFill>
                <a:schemeClr val="tx1">
                  <a:lumMod val="50000"/>
                  <a:lumOff val="50000"/>
                </a:schemeClr>
              </a:solidFill>
            </a:ln>
          </c:spPr>
          <c:invertIfNegative val="false"/>
          <c:dLbls>
            <c:dLbl>
              <c:idx val="0"/>
              <c:tx>
                <c:rich>
                  <a:bodyPr/>
                  <a:lstStyle/>
                  <a:p>
                    <a:r>
                      <a:rPr lang="en-US"/>
                      <a:t>-44.9</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5158-9B49-89DE-52989109EC49}"/>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5158-9B49-89DE-52989109EC49}"/>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5158-9B49-89DE-52989109EC49}"/>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5158-9B49-89DE-52989109EC49}"/>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5158-9B49-89DE-52989109EC49}"/>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5158-9B49-89DE-52989109EC49}"/>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5158-9B49-89DE-52989109EC49}"/>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R&amp;W'!$D$8</c:f>
              <c:numCache>
                <c:formatCode>0.0</c:formatCode>
                <c:ptCount val="1"/>
                <c:pt idx="0">
                  <c:v>-44.886000000000003</c:v>
                </c:pt>
              </c:numCache>
            </c:numRef>
          </c:val>
          <c:extLst>
            <c:ext uri="{C3380CC4-5D6E-409C-BE32-E72D297353CC}">
              <c16:uniqueId xmlns:c16="http://schemas.microsoft.com/office/drawing/2014/chart" xmlns:c16r2="http://schemas.microsoft.com/office/drawing/2015/06/chart" val="{0000000A-5158-9B49-89DE-52989109EC49}"/>
            </c:ext>
          </c:extLst>
        </c:ser>
        <c:ser>
          <c:idx val="0"/>
          <c:order val="2"/>
          <c:spPr>
            <a:solidFill>
              <a:srgbClr val="C00000"/>
            </a:solidFill>
            <a:ln>
              <a:solidFill>
                <a:schemeClr val="tx1">
                  <a:lumMod val="50000"/>
                  <a:lumOff val="50000"/>
                </a:schemeClr>
              </a:solidFill>
            </a:ln>
          </c:spPr>
          <c:invertIfNegative val="false"/>
          <c:dLbls>
            <c:dLbl>
              <c:idx val="0"/>
              <c:tx>
                <c:rich>
                  <a:bodyPr/>
                  <a:lstStyle/>
                  <a:p>
                    <a:r>
                      <a:rPr lang="en-US"/>
                      <a:t>-4.2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B-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R&amp;W'!$E$8</c:f>
              <c:numCache>
                <c:formatCode>0.0</c:formatCode>
                <c:ptCount val="1"/>
                <c:pt idx="0">
                  <c:v>-4.2160000000000002</c:v>
                </c:pt>
              </c:numCache>
            </c:numRef>
          </c:val>
          <c:extLst>
            <c:ext uri="{C3380CC4-5D6E-409C-BE32-E72D297353CC}">
              <c16:uniqueId xmlns:c16="http://schemas.microsoft.com/office/drawing/2014/chart" xmlns:c16r2="http://schemas.microsoft.com/office/drawing/2015/06/chart" val="{0000000C-5158-9B49-89DE-52989109EC49}"/>
            </c:ext>
          </c:extLst>
        </c:ser>
        <c:ser>
          <c:idx val="3"/>
          <c:order val="3"/>
          <c:spPr>
            <a:solidFill>
              <a:srgbClr val="C00000"/>
            </a:solidFill>
            <a:ln>
              <a:solidFill>
                <a:schemeClr val="bg1">
                  <a:lumMod val="50000"/>
                </a:schemeClr>
              </a:solidFill>
            </a:ln>
          </c:spPr>
          <c:invertIfNegative val="false"/>
          <c:dLbls>
            <c:dLbl>
              <c:idx val="0"/>
              <c:tx>
                <c:rich>
                  <a:bodyPr/>
                  <a:lstStyle/>
                  <a:p>
                    <a:r>
                      <a:rPr lang="en-US"/>
                      <a:t>-13.2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D-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R&amp;W'!$F$8</c:f>
              <c:numCache>
                <c:formatCode>0.0</c:formatCode>
                <c:ptCount val="1"/>
                <c:pt idx="0">
                  <c:v>-13.244</c:v>
                </c:pt>
              </c:numCache>
            </c:numRef>
          </c:val>
          <c:extLst>
            <c:ext uri="{C3380CC4-5D6E-409C-BE32-E72D297353CC}">
              <c16:uniqueId xmlns:c16="http://schemas.microsoft.com/office/drawing/2014/chart" xmlns:c16r2="http://schemas.microsoft.com/office/drawing/2015/06/chart" val="{0000000E-5158-9B49-89DE-52989109EC49}"/>
            </c:ext>
          </c:extLst>
        </c:ser>
        <c:ser>
          <c:idx val="4"/>
          <c:order val="4"/>
          <c:spPr>
            <a:solidFill>
              <a:srgbClr val="CC0000"/>
            </a:solidFill>
            <a:ln>
              <a:solidFill>
                <a:schemeClr val="bg1">
                  <a:lumMod val="50000"/>
                </a:schemeClr>
              </a:solidFill>
            </a:ln>
          </c:spPr>
          <c:invertIfNegative val="false"/>
          <c:dLbls>
            <c:dLbl>
              <c:idx val="0"/>
              <c:tx>
                <c:rich>
                  <a:bodyPr/>
                  <a:lstStyle/>
                  <a:p>
                    <a:r>
                      <a:rPr lang="en-US"/>
                      <a:t>3.3</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R&amp;W'!$G$8</c:f>
              <c:numCache>
                <c:formatCode>0.0</c:formatCode>
                <c:ptCount val="1"/>
                <c:pt idx="0">
                  <c:v>3.343</c:v>
                </c:pt>
              </c:numCache>
            </c:numRef>
          </c:val>
          <c:extLst>
            <c:ext uri="{C3380CC4-5D6E-409C-BE32-E72D297353CC}">
              <c16:uniqueId xmlns:c16="http://schemas.microsoft.com/office/drawing/2014/chart" xmlns:c16r2="http://schemas.microsoft.com/office/drawing/2015/06/chart" val="{00000010-5158-9B49-89DE-52989109EC49}"/>
            </c:ext>
          </c:extLst>
        </c:ser>
        <c:ser>
          <c:idx val="1"/>
          <c:order val="5"/>
          <c:spPr>
            <a:solidFill>
              <a:srgbClr val="CC0000"/>
            </a:solidFill>
            <a:ln>
              <a:solidFill>
                <a:schemeClr val="bg1">
                  <a:lumMod val="50000"/>
                </a:schemeClr>
              </a:solidFill>
            </a:ln>
          </c:spPr>
          <c:invertIfNegative val="false"/>
          <c:dLbls>
            <c:dLbl>
              <c:idx val="0"/>
              <c:layout>
                <c:manualLayout>
                  <c:x val="-0.0056934715606612495"/>
                  <c:y val="0.0050036995857567134"/>
                </c:manualLayout>
              </c:layout>
              <c:tx>
                <c:rich>
                  <a:bodyPr/>
                  <a:lstStyle/>
                  <a:p>
                    <a:r>
                      <a:rPr dirty="false" lang="en-US"/>
                      <a:t>70.2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1-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R&amp;W'!$H$8</c:f>
              <c:numCache>
                <c:formatCode>0.0</c:formatCode>
                <c:ptCount val="1"/>
                <c:pt idx="0">
                  <c:v>70.156999999999996</c:v>
                </c:pt>
              </c:numCache>
            </c:numRef>
          </c:val>
          <c:extLst>
            <c:ext uri="{C3380CC4-5D6E-409C-BE32-E72D297353CC}">
              <c16:uniqueId xmlns:c16="http://schemas.microsoft.com/office/drawing/2014/chart" xmlns:c16r2="http://schemas.microsoft.com/office/drawing/2015/06/chart" val="{00000012-5158-9B49-89DE-52989109EC49}"/>
            </c:ext>
          </c:extLst>
        </c:ser>
        <c:ser>
          <c:idx val="7"/>
          <c:order val="6"/>
          <c:spPr>
            <a:solidFill>
              <a:srgbClr val="C00000"/>
            </a:solidFill>
            <a:ln>
              <a:solidFill>
                <a:schemeClr val="bg1">
                  <a:lumMod val="75000"/>
                </a:schemeClr>
              </a:solidFill>
            </a:ln>
          </c:spPr>
          <c:invertIfNegative val="false"/>
          <c:dLbls>
            <c:dLbl>
              <c:idx val="0"/>
              <c:layout>
                <c:manualLayout>
                  <c:x val="0.0"/>
                  <c:y val="0.013888888888888888"/>
                </c:manualLayout>
              </c:layout>
              <c:tx>
                <c:rich>
                  <a:bodyPr/>
                  <a:lstStyle/>
                  <a:p>
                    <a:r>
                      <a:rPr dirty="false" lang="en-US"/>
                      <a:t>223.5</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3-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R&amp;W'!$I$8</c:f>
              <c:numCache>
                <c:formatCode>0.0</c:formatCode>
                <c:ptCount val="1"/>
                <c:pt idx="0">
                  <c:v>223.51100000000002</c:v>
                </c:pt>
              </c:numCache>
            </c:numRef>
          </c:val>
          <c:extLst>
            <c:ext uri="{C3380CC4-5D6E-409C-BE32-E72D297353CC}">
              <c16:uniqueId xmlns:c16="http://schemas.microsoft.com/office/drawing/2014/chart" xmlns:c16r2="http://schemas.microsoft.com/office/drawing/2015/06/chart" val="{00000014-5158-9B49-89DE-52989109EC49}"/>
            </c:ext>
          </c:extLst>
        </c:ser>
        <c:ser>
          <c:idx val="6"/>
          <c:order val="7"/>
          <c:spPr>
            <a:solidFill>
              <a:srgbClr val="002060"/>
            </a:solidFill>
            <a:ln>
              <a:solidFill>
                <a:schemeClr val="bg1">
                  <a:lumMod val="75000"/>
                </a:schemeClr>
              </a:solidFill>
            </a:ln>
          </c:spPr>
          <c:invertIfNegative val="false"/>
          <c:dLbls>
            <c:dLbl>
              <c:idx val="0"/>
              <c:layout>
                <c:manualLayout>
                  <c:x val="0.015372790161414296"/>
                  <c:y val="0.018518518518518517"/>
                </c:manualLayout>
              </c:layout>
              <c:tx>
                <c:rich>
                  <a:bodyPr/>
                  <a:lstStyle/>
                  <a:p>
                    <a:r>
                      <a:rPr dirty="false" lang="en-US"/>
                      <a:t>176.2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5-5158-9B49-89DE-52989109EC49}"/>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R&amp;W'!$B$8</c:f>
              <c:strCache>
                <c:ptCount val="1"/>
                <c:pt idx="0">
                  <c:v>EBITDA</c:v>
                </c:pt>
              </c:strCache>
            </c:strRef>
          </c:cat>
          <c:val>
            <c:numRef>
              <c:f>'Graf-sumarni R&amp;W'!$J$8</c:f>
              <c:numCache>
                <c:formatCode>0.0</c:formatCode>
                <c:ptCount val="1"/>
                <c:pt idx="0">
                  <c:v>176.166</c:v>
                </c:pt>
              </c:numCache>
            </c:numRef>
          </c:val>
          <c:extLst>
            <c:ext uri="{C3380CC4-5D6E-409C-BE32-E72D297353CC}">
              <c16:uniqueId xmlns:c16="http://schemas.microsoft.com/office/drawing/2014/chart" xmlns:c16r2="http://schemas.microsoft.com/office/drawing/2015/06/chart" val="{00000016-5158-9B49-89DE-52989109EC49}"/>
            </c:ext>
          </c:extLst>
        </c:ser>
        <c:dLbls>
          <c:showLegendKey val="false"/>
          <c:showVal val="false"/>
          <c:showCatName val="false"/>
          <c:showSerName val="false"/>
          <c:showPercent val="false"/>
          <c:showBubbleSize val="false"/>
        </c:dLbls>
        <c:gapWidth val="150"/>
        <c:axId val="72973312"/>
        <c:axId val="73007872"/>
      </c:barChart>
      <c:catAx>
        <c:axId val="72973312"/>
        <c:scaling>
          <c:orientation val="minMax"/>
        </c:scaling>
        <c:delete val="false"/>
        <c:axPos val="b"/>
        <c:numFmt sourceLinked="false" formatCode="General"/>
        <c:majorTickMark val="out"/>
        <c:minorTickMark val="none"/>
        <c:tickLblPos val="low"/>
        <c:txPr>
          <a:bodyPr/>
          <a:lstStyle/>
          <a:p>
            <a:pPr>
              <a:defRPr sz="1000"/>
            </a:pPr>
            <a:endParaRPr lang="sr-Latn-RS"/>
          </a:p>
        </c:txPr>
        <c:crossAx val="73007872"/>
        <c:crosses val="autoZero"/>
        <c:auto val="true"/>
        <c:lblAlgn val="ctr"/>
        <c:lblOffset val="100"/>
        <c:noMultiLvlLbl val="false"/>
      </c:catAx>
      <c:valAx>
        <c:axId val="73007872"/>
        <c:scaling>
          <c:orientation val="minMax"/>
          <c:max val="250.0"/>
          <c:min val="-50.0"/>
        </c:scaling>
        <c:delete val="false"/>
        <c:axPos val="l"/>
        <c:majorGridlines>
          <c:spPr>
            <a:ln>
              <a:noFill/>
            </a:ln>
          </c:spPr>
        </c:majorGridlines>
        <c:numFmt sourceLinked="true" formatCode="0.0"/>
        <c:majorTickMark val="out"/>
        <c:minorTickMark val="none"/>
        <c:tickLblPos val="nextTo"/>
        <c:crossAx val="72973312"/>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2">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97426161650745"/>
          <c:y val="0.0489886783953986"/>
          <c:w val="0.7655817331134004"/>
          <c:h val="0.8403789261441658"/>
        </c:manualLayout>
      </c:layout>
      <c:barChart>
        <c:barDir val="col"/>
        <c:grouping val="clustered"/>
        <c:varyColors val="false"/>
        <c:ser>
          <c:idx val="5"/>
          <c:order val="0"/>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Food'!$E$7</c:f>
              <c:numCache>
                <c:formatCode>0</c:formatCode>
                <c:ptCount val="1"/>
                <c:pt idx="0">
                  <c:v>425.66399999999999</c:v>
                </c:pt>
              </c:numCache>
            </c:numRef>
          </c:val>
          <c:extLst>
            <c:ext uri="{C3380CC4-5D6E-409C-BE32-E72D297353CC}">
              <c16:uniqueId xmlns:c16="http://schemas.microsoft.com/office/drawing/2014/chart" xmlns:c16r2="http://schemas.microsoft.com/office/drawing/2015/06/chart" val="{00000000-C3B1-024E-BBDA-574EAADD9C1D}"/>
            </c:ext>
          </c:extLst>
        </c:ser>
        <c:ser>
          <c:idx val="2"/>
          <c:order val="1"/>
          <c:spPr>
            <a:solidFill>
              <a:srgbClr val="CC0000"/>
            </a:solidFill>
            <a:ln>
              <a:solidFill>
                <a:schemeClr val="tx1">
                  <a:lumMod val="50000"/>
                  <a:lumOff val="50000"/>
                </a:schemeClr>
              </a:solidFill>
            </a:ln>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C3B1-024E-BBDA-574EAADD9C1D}"/>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C3B1-024E-BBDA-574EAADD9C1D}"/>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C3B1-024E-BBDA-574EAADD9C1D}"/>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C3B1-024E-BBDA-574EAADD9C1D}"/>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C3B1-024E-BBDA-574EAADD9C1D}"/>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C3B1-024E-BBDA-574EAADD9C1D}"/>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Food'!$F$7</c:f>
              <c:numCache>
                <c:formatCode>0</c:formatCode>
                <c:ptCount val="1"/>
                <c:pt idx="0">
                  <c:v>853</c:v>
                </c:pt>
              </c:numCache>
            </c:numRef>
          </c:val>
          <c:extLst>
            <c:ext uri="{C3380CC4-5D6E-409C-BE32-E72D297353CC}">
              <c16:uniqueId xmlns:c16="http://schemas.microsoft.com/office/drawing/2014/chart" xmlns:c16r2="http://schemas.microsoft.com/office/drawing/2015/06/chart" val="{00000008-C3B1-024E-BBDA-574EAADD9C1D}"/>
            </c:ext>
          </c:extLst>
        </c:ser>
        <c:ser>
          <c:idx val="0"/>
          <c:order val="2"/>
          <c:spPr>
            <a:solidFill>
              <a:srgbClr val="CC0000"/>
            </a:solidFill>
            <a:ln>
              <a:solidFill>
                <a:schemeClr val="tx1">
                  <a:lumMod val="50000"/>
                  <a:lumOff val="50000"/>
                </a:schemeClr>
              </a:solidFill>
            </a:ln>
          </c:spPr>
          <c:invertIfNegative val="false"/>
          <c:dLbls>
            <c:dLbl>
              <c:idx val="0"/>
              <c:layout>
                <c:manualLayout>
                  <c:x val="-0.016516357696622685"/>
                  <c:y val="0.01025492367550999"/>
                </c:manualLayout>
              </c:layout>
              <c:tx>
                <c:rich>
                  <a:bodyPr/>
                  <a:lstStyle/>
                  <a:p>
                    <a:r>
                      <a:rPr dirty="false" lang="en-US"/>
                      <a:t>1,487</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Food'!$G$7</c:f>
              <c:numCache>
                <c:formatCode>#,##0</c:formatCode>
                <c:ptCount val="1"/>
                <c:pt idx="0">
                  <c:v>1486.5170000000001</c:v>
                </c:pt>
              </c:numCache>
            </c:numRef>
          </c:val>
          <c:extLst>
            <c:ext uri="{C3380CC4-5D6E-409C-BE32-E72D297353CC}">
              <c16:uniqueId xmlns:c16="http://schemas.microsoft.com/office/drawing/2014/chart" xmlns:c16r2="http://schemas.microsoft.com/office/drawing/2015/06/chart" val="{0000000A-C3B1-024E-BBDA-574EAADD9C1D}"/>
            </c:ext>
          </c:extLst>
        </c:ser>
        <c:ser>
          <c:idx val="3"/>
          <c:order val="3"/>
          <c:spPr>
            <a:solidFill>
              <a:srgbClr val="C00000"/>
            </a:solidFill>
            <a:ln>
              <a:solidFill>
                <a:schemeClr val="bg1">
                  <a:lumMod val="65000"/>
                </a:schemeClr>
              </a:solidFill>
            </a:ln>
          </c:spPr>
          <c:invertIfNegative val="false"/>
          <c:dLbls>
            <c:dLbl>
              <c:idx val="0"/>
              <c:layout>
                <c:manualLayout>
                  <c:x val="-0.022021810262163582"/>
                  <c:y val="0.01025492367550999"/>
                </c:manualLayout>
              </c:layout>
              <c:tx>
                <c:rich>
                  <a:bodyPr/>
                  <a:lstStyle/>
                  <a:p>
                    <a:r>
                      <a:rPr dirty="false" lang="en-US"/>
                      <a:t>2,141</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B-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Food'!$H$7</c:f>
              <c:numCache>
                <c:formatCode>#,##0</c:formatCode>
                <c:ptCount val="1"/>
                <c:pt idx="0">
                  <c:v>2140.864</c:v>
                </c:pt>
              </c:numCache>
            </c:numRef>
          </c:val>
          <c:extLst>
            <c:ext uri="{C3380CC4-5D6E-409C-BE32-E72D297353CC}">
              <c16:uniqueId xmlns:c16="http://schemas.microsoft.com/office/drawing/2014/chart" xmlns:c16r2="http://schemas.microsoft.com/office/drawing/2015/06/chart" val="{0000000C-C3B1-024E-BBDA-574EAADD9C1D}"/>
            </c:ext>
          </c:extLst>
        </c:ser>
        <c:ser>
          <c:idx val="4"/>
          <c:order val="4"/>
          <c:spPr>
            <a:solidFill>
              <a:srgbClr val="CC0000"/>
            </a:solidFill>
            <a:ln>
              <a:solidFill>
                <a:schemeClr val="bg1">
                  <a:lumMod val="50000"/>
                </a:schemeClr>
              </a:solidFill>
            </a:ln>
          </c:spPr>
          <c:invertIfNegative val="false"/>
          <c:dLbls>
            <c:dLbl>
              <c:idx val="0"/>
              <c:layout>
                <c:manualLayout>
                  <c:x val="-0.03303271539324537"/>
                  <c:y val="0.005127461837754995"/>
                </c:manualLayout>
              </c:layout>
              <c:tx>
                <c:rich>
                  <a:bodyPr/>
                  <a:lstStyle/>
                  <a:p>
                    <a:r>
                      <a:rPr dirty="false" lang="en-US"/>
                      <a:t>2,934</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D-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Food'!$I$7</c:f>
              <c:numCache>
                <c:formatCode>#,##0</c:formatCode>
                <c:ptCount val="1"/>
                <c:pt idx="0">
                  <c:v>2933.9859999999999</c:v>
                </c:pt>
              </c:numCache>
            </c:numRef>
          </c:val>
          <c:extLst>
            <c:ext uri="{C3380CC4-5D6E-409C-BE32-E72D297353CC}">
              <c16:uniqueId xmlns:c16="http://schemas.microsoft.com/office/drawing/2014/chart" xmlns:c16r2="http://schemas.microsoft.com/office/drawing/2015/06/chart" val="{0000000E-C3B1-024E-BBDA-574EAADD9C1D}"/>
            </c:ext>
          </c:extLst>
        </c:ser>
        <c:ser>
          <c:idx val="1"/>
          <c:order val="5"/>
          <c:spPr>
            <a:solidFill>
              <a:srgbClr val="CC0000"/>
            </a:solidFill>
            <a:ln>
              <a:solidFill>
                <a:schemeClr val="bg1">
                  <a:lumMod val="50000"/>
                </a:schemeClr>
              </a:solidFill>
            </a:ln>
          </c:spPr>
          <c:invertIfNegative val="false"/>
          <c:dLbls>
            <c:dLbl>
              <c:idx val="0"/>
              <c:layout>
                <c:manualLayout>
                  <c:x val="-0.022021810262163582"/>
                  <c:y val="0.005127461837754995"/>
                </c:manualLayout>
              </c:layout>
              <c:tx>
                <c:rich>
                  <a:bodyPr/>
                  <a:lstStyle/>
                  <a:p>
                    <a:r>
                      <a:rPr dirty="false" lang="en-US"/>
                      <a:t>3,832</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Food'!$J$7</c:f>
              <c:numCache>
                <c:formatCode>#,##0</c:formatCode>
                <c:ptCount val="1"/>
                <c:pt idx="0">
                  <c:v>3832.0280000000002</c:v>
                </c:pt>
              </c:numCache>
            </c:numRef>
          </c:val>
          <c:extLst>
            <c:ext uri="{C3380CC4-5D6E-409C-BE32-E72D297353CC}">
              <c16:uniqueId xmlns:c16="http://schemas.microsoft.com/office/drawing/2014/chart" xmlns:c16r2="http://schemas.microsoft.com/office/drawing/2015/06/chart" val="{00000010-C3B1-024E-BBDA-574EAADD9C1D}"/>
            </c:ext>
          </c:extLst>
        </c:ser>
        <c:ser>
          <c:idx val="7"/>
          <c:order val="6"/>
          <c:spPr>
            <a:solidFill>
              <a:srgbClr val="C00000"/>
            </a:solidFill>
          </c:spPr>
          <c:invertIfNegative val="false"/>
          <c:dLbls>
            <c:dLbl>
              <c:idx val="0"/>
              <c:layout>
                <c:manualLayout>
                  <c:x val="-0.03303271539324537"/>
                  <c:y val="0.010254923675509994"/>
                </c:manualLayout>
              </c:layout>
              <c:tx>
                <c:rich>
                  <a:bodyPr/>
                  <a:lstStyle/>
                  <a:p>
                    <a:r>
                      <a:rPr dirty="false" lang="en-US"/>
                      <a:t>4,733</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1-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Food'!$K$7</c:f>
              <c:numCache>
                <c:formatCode>#,##0</c:formatCode>
                <c:ptCount val="1"/>
                <c:pt idx="0">
                  <c:v>4733.05</c:v>
                </c:pt>
              </c:numCache>
            </c:numRef>
          </c:val>
          <c:extLst>
            <c:ext uri="{C3380CC4-5D6E-409C-BE32-E72D297353CC}">
              <c16:uniqueId xmlns:c16="http://schemas.microsoft.com/office/drawing/2014/chart" xmlns:c16r2="http://schemas.microsoft.com/office/drawing/2015/06/chart" val="{00000012-C3B1-024E-BBDA-574EAADD9C1D}"/>
            </c:ext>
          </c:extLst>
        </c:ser>
        <c:ser>
          <c:idx val="6"/>
          <c:order val="7"/>
          <c:spPr>
            <a:solidFill>
              <a:srgbClr val="002060"/>
            </a:solidFill>
            <a:ln>
              <a:solidFill>
                <a:schemeClr val="bg1">
                  <a:lumMod val="65000"/>
                </a:schemeClr>
              </a:solidFill>
            </a:ln>
          </c:spPr>
          <c:invertIfNegative val="false"/>
          <c:dLbls>
            <c:dLbl>
              <c:idx val="0"/>
              <c:layout>
                <c:manualLayout>
                  <c:x val="0.036790295144277535"/>
                  <c:y val="0.008589911658273643"/>
                </c:manualLayout>
              </c:layout>
              <c:tx>
                <c:rich>
                  <a:bodyPr/>
                  <a:lstStyle/>
                  <a:p>
                    <a:r>
                      <a:rPr dirty="false" lang="en-US"/>
                      <a:t>4,924</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3-C3B1-024E-BBDA-574EAADD9C1D}"/>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Food'!$D$7</c:f>
              <c:strCache>
                <c:ptCount val="1"/>
                <c:pt idx="0">
                  <c:v>Revenue</c:v>
                </c:pt>
              </c:strCache>
            </c:strRef>
          </c:cat>
          <c:val>
            <c:numRef>
              <c:f>'Graf-sumarni Food'!$L$7</c:f>
              <c:numCache>
                <c:formatCode>#,##0</c:formatCode>
                <c:ptCount val="1"/>
                <c:pt idx="0">
                  <c:v>4923.57</c:v>
                </c:pt>
              </c:numCache>
            </c:numRef>
          </c:val>
          <c:extLst>
            <c:ext uri="{C3380CC4-5D6E-409C-BE32-E72D297353CC}">
              <c16:uniqueId xmlns:c16="http://schemas.microsoft.com/office/drawing/2014/chart" xmlns:c16r2="http://schemas.microsoft.com/office/drawing/2015/06/chart" val="{00000014-C3B1-024E-BBDA-574EAADD9C1D}"/>
            </c:ext>
          </c:extLst>
        </c:ser>
        <c:dLbls>
          <c:showLegendKey val="false"/>
          <c:showVal val="false"/>
          <c:showCatName val="false"/>
          <c:showSerName val="false"/>
          <c:showPercent val="false"/>
          <c:showBubbleSize val="false"/>
        </c:dLbls>
        <c:gapWidth val="150"/>
        <c:axId val="92117248"/>
        <c:axId val="92135424"/>
      </c:barChart>
      <c:catAx>
        <c:axId val="92117248"/>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92135424"/>
        <c:crosses val="autoZero"/>
        <c:auto val="true"/>
        <c:lblAlgn val="ctr"/>
        <c:lblOffset val="100"/>
        <c:noMultiLvlLbl val="false"/>
      </c:catAx>
      <c:valAx>
        <c:axId val="92135424"/>
        <c:scaling>
          <c:orientation val="minMax"/>
          <c:max val="6000.0"/>
          <c:min val="0.0"/>
        </c:scaling>
        <c:delete val="false"/>
        <c:axPos val="l"/>
        <c:majorGridlines>
          <c:spPr>
            <a:ln>
              <a:noFill/>
            </a:ln>
          </c:spPr>
        </c:majorGridlines>
        <c:numFmt sourceLinked="true" formatCode="0"/>
        <c:majorTickMark val="out"/>
        <c:minorTickMark val="none"/>
        <c:tickLblPos val="nextTo"/>
        <c:crossAx val="92117248"/>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charts/chart6.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C00000"/>
            </a:solidFill>
            <a:ln>
              <a:solidFill>
                <a:schemeClr val="tx1">
                  <a:lumMod val="50000"/>
                  <a:lumOff val="50000"/>
                </a:schemeClr>
              </a:solidFill>
            </a:ln>
          </c:spPr>
          <c:invertIfNegative val="false"/>
          <c:dLbls>
            <c:dLbl>
              <c:idx val="0"/>
              <c:layout>
                <c:manualLayout>
                  <c:x val="-0.02208621711360098"/>
                  <c:y val="0.010270236611695198"/>
                </c:manualLayout>
              </c:layout>
              <c:tx>
                <c:rich>
                  <a:bodyPr/>
                  <a:lstStyle/>
                  <a:p>
                    <a:r>
                      <a:rPr dirty="false" lang="en-US"/>
                      <a:t>21.0</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0-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Food'!$E$8</c:f>
              <c:numCache>
                <c:formatCode>0.0</c:formatCode>
                <c:ptCount val="1"/>
                <c:pt idx="0">
                  <c:v>21.027999999999999</c:v>
                </c:pt>
              </c:numCache>
            </c:numRef>
          </c:val>
          <c:extLst>
            <c:ext uri="{C3380CC4-5D6E-409C-BE32-E72D297353CC}">
              <c16:uniqueId xmlns:c16="http://schemas.microsoft.com/office/drawing/2014/chart" xmlns:c16r2="http://schemas.microsoft.com/office/drawing/2015/06/chart" val="{00000001-871C-C84E-9286-A9B9C0B4E884}"/>
            </c:ext>
          </c:extLst>
        </c:ser>
        <c:ser>
          <c:idx val="2"/>
          <c:order val="1"/>
          <c:spPr>
            <a:solidFill>
              <a:srgbClr val="CC0000"/>
            </a:solidFill>
            <a:ln>
              <a:solidFill>
                <a:schemeClr val="tx1">
                  <a:lumMod val="50000"/>
                  <a:lumOff val="50000"/>
                </a:schemeClr>
              </a:solidFill>
            </a:ln>
          </c:spPr>
          <c:invertIfNegative val="false"/>
          <c:dLbls>
            <c:dLbl>
              <c:idx val="0"/>
              <c:layout>
                <c:manualLayout>
                  <c:x val="-0.016564662835200736"/>
                  <c:y val="0.0"/>
                </c:manualLayout>
              </c:layout>
              <c:tx>
                <c:rich>
                  <a:bodyPr/>
                  <a:lstStyle/>
                  <a:p>
                    <a:r>
                      <a:rPr dirty="false" lang="en-US"/>
                      <a:t>48.5</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871C-C84E-9286-A9B9C0B4E884}"/>
                </c:ext>
              </c:extLst>
            </c:dLbl>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871C-C84E-9286-A9B9C0B4E884}"/>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871C-C84E-9286-A9B9C0B4E884}"/>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871C-C84E-9286-A9B9C0B4E884}"/>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871C-C84E-9286-A9B9C0B4E884}"/>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871C-C84E-9286-A9B9C0B4E884}"/>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8-871C-C84E-9286-A9B9C0B4E884}"/>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9-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Food'!$F$8</c:f>
              <c:numCache>
                <c:formatCode>0.0</c:formatCode>
                <c:ptCount val="1"/>
                <c:pt idx="0">
                  <c:v>48.526000000000003</c:v>
                </c:pt>
              </c:numCache>
            </c:numRef>
          </c:val>
          <c:extLst>
            <c:ext uri="{C3380CC4-5D6E-409C-BE32-E72D297353CC}">
              <c16:uniqueId xmlns:c16="http://schemas.microsoft.com/office/drawing/2014/chart" xmlns:c16r2="http://schemas.microsoft.com/office/drawing/2015/06/chart" val="{0000000A-871C-C84E-9286-A9B9C0B4E884}"/>
            </c:ext>
          </c:extLst>
        </c:ser>
        <c:ser>
          <c:idx val="0"/>
          <c:order val="2"/>
          <c:spPr>
            <a:solidFill>
              <a:srgbClr val="C00000"/>
            </a:solidFill>
            <a:ln>
              <a:solidFill>
                <a:schemeClr val="tx1">
                  <a:lumMod val="50000"/>
                  <a:lumOff val="50000"/>
                </a:schemeClr>
              </a:solidFill>
            </a:ln>
          </c:spPr>
          <c:invertIfNegative val="false"/>
          <c:dLbls>
            <c:dLbl>
              <c:idx val="0"/>
              <c:layout>
                <c:manualLayout>
                  <c:x val="-0.02208621711360098"/>
                  <c:y val="0.0"/>
                </c:manualLayout>
              </c:layout>
              <c:tx>
                <c:rich>
                  <a:bodyPr/>
                  <a:lstStyle/>
                  <a:p>
                    <a:r>
                      <a:rPr dirty="false" lang="en-US"/>
                      <a:t>136.5</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B-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Food'!$G$8</c:f>
              <c:numCache>
                <c:formatCode>0.0</c:formatCode>
                <c:ptCount val="1"/>
                <c:pt idx="0">
                  <c:v>136.47499999999999</c:v>
                </c:pt>
              </c:numCache>
            </c:numRef>
          </c:val>
          <c:extLst>
            <c:ext uri="{C3380CC4-5D6E-409C-BE32-E72D297353CC}">
              <c16:uniqueId xmlns:c16="http://schemas.microsoft.com/office/drawing/2014/chart" xmlns:c16r2="http://schemas.microsoft.com/office/drawing/2015/06/chart" val="{0000000C-871C-C84E-9286-A9B9C0B4E884}"/>
            </c:ext>
          </c:extLst>
        </c:ser>
        <c:ser>
          <c:idx val="3"/>
          <c:order val="3"/>
          <c:spPr>
            <a:solidFill>
              <a:srgbClr val="C00000"/>
            </a:solidFill>
            <a:ln>
              <a:solidFill>
                <a:schemeClr val="bg1">
                  <a:lumMod val="65000"/>
                </a:schemeClr>
              </a:solidFill>
            </a:ln>
          </c:spPr>
          <c:invertIfNegative val="false"/>
          <c:dLbls>
            <c:dLbl>
              <c:idx val="0"/>
              <c:layout>
                <c:manualLayout>
                  <c:x val="-0.03312932567040147"/>
                  <c:y val="0.0"/>
                </c:manualLayout>
              </c:layout>
              <c:tx>
                <c:rich>
                  <a:bodyPr/>
                  <a:lstStyle/>
                  <a:p>
                    <a:r>
                      <a:rPr dirty="false" lang="en-US"/>
                      <a:t>234.1</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D-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Food'!$H$8</c:f>
              <c:numCache>
                <c:formatCode>0.0</c:formatCode>
                <c:ptCount val="1"/>
                <c:pt idx="0">
                  <c:v>234.05500000000001</c:v>
                </c:pt>
              </c:numCache>
            </c:numRef>
          </c:val>
          <c:extLst>
            <c:ext uri="{C3380CC4-5D6E-409C-BE32-E72D297353CC}">
              <c16:uniqueId xmlns:c16="http://schemas.microsoft.com/office/drawing/2014/chart" xmlns:c16r2="http://schemas.microsoft.com/office/drawing/2015/06/chart" val="{0000000E-871C-C84E-9286-A9B9C0B4E884}"/>
            </c:ext>
          </c:extLst>
        </c:ser>
        <c:ser>
          <c:idx val="4"/>
          <c:order val="4"/>
          <c:spPr>
            <a:solidFill>
              <a:srgbClr val="CC0000"/>
            </a:solidFill>
            <a:ln>
              <a:solidFill>
                <a:schemeClr val="bg1">
                  <a:lumMod val="50000"/>
                </a:schemeClr>
              </a:solidFill>
            </a:ln>
          </c:spPr>
          <c:invertIfNegative val="false"/>
          <c:dLbls>
            <c:dLbl>
              <c:idx val="0"/>
              <c:layout>
                <c:manualLayout>
                  <c:x val="-0.02208621711360098"/>
                  <c:y val="0.0"/>
                </c:manualLayout>
              </c:layout>
              <c:tx>
                <c:rich>
                  <a:bodyPr/>
                  <a:lstStyle/>
                  <a:p>
                    <a:r>
                      <a:rPr dirty="false" lang="en-US"/>
                      <a:t>381.3</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F-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Food'!$I$8</c:f>
              <c:numCache>
                <c:formatCode>0.0</c:formatCode>
                <c:ptCount val="1"/>
                <c:pt idx="0">
                  <c:v>381.32100000000003</c:v>
                </c:pt>
              </c:numCache>
            </c:numRef>
          </c:val>
          <c:extLst>
            <c:ext uri="{C3380CC4-5D6E-409C-BE32-E72D297353CC}">
              <c16:uniqueId xmlns:c16="http://schemas.microsoft.com/office/drawing/2014/chart" xmlns:c16r2="http://schemas.microsoft.com/office/drawing/2015/06/chart" val="{00000010-871C-C84E-9286-A9B9C0B4E884}"/>
            </c:ext>
          </c:extLst>
        </c:ser>
        <c:ser>
          <c:idx val="1"/>
          <c:order val="5"/>
          <c:spPr>
            <a:solidFill>
              <a:srgbClr val="CC0000"/>
            </a:solidFill>
            <a:ln>
              <a:solidFill>
                <a:schemeClr val="bg1">
                  <a:lumMod val="50000"/>
                </a:schemeClr>
              </a:solidFill>
            </a:ln>
          </c:spPr>
          <c:invertIfNegative val="false"/>
          <c:dLbls>
            <c:dLbl>
              <c:idx val="0"/>
              <c:layout>
                <c:manualLayout>
                  <c:x val="-0.02208621711360098"/>
                  <c:y val="0.005135118305847646"/>
                </c:manualLayout>
              </c:layout>
              <c:tx>
                <c:rich>
                  <a:bodyPr/>
                  <a:lstStyle/>
                  <a:p>
                    <a:r>
                      <a:rPr dirty="false" lang="en-US"/>
                      <a:t>584.9</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1-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Food'!$J$8</c:f>
              <c:numCache>
                <c:formatCode>#,##0.0</c:formatCode>
                <c:ptCount val="1"/>
                <c:pt idx="0">
                  <c:v>584.94100000000003</c:v>
                </c:pt>
              </c:numCache>
            </c:numRef>
          </c:val>
          <c:extLst>
            <c:ext uri="{C3380CC4-5D6E-409C-BE32-E72D297353CC}">
              <c16:uniqueId xmlns:c16="http://schemas.microsoft.com/office/drawing/2014/chart" xmlns:c16r2="http://schemas.microsoft.com/office/drawing/2015/06/chart" val="{00000012-871C-C84E-9286-A9B9C0B4E884}"/>
            </c:ext>
          </c:extLst>
        </c:ser>
        <c:ser>
          <c:idx val="7"/>
          <c:order val="6"/>
          <c:spPr>
            <a:solidFill>
              <a:srgbClr val="C00000"/>
            </a:solidFill>
          </c:spPr>
          <c:invertIfNegative val="false"/>
          <c:dPt>
            <c:idx val="0"/>
            <c:invertIfNegative val="false"/>
            <c:bubble3D val="false"/>
            <c:spPr>
              <a:solidFill>
                <a:srgbClr val="C00000"/>
              </a:solidFill>
              <a:ln>
                <a:solidFill>
                  <a:schemeClr val="bg1">
                    <a:lumMod val="65000"/>
                  </a:schemeClr>
                </a:solidFill>
              </a:ln>
            </c:spPr>
            <c:extLst>
              <c:ext uri="{C3380CC4-5D6E-409C-BE32-E72D297353CC}">
                <c16:uniqueId xmlns:c16="http://schemas.microsoft.com/office/drawing/2014/chart" xmlns:c16r2="http://schemas.microsoft.com/office/drawing/2015/06/chart" val="{00000014-871C-C84E-9286-A9B9C0B4E884}"/>
              </c:ext>
            </c:extLst>
          </c:dPt>
          <c:dLbls>
            <c:dLbl>
              <c:idx val="0"/>
              <c:tx>
                <c:rich>
                  <a:bodyPr/>
                  <a:lstStyle/>
                  <a:p>
                    <a:r>
                      <a:rPr lang="en-US"/>
                      <a:t>792.5</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4-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Food'!$K$8</c:f>
              <c:numCache>
                <c:formatCode>#,##0.0</c:formatCode>
                <c:ptCount val="1"/>
                <c:pt idx="0">
                  <c:v>792.45900000000006</c:v>
                </c:pt>
              </c:numCache>
            </c:numRef>
          </c:val>
          <c:extLst>
            <c:ext uri="{C3380CC4-5D6E-409C-BE32-E72D297353CC}">
              <c16:uniqueId xmlns:c16="http://schemas.microsoft.com/office/drawing/2014/chart" xmlns:c16r2="http://schemas.microsoft.com/office/drawing/2015/06/chart" val="{00000015-871C-C84E-9286-A9B9C0B4E884}"/>
            </c:ext>
          </c:extLst>
        </c:ser>
        <c:ser>
          <c:idx val="6"/>
          <c:order val="7"/>
          <c:spPr>
            <a:solidFill>
              <a:srgbClr val="002060"/>
            </a:solidFill>
          </c:spPr>
          <c:invertIfNegative val="false"/>
          <c:dLbls>
            <c:dLbl>
              <c:idx val="0"/>
              <c:layout>
                <c:manualLayout>
                  <c:x val="0.04701755636876505"/>
                  <c:y val="0.009176496846552152"/>
                </c:manualLayout>
              </c:layout>
              <c:tx>
                <c:rich>
                  <a:bodyPr/>
                  <a:lstStyle/>
                  <a:p>
                    <a:r>
                      <a:rPr dirty="false" lang="en-US"/>
                      <a:t>750.9</a:t>
                    </a:r>
                  </a:p>
                </c:rich>
              </c:tx>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16-871C-C84E-9286-A9B9C0B4E884}"/>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Food'!$D$8</c:f>
              <c:strCache>
                <c:ptCount val="1"/>
                <c:pt idx="0">
                  <c:v>EBITDA</c:v>
                </c:pt>
              </c:strCache>
            </c:strRef>
          </c:cat>
          <c:val>
            <c:numRef>
              <c:f>'Graf-sumarni Food'!$L$8</c:f>
              <c:numCache>
                <c:formatCode>#,##0.0</c:formatCode>
                <c:ptCount val="1"/>
                <c:pt idx="0">
                  <c:v>750.93299999999999</c:v>
                </c:pt>
              </c:numCache>
            </c:numRef>
          </c:val>
          <c:extLst>
            <c:ext uri="{C3380CC4-5D6E-409C-BE32-E72D297353CC}">
              <c16:uniqueId xmlns:c16="http://schemas.microsoft.com/office/drawing/2014/chart" xmlns:c16r2="http://schemas.microsoft.com/office/drawing/2015/06/chart" val="{00000017-871C-C84E-9286-A9B9C0B4E884}"/>
            </c:ext>
          </c:extLst>
        </c:ser>
        <c:dLbls>
          <c:showLegendKey val="false"/>
          <c:showVal val="false"/>
          <c:showCatName val="false"/>
          <c:showSerName val="false"/>
          <c:showPercent val="false"/>
          <c:showBubbleSize val="false"/>
        </c:dLbls>
        <c:gapWidth val="150"/>
        <c:axId val="96979200"/>
        <c:axId val="109903872"/>
      </c:barChart>
      <c:catAx>
        <c:axId val="96979200"/>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109903872"/>
        <c:crosses val="autoZero"/>
        <c:auto val="true"/>
        <c:lblAlgn val="ctr"/>
        <c:lblOffset val="100"/>
        <c:noMultiLvlLbl val="false"/>
      </c:catAx>
      <c:valAx>
        <c:axId val="109903872"/>
        <c:scaling>
          <c:orientation val="minMax"/>
          <c:max val="800.0"/>
          <c:min val="0.0"/>
        </c:scaling>
        <c:delete val="false"/>
        <c:axPos val="l"/>
        <c:majorGridlines>
          <c:spPr>
            <a:ln>
              <a:noFill/>
            </a:ln>
          </c:spPr>
        </c:majorGridlines>
        <c:numFmt sourceLinked="true" formatCode="0.0"/>
        <c:majorTickMark val="out"/>
        <c:minorTickMark val="none"/>
        <c:tickLblPos val="nextTo"/>
        <c:crossAx val="96979200"/>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charts/chart7.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97426161650745"/>
          <c:y val="0.0489886783953986"/>
          <c:w val="0.7655817331134004"/>
          <c:h val="0.8403789261441658"/>
        </c:manualLayout>
      </c:layout>
      <c:barChart>
        <c:barDir val="col"/>
        <c:grouping val="clustered"/>
        <c:varyColors val="false"/>
        <c:ser>
          <c:idx val="5"/>
          <c:order val="0"/>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Agri'!$G$7</c:f>
              <c:numCache>
                <c:formatCode>0</c:formatCode>
                <c:ptCount val="1"/>
                <c:pt idx="0">
                  <c:v>137.44800000000001</c:v>
                </c:pt>
              </c:numCache>
            </c:numRef>
          </c:val>
          <c:extLst>
            <c:ext uri="{C3380CC4-5D6E-409C-BE32-E72D297353CC}">
              <c16:uniqueId xmlns:c16="http://schemas.microsoft.com/office/drawing/2014/chart" xmlns:c16r2="http://schemas.microsoft.com/office/drawing/2015/06/chart" val="{00000000-CF62-4C41-BA9C-3BF213C3FE26}"/>
            </c:ext>
          </c:extLst>
        </c:ser>
        <c:ser>
          <c:idx val="2"/>
          <c:order val="1"/>
          <c:spPr>
            <a:solidFill>
              <a:srgbClr val="CC0000"/>
            </a:solidFill>
            <a:ln>
              <a:solidFill>
                <a:schemeClr val="tx1">
                  <a:lumMod val="50000"/>
                  <a:lumOff val="50000"/>
                </a:schemeClr>
              </a:solidFill>
            </a:ln>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CF62-4C41-BA9C-3BF213C3FE26}"/>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CF62-4C41-BA9C-3BF213C3FE26}"/>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CF62-4C41-BA9C-3BF213C3FE26}"/>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CF62-4C41-BA9C-3BF213C3FE26}"/>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CF62-4C41-BA9C-3BF213C3FE26}"/>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CF62-4C41-BA9C-3BF213C3FE26}"/>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CF62-4C41-BA9C-3BF213C3FE26}"/>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Agri'!$H$7</c:f>
              <c:numCache>
                <c:formatCode>0</c:formatCode>
                <c:ptCount val="1"/>
                <c:pt idx="0">
                  <c:v>270.45800000000003</c:v>
                </c:pt>
              </c:numCache>
            </c:numRef>
          </c:val>
          <c:extLst>
            <c:ext uri="{C3380CC4-5D6E-409C-BE32-E72D297353CC}">
              <c16:uniqueId xmlns:c16="http://schemas.microsoft.com/office/drawing/2014/chart" xmlns:c16r2="http://schemas.microsoft.com/office/drawing/2015/06/chart" val="{00000008-CF62-4C41-BA9C-3BF213C3FE26}"/>
            </c:ext>
          </c:extLst>
        </c:ser>
        <c:ser>
          <c:idx val="0"/>
          <c:order val="2"/>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Agri'!$I$7</c:f>
              <c:numCache>
                <c:formatCode>0</c:formatCode>
                <c:ptCount val="1"/>
                <c:pt idx="0">
                  <c:v>465.68099999999998</c:v>
                </c:pt>
              </c:numCache>
            </c:numRef>
          </c:val>
          <c:extLst>
            <c:ext uri="{C3380CC4-5D6E-409C-BE32-E72D297353CC}">
              <c16:uniqueId xmlns:c16="http://schemas.microsoft.com/office/drawing/2014/chart" xmlns:c16r2="http://schemas.microsoft.com/office/drawing/2015/06/chart" val="{00000009-CF62-4C41-BA9C-3BF213C3FE26}"/>
            </c:ext>
          </c:extLst>
        </c:ser>
        <c:ser>
          <c:idx val="3"/>
          <c:order val="3"/>
          <c:spPr>
            <a:solidFill>
              <a:srgbClr val="C0000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Agri'!$J$7</c:f>
              <c:numCache>
                <c:formatCode>0</c:formatCode>
                <c:ptCount val="1"/>
                <c:pt idx="0">
                  <c:v>642.04300000000001</c:v>
                </c:pt>
              </c:numCache>
            </c:numRef>
          </c:val>
          <c:extLst>
            <c:ext uri="{C3380CC4-5D6E-409C-BE32-E72D297353CC}">
              <c16:uniqueId xmlns:c16="http://schemas.microsoft.com/office/drawing/2014/chart" xmlns:c16r2="http://schemas.microsoft.com/office/drawing/2015/06/chart" val="{0000000A-CF62-4C41-BA9C-3BF213C3FE26}"/>
            </c:ext>
          </c:extLst>
        </c:ser>
        <c:ser>
          <c:idx val="4"/>
          <c:order val="4"/>
          <c:spPr>
            <a:solidFill>
              <a:srgbClr val="CC000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Agri'!$K$7</c:f>
              <c:numCache>
                <c:formatCode>0</c:formatCode>
                <c:ptCount val="1"/>
                <c:pt idx="0">
                  <c:v>812.91499999999996</c:v>
                </c:pt>
              </c:numCache>
            </c:numRef>
          </c:val>
          <c:extLst>
            <c:ext uri="{C3380CC4-5D6E-409C-BE32-E72D297353CC}">
              <c16:uniqueId xmlns:c16="http://schemas.microsoft.com/office/drawing/2014/chart" xmlns:c16r2="http://schemas.microsoft.com/office/drawing/2015/06/chart" val="{0000000B-CF62-4C41-BA9C-3BF213C3FE26}"/>
            </c:ext>
          </c:extLst>
        </c:ser>
        <c:ser>
          <c:idx val="1"/>
          <c:order val="5"/>
          <c:spPr>
            <a:solidFill>
              <a:srgbClr val="CC000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Agri'!$L$7</c:f>
              <c:numCache>
                <c:formatCode>#,##0</c:formatCode>
                <c:ptCount val="1"/>
                <c:pt idx="0">
                  <c:v>990.76400000000001</c:v>
                </c:pt>
              </c:numCache>
            </c:numRef>
          </c:val>
          <c:extLst>
            <c:ext uri="{C3380CC4-5D6E-409C-BE32-E72D297353CC}">
              <c16:uniqueId xmlns:c16="http://schemas.microsoft.com/office/drawing/2014/chart" xmlns:c16r2="http://schemas.microsoft.com/office/drawing/2015/06/chart" val="{0000000C-CF62-4C41-BA9C-3BF213C3FE26}"/>
            </c:ext>
          </c:extLst>
        </c:ser>
        <c:ser>
          <c:idx val="7"/>
          <c:order val="6"/>
          <c:spPr>
            <a:solidFill>
              <a:srgbClr val="C0000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Agri'!$M$7</c:f>
              <c:numCache>
                <c:formatCode>#,##0</c:formatCode>
                <c:ptCount val="1"/>
                <c:pt idx="0">
                  <c:v>1192.6969999999999</c:v>
                </c:pt>
              </c:numCache>
            </c:numRef>
          </c:val>
          <c:extLst>
            <c:ext uri="{C3380CC4-5D6E-409C-BE32-E72D297353CC}">
              <c16:uniqueId xmlns:c16="http://schemas.microsoft.com/office/drawing/2014/chart" xmlns:c16r2="http://schemas.microsoft.com/office/drawing/2015/06/chart" val="{0000000D-CF62-4C41-BA9C-3BF213C3FE26}"/>
            </c:ext>
          </c:extLst>
        </c:ser>
        <c:ser>
          <c:idx val="6"/>
          <c:order val="7"/>
          <c:spPr>
            <a:solidFill>
              <a:srgbClr val="00206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Agri'!$F$7</c:f>
              <c:strCache>
                <c:ptCount val="1"/>
                <c:pt idx="0">
                  <c:v>Revenue</c:v>
                </c:pt>
              </c:strCache>
            </c:strRef>
          </c:cat>
          <c:val>
            <c:numRef>
              <c:f>'Graf-sumarni Agri'!$N$7</c:f>
              <c:numCache>
                <c:formatCode>#,##0</c:formatCode>
                <c:ptCount val="1"/>
                <c:pt idx="0">
                  <c:v>1312.915</c:v>
                </c:pt>
              </c:numCache>
            </c:numRef>
          </c:val>
          <c:extLst>
            <c:ext uri="{C3380CC4-5D6E-409C-BE32-E72D297353CC}">
              <c16:uniqueId xmlns:c16="http://schemas.microsoft.com/office/drawing/2014/chart" xmlns:c16r2="http://schemas.microsoft.com/office/drawing/2015/06/chart" val="{0000000E-CF62-4C41-BA9C-3BF213C3FE26}"/>
            </c:ext>
          </c:extLst>
        </c:ser>
        <c:dLbls>
          <c:showLegendKey val="false"/>
          <c:showVal val="false"/>
          <c:showCatName val="false"/>
          <c:showSerName val="false"/>
          <c:showPercent val="false"/>
          <c:showBubbleSize val="false"/>
        </c:dLbls>
        <c:gapWidth val="150"/>
        <c:axId val="110867584"/>
        <c:axId val="110869120"/>
      </c:barChart>
      <c:catAx>
        <c:axId val="110867584"/>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110869120"/>
        <c:crosses val="autoZero"/>
        <c:auto val="true"/>
        <c:lblAlgn val="ctr"/>
        <c:lblOffset val="100"/>
        <c:noMultiLvlLbl val="false"/>
      </c:catAx>
      <c:valAx>
        <c:axId val="110869120"/>
        <c:scaling>
          <c:orientation val="minMax"/>
          <c:max val="1500.0"/>
          <c:min val="0.0"/>
        </c:scaling>
        <c:delete val="false"/>
        <c:axPos val="l"/>
        <c:majorGridlines>
          <c:spPr>
            <a:ln>
              <a:noFill/>
            </a:ln>
          </c:spPr>
        </c:majorGridlines>
        <c:numFmt sourceLinked="true" formatCode="0"/>
        <c:majorTickMark val="out"/>
        <c:minorTickMark val="none"/>
        <c:tickLblPos val="nextTo"/>
        <c:crossAx val="110867584"/>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charts/chart8.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autoTitleDeleted val="false"/>
    <c:plotArea>
      <c:layout>
        <c:manualLayout>
          <c:layoutTarget val="inner"/>
          <c:xMode val="edge"/>
          <c:yMode val="edge"/>
          <c:x val="0.17644725239384604"/>
          <c:y val="0.040187724878761016"/>
          <c:w val="0.7655817331134004"/>
          <c:h val="0.8403789261441658"/>
        </c:manualLayout>
      </c:layout>
      <c:barChart>
        <c:barDir val="col"/>
        <c:grouping val="clustered"/>
        <c:varyColors val="false"/>
        <c:ser>
          <c:idx val="5"/>
          <c:order val="0"/>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Agri'!$G$8</c:f>
              <c:numCache>
                <c:formatCode>0.0</c:formatCode>
                <c:ptCount val="1"/>
                <c:pt idx="0">
                  <c:v>10.223000000000001</c:v>
                </c:pt>
              </c:numCache>
            </c:numRef>
          </c:val>
          <c:extLst>
            <c:ext uri="{C3380CC4-5D6E-409C-BE32-E72D297353CC}">
              <c16:uniqueId xmlns:c16="http://schemas.microsoft.com/office/drawing/2014/chart" xmlns:c16r2="http://schemas.microsoft.com/office/drawing/2015/06/chart" val="{00000000-8CA5-154D-B59A-16ECEF41885B}"/>
            </c:ext>
          </c:extLst>
        </c:ser>
        <c:ser>
          <c:idx val="2"/>
          <c:order val="1"/>
          <c:spPr>
            <a:solidFill>
              <a:srgbClr val="CC0000"/>
            </a:solidFill>
            <a:ln>
              <a:solidFill>
                <a:schemeClr val="tx1">
                  <a:lumMod val="50000"/>
                  <a:lumOff val="50000"/>
                </a:schemeClr>
              </a:solidFill>
            </a:ln>
          </c:spPr>
          <c:invertIfNegative val="false"/>
          <c:dLbls>
            <c:dLbl>
              <c:idx val="2"/>
              <c:layout>
                <c:manualLayout>
                  <c:x val="0.01381851781489840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1-8CA5-154D-B59A-16ECEF41885B}"/>
                </c:ext>
              </c:extLst>
            </c:dLbl>
            <c:dLbl>
              <c:idx val="3"/>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2-8CA5-154D-B59A-16ECEF41885B}"/>
                </c:ext>
              </c:extLst>
            </c:dLbl>
            <c:dLbl>
              <c:idx val="4"/>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3-8CA5-154D-B59A-16ECEF41885B}"/>
                </c:ext>
              </c:extLst>
            </c:dLbl>
            <c:dLbl>
              <c:idx val="5"/>
              <c:layout>
                <c:manualLayout>
                  <c:x val="0.013818517814898451"/>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4-8CA5-154D-B59A-16ECEF41885B}"/>
                </c:ext>
              </c:extLst>
            </c:dLbl>
            <c:dLbl>
              <c:idx val="6"/>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5-8CA5-154D-B59A-16ECEF41885B}"/>
                </c:ext>
              </c:extLst>
            </c:dLbl>
            <c:dLbl>
              <c:idx val="7"/>
              <c:layout>
                <c:manualLayout>
                  <c:x val="0.011054814251918762"/>
                  <c:y val="0.0"/>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6-8CA5-154D-B59A-16ECEF41885B}"/>
                </c:ext>
              </c:extLst>
            </c:dLbl>
            <c:dLbl>
              <c:idx val="8"/>
              <c:layout>
                <c:manualLayout>
                  <c:x val="0.013818517814898451"/>
                  <c:y val="-8.487556272013328E-17"/>
                </c:manualLayout>
              </c:layout>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7-8CA5-154D-B59A-16ECEF41885B}"/>
                </c:ext>
              </c:extLst>
            </c:dLbl>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Agri'!$H$8</c:f>
              <c:numCache>
                <c:formatCode>0.0</c:formatCode>
                <c:ptCount val="1"/>
                <c:pt idx="0">
                  <c:v>17.108000000000001</c:v>
                </c:pt>
              </c:numCache>
            </c:numRef>
          </c:val>
          <c:extLst>
            <c:ext uri="{C3380CC4-5D6E-409C-BE32-E72D297353CC}">
              <c16:uniqueId xmlns:c16="http://schemas.microsoft.com/office/drawing/2014/chart" xmlns:c16r2="http://schemas.microsoft.com/office/drawing/2015/06/chart" val="{00000008-8CA5-154D-B59A-16ECEF41885B}"/>
            </c:ext>
          </c:extLst>
        </c:ser>
        <c:ser>
          <c:idx val="0"/>
          <c:order val="2"/>
          <c:spPr>
            <a:solidFill>
              <a:srgbClr val="CC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Agri'!$I$8</c:f>
              <c:numCache>
                <c:formatCode>0.0</c:formatCode>
                <c:ptCount val="1"/>
                <c:pt idx="0">
                  <c:v>34.993000000000002</c:v>
                </c:pt>
              </c:numCache>
            </c:numRef>
          </c:val>
          <c:extLst>
            <c:ext uri="{C3380CC4-5D6E-409C-BE32-E72D297353CC}">
              <c16:uniqueId xmlns:c16="http://schemas.microsoft.com/office/drawing/2014/chart" xmlns:c16r2="http://schemas.microsoft.com/office/drawing/2015/06/chart" val="{00000009-8CA5-154D-B59A-16ECEF41885B}"/>
            </c:ext>
          </c:extLst>
        </c:ser>
        <c:ser>
          <c:idx val="3"/>
          <c:order val="3"/>
          <c:spPr>
            <a:solidFill>
              <a:srgbClr val="C00000"/>
            </a:solidFill>
            <a:ln>
              <a:solidFill>
                <a:schemeClr val="tx1">
                  <a:lumMod val="50000"/>
                  <a:lumOff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Agri'!$J$8</c:f>
              <c:numCache>
                <c:formatCode>0.0</c:formatCode>
                <c:ptCount val="1"/>
                <c:pt idx="0">
                  <c:v>53.750999999999998</c:v>
                </c:pt>
              </c:numCache>
            </c:numRef>
          </c:val>
          <c:extLst>
            <c:ext uri="{C3380CC4-5D6E-409C-BE32-E72D297353CC}">
              <c16:uniqueId xmlns:c16="http://schemas.microsoft.com/office/drawing/2014/chart" xmlns:c16r2="http://schemas.microsoft.com/office/drawing/2015/06/chart" val="{0000000A-8CA5-154D-B59A-16ECEF41885B}"/>
            </c:ext>
          </c:extLst>
        </c:ser>
        <c:ser>
          <c:idx val="4"/>
          <c:order val="4"/>
          <c:spPr>
            <a:solidFill>
              <a:srgbClr val="CC0000"/>
            </a:solidFill>
            <a:ln>
              <a:solidFill>
                <a:schemeClr val="bg1">
                  <a:lumMod val="50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Agri'!$K$8</c:f>
              <c:numCache>
                <c:formatCode>0.0</c:formatCode>
                <c:ptCount val="1"/>
                <c:pt idx="0">
                  <c:v>64.718999999999994</c:v>
                </c:pt>
              </c:numCache>
            </c:numRef>
          </c:val>
          <c:extLst>
            <c:ext uri="{C3380CC4-5D6E-409C-BE32-E72D297353CC}">
              <c16:uniqueId xmlns:c16="http://schemas.microsoft.com/office/drawing/2014/chart" xmlns:c16r2="http://schemas.microsoft.com/office/drawing/2015/06/chart" val="{0000000B-8CA5-154D-B59A-16ECEF41885B}"/>
            </c:ext>
          </c:extLst>
        </c:ser>
        <c:ser>
          <c:idx val="1"/>
          <c:order val="5"/>
          <c:spPr>
            <a:solidFill>
              <a:srgbClr val="C00000"/>
            </a:solidFill>
            <a:ln>
              <a:solidFill>
                <a:schemeClr val="bg1">
                  <a:lumMod val="50000"/>
                </a:schemeClr>
              </a:solidFill>
            </a:ln>
          </c:spPr>
          <c:invertIfNegative val="false"/>
          <c:dPt>
            <c:idx val="0"/>
            <c:invertIfNegative val="false"/>
            <c:bubble3D val="false"/>
            <c:extLst>
              <c:ext uri="{C3380CC4-5D6E-409C-BE32-E72D297353CC}">
                <c16:uniqueId xmlns:c16="http://schemas.microsoft.com/office/drawing/2014/chart" xmlns:c16r2="http://schemas.microsoft.com/office/drawing/2015/06/chart" val="{0000000C-8CA5-154D-B59A-16ECEF41885B}"/>
              </c:ext>
            </c:extLst>
          </c:dPt>
          <c:dLbls>
            <c:dLbl>
              <c:idx val="0"/>
              <c:showLegendKey val="false"/>
              <c:showVal val="true"/>
              <c:showCatName val="false"/>
              <c:showSerName val="false"/>
              <c:showPercent val="false"/>
              <c:showBubbleSize val="false"/>
              <c:extLst>
                <c:ext uri="{CE6537A1-D6FC-4f65-9D91-7224C49458BB}"/>
                <c:ext uri="{C3380CC4-5D6E-409C-BE32-E72D297353CC}">
                  <c16:uniqueId xmlns:c16="http://schemas.microsoft.com/office/drawing/2014/chart" xmlns:c16r2="http://schemas.microsoft.com/office/drawing/2015/06/chart" val="{0000000C-8CA5-154D-B59A-16ECEF41885B}"/>
                </c:ext>
              </c:extLst>
            </c:dLbl>
            <c:spPr>
              <a:noFill/>
              <a:ln>
                <a:noFill/>
              </a:ln>
              <a:effectLst/>
            </c:spPr>
            <c:showLegendKey val="false"/>
            <c:showVal val="false"/>
            <c:showCatName val="false"/>
            <c:showSerName val="false"/>
            <c:showPercent val="false"/>
            <c:showBubbleSize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Agri'!$L$8</c:f>
              <c:numCache>
                <c:formatCode>0.0</c:formatCode>
                <c:ptCount val="1"/>
                <c:pt idx="0">
                  <c:v>74.558000000000007</c:v>
                </c:pt>
              </c:numCache>
            </c:numRef>
          </c:val>
          <c:extLst>
            <c:ext uri="{C3380CC4-5D6E-409C-BE32-E72D297353CC}">
              <c16:uniqueId xmlns:c16="http://schemas.microsoft.com/office/drawing/2014/chart" xmlns:c16r2="http://schemas.microsoft.com/office/drawing/2015/06/chart" val="{0000000D-8CA5-154D-B59A-16ECEF41885B}"/>
            </c:ext>
          </c:extLst>
        </c:ser>
        <c:ser>
          <c:idx val="7"/>
          <c:order val="6"/>
          <c:spPr>
            <a:solidFill>
              <a:srgbClr val="C00000"/>
            </a:solidFill>
            <a:ln>
              <a:solidFill>
                <a:schemeClr val="bg1">
                  <a:lumMod val="75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val>
            <c:numRef>
              <c:f>'Graf-sumarni Agri'!$M$8</c:f>
              <c:numCache>
                <c:formatCode>0.0</c:formatCode>
                <c:ptCount val="1"/>
                <c:pt idx="0">
                  <c:v>87.994</c:v>
                </c:pt>
              </c:numCache>
            </c:numRef>
          </c:val>
          <c:extLst>
            <c:ext uri="{C3380CC4-5D6E-409C-BE32-E72D297353CC}">
              <c16:uniqueId xmlns:c16="http://schemas.microsoft.com/office/drawing/2014/chart" xmlns:c16r2="http://schemas.microsoft.com/office/drawing/2015/06/chart" val="{0000000E-8CA5-154D-B59A-16ECEF41885B}"/>
            </c:ext>
          </c:extLst>
        </c:ser>
        <c:ser>
          <c:idx val="6"/>
          <c:order val="7"/>
          <c:spPr>
            <a:solidFill>
              <a:srgbClr val="002060"/>
            </a:solidFill>
            <a:ln>
              <a:solidFill>
                <a:schemeClr val="bg1">
                  <a:lumMod val="75000"/>
                </a:schemeClr>
              </a:solidFill>
            </a:ln>
          </c:spPr>
          <c:invertIfNegative val="false"/>
          <c:dLbls>
            <c:spPr>
              <a:noFill/>
              <a:ln>
                <a:noFill/>
              </a:ln>
              <a:effectLst/>
            </c:sp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cat>
            <c:strRef>
              <c:f>'Graf-sumarni Agri'!$F$8</c:f>
              <c:strCache>
                <c:ptCount val="1"/>
                <c:pt idx="0">
                  <c:v>EBITDA</c:v>
                </c:pt>
              </c:strCache>
            </c:strRef>
          </c:cat>
          <c:val>
            <c:numRef>
              <c:f>'Graf-sumarni Agri'!$N$8</c:f>
              <c:numCache>
                <c:formatCode>0.0</c:formatCode>
                <c:ptCount val="1"/>
                <c:pt idx="0">
                  <c:v>156.16200000000001</c:v>
                </c:pt>
              </c:numCache>
            </c:numRef>
          </c:val>
          <c:extLst>
            <c:ext uri="{C3380CC4-5D6E-409C-BE32-E72D297353CC}">
              <c16:uniqueId xmlns:c16="http://schemas.microsoft.com/office/drawing/2014/chart" xmlns:c16r2="http://schemas.microsoft.com/office/drawing/2015/06/chart" val="{0000000F-8CA5-154D-B59A-16ECEF41885B}"/>
            </c:ext>
          </c:extLst>
        </c:ser>
        <c:dLbls>
          <c:showLegendKey val="false"/>
          <c:showVal val="false"/>
          <c:showCatName val="false"/>
          <c:showSerName val="false"/>
          <c:showPercent val="false"/>
          <c:showBubbleSize val="false"/>
        </c:dLbls>
        <c:gapWidth val="150"/>
        <c:axId val="110577152"/>
        <c:axId val="110578688"/>
      </c:barChart>
      <c:catAx>
        <c:axId val="110577152"/>
        <c:scaling>
          <c:orientation val="minMax"/>
        </c:scaling>
        <c:delete val="false"/>
        <c:axPos val="b"/>
        <c:numFmt sourceLinked="false" formatCode="General"/>
        <c:majorTickMark val="out"/>
        <c:minorTickMark val="none"/>
        <c:tickLblPos val="nextTo"/>
        <c:txPr>
          <a:bodyPr/>
          <a:lstStyle/>
          <a:p>
            <a:pPr>
              <a:defRPr sz="1000"/>
            </a:pPr>
            <a:endParaRPr lang="sr-Latn-RS"/>
          </a:p>
        </c:txPr>
        <c:crossAx val="110578688"/>
        <c:crosses val="autoZero"/>
        <c:auto val="true"/>
        <c:lblAlgn val="ctr"/>
        <c:lblOffset val="100"/>
        <c:noMultiLvlLbl val="false"/>
      </c:catAx>
      <c:valAx>
        <c:axId val="110578688"/>
        <c:scaling>
          <c:orientation val="minMax"/>
          <c:max val="160.0"/>
          <c:min val="0.0"/>
        </c:scaling>
        <c:delete val="false"/>
        <c:axPos val="l"/>
        <c:majorGridlines>
          <c:spPr>
            <a:ln>
              <a:noFill/>
            </a:ln>
          </c:spPr>
        </c:majorGridlines>
        <c:numFmt sourceLinked="true" formatCode="0.0"/>
        <c:majorTickMark val="out"/>
        <c:minorTickMark val="none"/>
        <c:tickLblPos val="nextTo"/>
        <c:crossAx val="110577152"/>
        <c:crosses val="autoZero"/>
        <c:crossBetween val="between"/>
      </c:valAx>
      <c:spPr>
        <a:noFill/>
      </c:spPr>
    </c:plotArea>
    <c:plotVisOnly val="true"/>
    <c:dispBlanksAs val="gap"/>
    <c:showDLblsOverMax val="false"/>
  </c:chart>
  <c:spPr>
    <a:solidFill>
      <a:schemeClr val="lt1"/>
    </a:solidFill>
    <a:ln algn="ctr" cmpd="sng" cap="flat" w="12700">
      <a:solidFill>
        <a:schemeClr val="dk1"/>
      </a:solidFill>
      <a:prstDash val="solid"/>
      <a:miter lim="800000"/>
    </a:ln>
    <a:effectLst/>
  </c:spPr>
  <c:txPr>
    <a:bodyPr/>
    <a:lstStyle/>
    <a:p>
      <a:pPr>
        <a:defRPr sz="800">
          <a:solidFill>
            <a:schemeClr val="dk1"/>
          </a:solidFill>
          <a:latin typeface="+mn-lt"/>
          <a:ea typeface="+mn-ea"/>
          <a:cs typeface="+mn-cs"/>
        </a:defRPr>
      </a:pPr>
      <a:endParaRPr lang="sr-Latn-RS"/>
    </a:p>
  </c:txPr>
  <c:externalData r:id="rId1">
    <c:autoUpdate val="false"/>
  </c:externalData>
</c:chartSpace>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word/theme/themeOverride1.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Ｐゴシック" script="Jpan"/>
      <a:font typeface="맑은 고딕" script="Hang"/>
      <a:font typeface="宋体" script="Hans"/>
      <a:font typeface="新細明體" script="Hant"/>
      <a:font typeface="Times New Roman" script="Arab"/>
      <a:font typeface="Times New Roman" script="Hebr"/>
      <a:font typeface="Tahoma"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Ｐゴシック" script="Jpan"/>
      <a:font typeface="맑은 고딕" script="Hang"/>
      <a:font typeface="宋体" script="Hans"/>
      <a:font typeface="新細明體" script="Hant"/>
      <a:font typeface="Arial" script="Arab"/>
      <a:font typeface="Arial" script="Hebr"/>
      <a:font typeface="Tahoma"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Override>
</file>

<file path=word/theme/themeOverride2.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word/theme/themeOverride3.xml><?xml version="1.0" encoding="utf-8"?>
<a:themeOverrid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Overrid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0E9415-DB92-49C0-BEAA-C8D9A1F9B8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Agrokor</properties:Company>
  <properties:Pages>36</properties:Pages>
  <properties:Words>6844</properties:Words>
  <properties:Characters>41394</properties:Characters>
  <properties:Lines>1389</properties:Lines>
  <properties:Paragraphs>540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2018-09-12T08:38:00Z</dcterms:created>
  <dc:creator>Anđelko Paša</dc:creator>
  <cp:lastModifiedBy>Vinka Mihalinčić</cp:lastModifiedBy>
  <cp:lastPrinted>2018-09-11T08:03:00Z</cp:lastPrinted>
  <dcterms:modified xmlns:xsi="http://www.w3.org/2001/XMLSchema-instance" xsi:type="dcterms:W3CDTF">2018-09-12T12:48:00Z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Created" pid="2" fmtid="{D5CDD505-2E9C-101B-9397-08002B2CF9AE}">
    <vt:filetime>2018-01-10T00:00:00Z</vt:filetime>
  </prop:property>
  <prop:property name="Creator" pid="3" fmtid="{D5CDD505-2E9C-101B-9397-08002B2CF9AE}">
    <vt:lpwstr>Microsoft® Word 2010</vt:lpwstr>
  </prop:property>
  <prop:property name="LastSaved" pid="4" fmtid="{D5CDD505-2E9C-101B-9397-08002B2CF9AE}">
    <vt:filetime>2018-02-22T00:00:00Z</vt:filetime>
  </prop:property>
  <prop:property name="Saved" pid="5" fmtid="{D5CDD505-2E9C-101B-9397-08002B2CF9AE}">
    <vt:bool>true</vt:bool>
  </prop:property>
  <prop:property name="Naslov" pid="6" fmtid="{D5CDD505-2E9C-101B-9397-08002B2CF9AE}">
    <vt:lpwstr>Podnesak - Podnesak (Agrokor mjesečno izvješće za kolovoz 2018.docx)</vt:lpwstr>
  </prop:property>
  <prop:property name="CC_coloring" pid="7" fmtid="{D5CDD505-2E9C-101B-9397-08002B2CF9AE}">
    <vt:bool>false</vt:bool>
  </prop:property>
  <prop:property name="BrojStranica" pid="8" fmtid="{D5CDD505-2E9C-101B-9397-08002B2CF9AE}">
    <vt:i4>36</vt:i4>
  </prop:property>
</prop:Properties>
</file>