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cc28d" w14:paraId="97cc28d" w:rsidRDefault="009D0BB9" w:rsidR="003157B6">
      <w:pPr>
        <w:spacing w:lineRule="exact" w:line="240"/>
        <w15:collapsed w:val="false"/>
        <w:rPr>
          <w:rFonts w:hint="eastAsia"/>
        </w:rPr>
      </w:pPr>
      <w:bookmarkStart w:name="_GoBack" w:id="0"/>
      <w:bookmarkEnd w:id="0"/>
      <w:r>
        <w:rPr>
          <w:rFonts w:cs="Times New Roman" w:eastAsia="Times New Roman" w:hAnsi="Times New Roman" w:ascii="Times New Roman"/>
          <w:b/>
          <w:i/>
          <w:shd w:fill="FFFFFF" w:color="auto" w:val="clear"/>
        </w:rPr>
        <w:t xml:space="preserve">         Stečajni upravitelj</w:t>
      </w:r>
    </w:p>
    <w:p w:rsidRDefault="009D0BB9" w:rsidR="003157B6">
      <w:pPr>
        <w:spacing w:lineRule="exact" w:line="240"/>
        <w:rPr>
          <w:rFonts w:hint="eastAsia"/>
        </w:rPr>
      </w:pPr>
      <w:r>
        <w:rPr>
          <w:rFonts w:cs="Times New Roman" w:eastAsia="Times New Roman" w:hAnsi="Times New Roman" w:ascii="Times New Roman"/>
          <w:i/>
          <w:shd w:fill="FFFFFF" w:color="auto" w:val="clear"/>
        </w:rPr>
        <w:t xml:space="preserve">   </w:t>
      </w:r>
      <w:r>
        <w:rPr>
          <w:rFonts w:cs="Times New Roman" w:eastAsia="Times New Roman" w:hAnsi="Times New Roman" w:ascii="Times New Roman"/>
          <w:b/>
          <w:i/>
          <w:shd w:fill="FFFFFF" w:color="auto" w:val="clear"/>
        </w:rPr>
        <w:t>LOVORKA JURANOVIĆ</w:t>
      </w:r>
    </w:p>
    <w:p w:rsidRDefault="009D0BB9" w:rsidR="003157B6">
      <w:pPr>
        <w:spacing w:lineRule="exact" w:line="240"/>
        <w:rPr>
          <w:rFonts w:hint="eastAsia"/>
        </w:rPr>
      </w:pPr>
      <w:r>
        <w:rPr>
          <w:rFonts w:cs="Times New Roman" w:eastAsia="Times New Roman" w:hAnsi="Times New Roman" w:ascii="Times New Roman"/>
          <w:i/>
          <w:shd w:fill="FFFFFF" w:color="auto" w:val="clear"/>
        </w:rPr>
        <w:t>Verdieva 6/III, 51000 Rijeka</w:t>
      </w:r>
    </w:p>
    <w:p w:rsidRDefault="009D0BB9" w:rsidR="003157B6">
      <w:pPr>
        <w:spacing w:lineRule="exact" w:line="240"/>
        <w:rPr>
          <w:rFonts w:hint="eastAsia"/>
        </w:rPr>
      </w:pPr>
      <w:r>
        <w:rPr>
          <w:rFonts w:cs="Times New Roman" w:eastAsia="Times New Roman" w:hAnsi="Times New Roman" w:ascii="Times New Roman"/>
          <w:i/>
          <w:shd w:fill="FFFFFF" w:color="auto" w:val="clear"/>
        </w:rPr>
        <w:t xml:space="preserve">     Gsm: +385 (0) 98 905 8659</w:t>
      </w:r>
    </w:p>
    <w:p w:rsidRDefault="009D0BB9" w:rsidR="003157B6">
      <w:pPr>
        <w:spacing w:lineRule="exact" w:line="240"/>
        <w:rPr>
          <w:rFonts w:hint="eastAsia"/>
        </w:rPr>
      </w:pPr>
      <w:r>
        <w:rPr>
          <w:rFonts w:cs="Times New Roman" w:eastAsia="Times New Roman" w:hAnsi="Times New Roman" w:ascii="Times New Roman"/>
          <w:i/>
          <w:shd w:fill="FFFFFF" w:color="auto" w:val="clear"/>
        </w:rPr>
        <w:t xml:space="preserve">e-mail: </w:t>
      </w:r>
      <w:hyperlink r:id="rId6" w:history="true">
        <w:r>
          <w:rPr>
            <w:rStyle w:val="Hiperveza"/>
            <w:rFonts w:cs="Times New Roman" w:eastAsia="Times New Roman" w:hAnsi="Times New Roman" w:ascii="Times New Roman"/>
            <w:i/>
            <w:color w:val="00000A"/>
            <w:shd w:fill="FFFFFF" w:color="auto" w:val="clear"/>
          </w:rPr>
          <w:t>lovorka.juranovic@gmail.com</w:t>
        </w:r>
      </w:hyperlink>
    </w:p>
    <w:p w:rsidRDefault="003157B6" w:rsidR="003157B6">
      <w:pPr>
        <w:spacing w:lineRule="exact" w:line="240"/>
        <w:rPr>
          <w:rFonts w:hint="eastAsia"/>
        </w:rPr>
      </w:pPr>
    </w:p>
    <w:p w:rsidRDefault="009D0BB9" w:rsidR="003157B6">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Na  posl.br. St-1443/17</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b/>
          <w:bCs/>
          <w:sz w:val="28"/>
          <w:szCs w:val="28"/>
        </w:rPr>
        <w:t>TRGOVAČKI SUD</w:t>
      </w:r>
    </w:p>
    <w:p w:rsidRDefault="009D0BB9" w:rsidR="003157B6">
      <w:pPr>
        <w:spacing w:lineRule="exact" w:line="276"/>
        <w:jc w:val="both"/>
        <w:rPr>
          <w:rFonts w:hint="eastAsia"/>
        </w:rPr>
      </w:pP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t>U  Z AG R E B U</w:t>
      </w:r>
    </w:p>
    <w:p w:rsidRDefault="009D0BB9" w:rsidR="003157B6">
      <w:pPr>
        <w:spacing w:lineRule="exact" w:line="276"/>
        <w:jc w:val="both"/>
        <w:rPr>
          <w:rFonts w:hint="eastAsia"/>
        </w:rPr>
      </w:pP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t>Stečajni sudac Nikolina Dorić-Hadžisejdić</w:t>
      </w:r>
    </w:p>
    <w:p w:rsidRDefault="003157B6" w:rsidR="003157B6">
      <w:pPr>
        <w:spacing w:lineRule="exact" w:line="276"/>
        <w:jc w:val="both"/>
        <w:rPr>
          <w:rFonts w:hint="eastAsia"/>
          <w:b/>
          <w:bCs/>
          <w:sz w:val="28"/>
          <w:szCs w:val="28"/>
        </w:rPr>
      </w:pPr>
    </w:p>
    <w:p w:rsidRDefault="003157B6" w:rsidR="003157B6">
      <w:pPr>
        <w:spacing w:lineRule="exact" w:line="276"/>
        <w:jc w:val="both"/>
        <w:rPr>
          <w:rFonts w:hint="eastAsia"/>
          <w:b/>
          <w:bCs/>
          <w:sz w:val="28"/>
          <w:szCs w:val="28"/>
        </w:rPr>
      </w:pPr>
    </w:p>
    <w:p w:rsidRDefault="003157B6" w:rsidR="003157B6">
      <w:pPr>
        <w:spacing w:lineRule="exact" w:line="276"/>
        <w:jc w:val="both"/>
        <w:rPr>
          <w:rFonts w:hint="eastAsia"/>
          <w:b/>
          <w:bCs/>
          <w:sz w:val="28"/>
          <w:szCs w:val="28"/>
        </w:rPr>
      </w:pPr>
    </w:p>
    <w:p w:rsidRDefault="009D0BB9" w:rsidR="003157B6">
      <w:pPr>
        <w:spacing w:lineRule="exact" w:line="276"/>
        <w:jc w:val="both"/>
        <w:rPr>
          <w:rFonts w:hint="eastAsia"/>
        </w:rPr>
      </w:pPr>
      <w:r>
        <w:rPr>
          <w:rFonts w:cs="Times New Roman" w:hAnsi="Times New Roman" w:ascii="Times New Roman"/>
        </w:rPr>
        <w:t xml:space="preserve">Predmet : stečajni postupak nad dužnikom I.T.D. d.o.o. u stečaju </w:t>
      </w:r>
    </w:p>
    <w:p w:rsidRDefault="009D0BB9" w:rsidR="003157B6">
      <w:pPr>
        <w:spacing w:lineRule="exact" w:line="276"/>
        <w:jc w:val="both"/>
        <w:rPr>
          <w:rFonts w:hint="eastAsia"/>
        </w:rPr>
      </w:pPr>
      <w:r>
        <w:rPr>
          <w:rFonts w:cs="Times New Roman" w:hAnsi="Times New Roman" w:ascii="Times New Roman"/>
        </w:rPr>
        <w:tab/>
        <w:t xml:space="preserve">     (OIB:53596530833) Samobor, Samostanska 20   </w:t>
      </w:r>
      <w:r>
        <w:rPr>
          <w:rFonts w:cs="Times New Roman" w:hAnsi="Times New Roman" w:ascii="Times New Roman"/>
        </w:rPr>
        <w:tab/>
        <w:t xml:space="preserve">  </w:t>
      </w:r>
      <w:r>
        <w:rPr>
          <w:rFonts w:cs="Times New Roman" w:hAnsi="Times New Roman" w:ascii="Times New Roman"/>
        </w:rPr>
        <w:tab/>
        <w:t xml:space="preserve"> </w:t>
      </w:r>
      <w:r>
        <w:rPr>
          <w:rFonts w:cs="Times New Roman" w:hAnsi="Times New Roman" w:ascii="Times New Roman"/>
        </w:rPr>
        <w:tab/>
        <w:t xml:space="preserve">    </w:t>
      </w:r>
    </w:p>
    <w:p w:rsidRDefault="009D0BB9" w:rsidR="003157B6">
      <w:pPr>
        <w:spacing w:lineRule="exact" w:line="276"/>
        <w:jc w:val="both"/>
        <w:rPr>
          <w:rFonts w:hint="eastAsia"/>
        </w:rPr>
      </w:pPr>
      <w:r>
        <w:rPr>
          <w:rFonts w:cs="Times New Roman" w:eastAsia="Times New Roman" w:hAnsi="Times New Roman" w:ascii="Times New Roman"/>
        </w:rPr>
        <w:t xml:space="preserve">     </w:t>
      </w:r>
    </w:p>
    <w:p w:rsidRDefault="003157B6" w:rsidR="003157B6">
      <w:pPr>
        <w:spacing w:lineRule="exact" w:line="276"/>
        <w:jc w:val="both"/>
        <w:rPr>
          <w:rFonts w:hint="eastAsia"/>
        </w:rPr>
      </w:pPr>
    </w:p>
    <w:p w:rsidRDefault="003157B6" w:rsidR="003157B6">
      <w:pPr>
        <w:spacing w:lineRule="exact" w:line="276"/>
        <w:jc w:val="both"/>
        <w:rPr>
          <w:rFonts w:hint="eastAsia"/>
        </w:rPr>
      </w:pPr>
    </w:p>
    <w:p w:rsidRDefault="009D0BB9" w:rsidR="003157B6">
      <w:pPr>
        <w:spacing w:lineRule="exact" w:line="276"/>
        <w:jc w:val="center"/>
        <w:rPr>
          <w:rFonts w:hint="eastAsia"/>
        </w:rPr>
      </w:pPr>
      <w:r>
        <w:rPr>
          <w:rFonts w:cs="Times New Roman" w:hAnsi="Times New Roman" w:ascii="Times New Roman"/>
          <w:b/>
          <w:bCs/>
          <w:sz w:val="28"/>
          <w:szCs w:val="28"/>
        </w:rPr>
        <w:t>IZVJEŠĆE STEČAJNOG UPRAVITELJA</w:t>
      </w:r>
    </w:p>
    <w:p w:rsidRDefault="009D0BB9" w:rsidR="003157B6">
      <w:pPr>
        <w:spacing w:lineRule="exact" w:line="276"/>
        <w:jc w:val="center"/>
        <w:rPr>
          <w:rFonts w:hint="eastAsia"/>
        </w:rPr>
      </w:pPr>
      <w:r>
        <w:rPr>
          <w:rFonts w:cs="Times New Roman" w:hAnsi="Times New Roman" w:ascii="Times New Roman"/>
        </w:rPr>
        <w:t>o gospodarskom stanju i položaju stečajnog dužnika</w:t>
      </w:r>
    </w:p>
    <w:p w:rsidRDefault="009D0BB9" w:rsidR="003157B6">
      <w:pPr>
        <w:spacing w:lineRule="exact" w:line="276"/>
        <w:jc w:val="center"/>
        <w:rPr>
          <w:rFonts w:hint="eastAsia"/>
        </w:rPr>
      </w:pPr>
      <w:r>
        <w:rPr>
          <w:rFonts w:cs="Times New Roman" w:hAnsi="Times New Roman" w:ascii="Times New Roman"/>
        </w:rPr>
        <w:t>za izvještajno ročište dana 08. svibnja 2019. godine</w:t>
      </w:r>
    </w:p>
    <w:p w:rsidRDefault="003157B6" w:rsidR="003157B6">
      <w:pPr>
        <w:spacing w:lineRule="exact" w:line="276"/>
        <w:jc w:val="center"/>
        <w:rPr>
          <w:rFonts w:hint="eastAsia"/>
        </w:rPr>
      </w:pPr>
    </w:p>
    <w:p w:rsidRDefault="009D0BB9" w:rsidR="003157B6">
      <w:pPr>
        <w:spacing w:lineRule="exact" w:line="276"/>
        <w:rPr>
          <w:rFonts w:hint="eastAsia"/>
        </w:rPr>
      </w:pPr>
      <w:r>
        <w:rPr>
          <w:rFonts w:cs="Times New Roman" w:hAnsi="Times New Roman" w:ascii="Times New Roman"/>
        </w:rPr>
        <w:t>2x.-</w:t>
      </w:r>
    </w:p>
    <w:p w:rsidRDefault="009D0BB9" w:rsidR="003157B6">
      <w:pPr>
        <w:spacing w:lineRule="exact" w:line="276"/>
        <w:rPr>
          <w:rFonts w:hint="eastAsia"/>
        </w:rPr>
      </w:pPr>
      <w:r>
        <w:rPr>
          <w:rFonts w:cs="Times New Roman" w:hAnsi="Times New Roman" w:ascii="Times New Roman"/>
        </w:rPr>
        <w:t>Priloga: 27.-</w:t>
      </w:r>
    </w:p>
    <w:p w:rsidRDefault="009D0BB9" w:rsidR="003157B6">
      <w:pPr>
        <w:spacing w:lineRule="exact" w:line="276"/>
        <w:rPr>
          <w:rFonts w:hint="eastAsia"/>
        </w:rPr>
      </w:pPr>
      <w:r>
        <w:rPr>
          <w:rFonts w:cs="Times New Roman" w:hAnsi="Times New Roman" w:ascii="Times New Roman"/>
        </w:rPr>
        <w:t>________________________________________________________________________</w:t>
      </w:r>
    </w:p>
    <w:p w:rsidRDefault="003157B6" w:rsidR="003157B6">
      <w:pPr>
        <w:spacing w:lineRule="exact" w:line="276"/>
        <w:rPr>
          <w:rFonts w:hint="eastAsia"/>
        </w:rPr>
      </w:pPr>
    </w:p>
    <w:p w:rsidRDefault="009D0BB9" w:rsidR="003157B6">
      <w:pPr>
        <w:spacing w:lineRule="exact" w:line="276"/>
        <w:rPr>
          <w:rFonts w:hint="eastAsia"/>
        </w:rPr>
      </w:pPr>
      <w:r>
        <w:rPr>
          <w:rFonts w:cs="Times New Roman" w:hAnsi="Times New Roman" w:ascii="Times New Roman"/>
        </w:rPr>
        <w:t>1. UVODNI DIO</w:t>
      </w:r>
    </w:p>
    <w:p w:rsidRDefault="003157B6" w:rsidR="003157B6">
      <w:pPr>
        <w:spacing w:lineRule="exact" w:line="276"/>
        <w:rPr>
          <w:rFonts w:hint="eastAsia"/>
        </w:rPr>
      </w:pPr>
    </w:p>
    <w:p w:rsidRDefault="009D0BB9" w:rsidR="003157B6">
      <w:pPr>
        <w:spacing w:lineRule="exact" w:line="276"/>
        <w:jc w:val="both"/>
        <w:rPr>
          <w:rFonts w:hint="eastAsia"/>
        </w:rPr>
      </w:pPr>
      <w:r>
        <w:rPr>
          <w:rFonts w:cs="Times New Roman" w:hAnsi="Times New Roman" w:ascii="Times New Roman"/>
        </w:rPr>
        <w:tab/>
        <w:t xml:space="preserve">Prijedlog za provedbu skraćenog stečajnog postupka nad dužnikom podnijela je FINA te je po objavljenom oglasu, Republika Hrvatska Ministarstvo financija Porezna uprava predložila otvaranje stečajnog postupka, budući je prema prijedlogu priloženom stanju računa poreznog obveznika proizašlo da dužnik po osnovi poreza, doprinosa, članarina duguje iznos od 333.241,26 kn te da ima imovinu, dok je nesposobnost za plaćanje utvrđena temeljem činjenice da je FINA navela da dužnik u Očevidniku osnova za plaćanje ima evidentirane neizvršene osnove za plaćanje u neprekinutom razdoblju od 631 dana. </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ab/>
        <w:t>Rješenjem Trgovačkog suda u Zagrebu posl.br. St-1443/17 od 24. siječnja 2019. godine otvoren je stečajni postupak nad dužnikom, imenovana stečajna upraviteljica Lovorka Juranović, pozvani su vjerovnici na prijavu tražbina te zakazano ispitno i izvještajno ročište za dan 08.05.2019. godine.</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2. OPĆI PODACI O DUŽNIKU</w:t>
      </w:r>
    </w:p>
    <w:p w:rsidRDefault="009D0BB9" w:rsidR="003157B6">
      <w:pPr>
        <w:spacing w:lineRule="exact" w:line="276"/>
        <w:jc w:val="both"/>
        <w:rPr>
          <w:rFonts w:hint="eastAsia"/>
        </w:rPr>
      </w:pPr>
      <w:r>
        <w:rPr>
          <w:rFonts w:cs="Times New Roman" w:hAnsi="Times New Roman" w:ascii="Times New Roman"/>
        </w:rPr>
        <w:tab/>
      </w:r>
    </w:p>
    <w:p w:rsidRDefault="009D0BB9" w:rsidR="003157B6">
      <w:pPr>
        <w:spacing w:lineRule="exact" w:line="276"/>
        <w:jc w:val="both"/>
        <w:rPr>
          <w:rFonts w:hint="eastAsia"/>
        </w:rPr>
      </w:pPr>
      <w:r>
        <w:rPr>
          <w:rFonts w:cs="Times New Roman" w:hAnsi="Times New Roman" w:ascii="Times New Roman"/>
        </w:rPr>
        <w:tab/>
        <w:t xml:space="preserve">Stečajni dužnik I.T.D. d.o.o. za izdavačku djelatnost (OIB: 53596530833) Samobor, Samostanska 20, osnovano je i upisano u sudski registar Trgovačkog suda u </w:t>
      </w:r>
      <w:r>
        <w:rPr>
          <w:rFonts w:cs="Times New Roman" w:hAnsi="Times New Roman" w:ascii="Times New Roman"/>
        </w:rPr>
        <w:lastRenderedPageBreak/>
        <w:t xml:space="preserve">Zagrebu dana 07.11.1991. godine kao društvo s ograničenom odgovornošću,  a upisani temeljni kapital društva iznosi 30.000,00 kuna. </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ab/>
        <w:t xml:space="preserve">Osnovna djelatnost društva prema podacima iz sudskog registra je izdavačka djelatnost, a prema NKD je nespecijalizirana trgovina na veliko. </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ab/>
        <w:t>Osnivači/članovi društva su:</w:t>
      </w:r>
    </w:p>
    <w:p w:rsidRDefault="009D0BB9" w:rsidR="003157B6">
      <w:pPr>
        <w:spacing w:lineRule="exact" w:line="276"/>
        <w:jc w:val="both"/>
        <w:rPr>
          <w:rFonts w:hint="eastAsia"/>
        </w:rPr>
      </w:pPr>
      <w:r>
        <w:rPr>
          <w:rFonts w:cs="Times New Roman" w:hAnsi="Times New Roman" w:ascii="Times New Roman"/>
        </w:rPr>
        <w:tab/>
        <w:t xml:space="preserve"> Darko Pavičić (OIB: 31826008787) iz Zagreba, Istarska ulica 45/B, jedini član </w:t>
      </w:r>
      <w:r>
        <w:rPr>
          <w:rFonts w:cs="Times New Roman" w:hAnsi="Times New Roman" w:ascii="Times New Roman"/>
        </w:rPr>
        <w:tab/>
        <w:t>d.o.o.</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ab/>
        <w:t xml:space="preserve">Napominje se da je pravomoćnom presudom Trgovačkog suda u Zagrebu posl.br. P-3555/2013 od 16. svibnja 2016. godine utvrđeno da je tužiteljica Tatjana Pavičić , OIB: 59616016622, ( kasnije promijenila osobno ime u Tanja Marinović) ovlaštenik na ½ poslovnog udjela tuženika Darka Pavičića u trgovačkom društvu I.T.D. d.o.o. Samobor, te naloženo tuženiku I društvu I.T.D. d.o.o. da u sudskom registru izvrše upis tužiteljice kao ovlaštenika na poslovnom udjelu I.T.D. d.o.o. u ½ dijela u roku od 8 dana, što će u protivnom zamijeniti ta presuda te će u knjizi poslovnih udjela društva I.T.D. d.o.o. Samobor biti upisani ovlaštenici na poslovnom udjelu i to Tatjana Pavičić u ½ dijela i Darko Pavičić u ½ dijela. U sudskom registru upisana je zabilježba navedene presude. </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ab/>
        <w:t xml:space="preserve">Osobe ovlaštene za zastupanje društva bio je: </w:t>
      </w:r>
    </w:p>
    <w:p w:rsidRDefault="009D0BB9" w:rsidR="003157B6">
      <w:pPr>
        <w:spacing w:lineRule="exact" w:line="276"/>
        <w:jc w:val="both"/>
        <w:rPr>
          <w:rFonts w:hint="eastAsia"/>
        </w:rPr>
      </w:pPr>
      <w:r>
        <w:rPr>
          <w:rFonts w:cs="Times New Roman" w:hAnsi="Times New Roman" w:ascii="Times New Roman"/>
        </w:rPr>
        <w:tab/>
        <w:t xml:space="preserve"> Darko Pavičić (OIB: 31826008787) iz Zagreba, Istarska ulica 45/B.</w:t>
      </w:r>
    </w:p>
    <w:p w:rsidRDefault="003157B6" w:rsidR="003157B6">
      <w:pPr>
        <w:spacing w:lineRule="exact" w:line="276"/>
        <w:jc w:val="both"/>
        <w:rPr>
          <w:rFonts w:hint="eastAsia"/>
        </w:rPr>
      </w:pP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3. TIJEK POSTUPKA I PODUZETE RADNJE STEČAJNOG UPRAVITELJA</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ab/>
        <w:t xml:space="preserve">Nakon otvaranja stečajnog postupka pisanim putem sam se obratila bivšem zakonskom zastupniku dužnika i gđi Tatjani Pavičić te ih pozvala na primopredaju dokumentacije o poslovanju dužnika i predaju vozila u posjed. S obzirom na inicijalne probleme s dolaskom u kontakt s bivšim z.z. dužnika, upitom na Poreznu upravu Područni ured Samobor dobila sam informaciju da je knjigovodstvo dužnika vodilo društvo Kaleidoskop Samobor d.o.o., koje mi je dostavilo bruto bilance društva za razdoblje od 2009-2013 godine, dok da Poreznoj upravi od 2014. godine nikakva dokumentacija nije dostavljana. </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ab/>
        <w:t xml:space="preserve">Kasnije sam uspostavila kontakt s bivšim z.z. dužnika i gđom Tatjanom Pavičić (Tanjom Marinović), a potonja mi je dostavila i podnesak upućen u predmetni stečajni spis od dana 19.02.2019. godine iz kojeg sam dobila uvid prije svega o sudskim postupcima koji se protiv društva vode. </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ab/>
        <w:t xml:space="preserve">Izvršen je uvid u zadnji objavljeni GFI dužnika za 2013. godinu. Prema riječima gđe Nataše Filipec iz društva Igna-promet d.o.o. zadnji PDV obrazac predan za 31.12.2015., za koju godinu da nisu radili završni račun, a zadnji predani PD obrazac je bio za 2014.g. </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ab/>
        <w:t xml:space="preserve">Obzirom da od 2014. godine nisu vođene poslovne knjige, iskazani podaci se ne </w:t>
      </w:r>
      <w:r>
        <w:rPr>
          <w:rFonts w:cs="Times New Roman" w:hAnsi="Times New Roman" w:ascii="Times New Roman"/>
        </w:rPr>
        <w:lastRenderedPageBreak/>
        <w:t>mogu uzeti kao vjerodostojni u pogledu utvrđivanja stanja imovine i obveza dužnika danas, no u nedostatku druge dokumentacije, temeljem ove raspoložive izrađena je početna knjigovodstvena stečajna bilanca  po knjigovodstvenom servisu Reditus d.o.o. Rijeka, Verdijeva 6/III.</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ab/>
        <w:t xml:space="preserve">Zakonski zastupnici dužnika nije predao stečajnoj upraviteljici stari pečat društva, a izrađen je novi pečat s naznakom dužnika u stečaju. </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ab/>
        <w:t>Poslovni račun društva vodio se u Addiko Bank d.d. I sukladno pravilima banke zatvoren je dana 25.01.2019. godine, a na računu nije bilo novčanih sredstava. Otvoren je novi  poslovni račun dužnika kod Podravske banke d.d. pod brojem IBAN: HR8723860021119026594.</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ab/>
        <w:t xml:space="preserve">Sklopljen je ugovor o obavljanju knjigovodstvenih usluga s društvom Reditus d.o.o. Rijeka, Verdijeva 6/III, s time da će se iznos naknade za pružene usluge obračunati naknadno. </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ab/>
        <w:t>Ishođena je promjena u NKD kod Državnog zavoda za statistiku s obzirom na otvoreni stečajni postupak nad dužnikom.</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ab/>
        <w:t>U roku za prijavu tražbina zaprimljeno je  ukupno 11 prijava tražbina vjerovnika.</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ab/>
        <w:t xml:space="preserve">Dužnik ne obavlja djelatnost i nema zaposlenih radnika. </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ab/>
        <w:t xml:space="preserve">Izvršen je obilazak nekretnine na adresi sjedišta društva u pristutnosti gđe Tanje Marinović, s kojom je sklopljen ugovor o najmu stana u kući na adresi u Samoboru, Samostanska 20 uz ugovorenu najamninu u iznosu od 750,00 kn mjesečno (s obzirom na stanje čitave nekretnine) za razdoblje od 08.03.2019. pa do izvještajnog ročišta zakazanog za dan 08.05.2019. godine, uz obvezu snašanja režijskih troškova nekretnine, obzirom da je prema procjeni stečajnog upravitelja bilo korisnije bar dio ove nekretnine dati u najam na kratko vrijeme te na taj način smanjiti obveze stečajne mase, dok skupština vjerovnika ne odluči o daljnjem postupanju s nekretninom. Najmodavac je stečajnoj upraviteljici predložio da na skupštini vjerovnika iznese prijedlog da joj se najam nekretnine produži do prodaje nekretnine u stečajnom postupku. </w:t>
      </w:r>
    </w:p>
    <w:p w:rsidRDefault="003157B6" w:rsidR="003157B6">
      <w:pPr>
        <w:spacing w:lineRule="exact" w:line="276"/>
        <w:jc w:val="both"/>
        <w:rPr>
          <w:rFonts w:hint="eastAsia"/>
        </w:rPr>
      </w:pP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4. GOSPODARSKI POLOŽAJ DUŽNIKA I NJEGOVI UZROCI</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ab/>
        <w:t xml:space="preserve">Prema navodima bivšeg z.z. dužnika, društvo je imalo dvije osnovne djelatnosti – oglašavanje (na javnim stupovima u Samoboru i Svetoj Nedjelji) i medijsko-publicističku djelatnost (ugovor s Večernjim listom). Koncesije za oglašavanje na javnim stupovima da su bila ugovorene na 10 godina i trajale do 2013. godine, kada su obje koncesije istekle. U međuvremenu da je društvo kupilo parcele na Žumberku, obzirom da se planiralo početi s ekološkom proizvodnjom i farmom koza. Također, društvo da je kupilo stan u Zadru, Velebitska 1 i na toj adresi registiralo podružnicu, obzirom da su djelatnost oglašavanja planirali proširiti i na Zadar. Da je društvo poslovalo s dobiti sve do 2013. </w:t>
      </w:r>
      <w:r>
        <w:rPr>
          <w:rFonts w:cs="Times New Roman" w:hAnsi="Times New Roman" w:ascii="Times New Roman"/>
        </w:rPr>
        <w:lastRenderedPageBreak/>
        <w:t xml:space="preserve">godine, da dobit nije isplaćivao već ju je prebijao s pozajmicama i to do 2009. godine, a nakon toga da nije bilo prijeboja pa sada vodi sudski postupak protiv dužnika radi isplate dobiti za razdoblje od 2009-2013. godine. Glavni uzrok prestanka poslovanja društva da su bili obiteljski, odnosno bračni odnosi te u 2013.g. dolazi do razvoda braka između njega i Tanje Marinović, a od 2014. godine da je društvo potpuno prestalo obavljati djelatnost. Da su predujmovi poreza na dobit utvrđeni u visokom iznosu temeljem prijave poreza na dobit za 2013. godinu i da društvo obveze nije moglo podmirivati te račun društva dolazi u blokadu iz koje više ne izlazi. On da od 2014.g. djelatnost obavlja u Pavičić izdavaštvo i publicistika j.d.o.o. Zagreb, Istarska 45 B. Za dužnika da od 2014. godine nije predavana nikakva dokumentacija, nisu vođene poslovne knjige niti je predana izjava o neaktivnosti društva. On da nikakvu dokumentaciju u poslovanju društva ne posjeduje, jer je sva uzeta od strane Policijske uprave za potrebe istražnog, a kasnije i kaznenog postupka koji se protiv njega vodi pred Županijskim sudom u Velikoj Gorici. </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5. IMOVINA STEČAJNOG DUŽNIKA</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a) knjigovodstveni podaci</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U bilanci na dan 31.12.2013.g, iskazana je aktiva u iznosu od 1.195.385 kn, koja se sastoji od sljedećeg:</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Dugotrajna imovina</w:t>
      </w:r>
    </w:p>
    <w:tbl>
      <w:tblPr>
        <w:tblW w:type="auto" w:w="0"/>
        <w:tblInd w:type="dxa" w:w="55"/>
        <w:tblLayout w:type="fixed"/>
        <w:tblCellMar>
          <w:top w:type="dxa" w:w="55"/>
          <w:left w:type="dxa" w:w="55"/>
          <w:bottom w:type="dxa" w:w="55"/>
          <w:right w:type="dxa" w:w="55"/>
        </w:tblCellMar>
        <w:tblLook w:val="0000" w:noVBand="0" w:noHBand="0" w:lastColumn="0" w:firstColumn="0" w:lastRow="0" w:firstRow="0"/>
      </w:tblPr>
      <w:tblGrid>
        <w:gridCol w:w="4320"/>
        <w:gridCol w:w="4326"/>
      </w:tblGrid>
      <w:tr w:rsidR="003157B6">
        <w:tc>
          <w:tcPr>
            <w:tcW w:type="dxa" w:w="4320"/>
            <w:tcBorders>
              <w:top w:space="0" w:sz="1" w:color="000000" w:val="single"/>
              <w:left w:space="0" w:sz="1" w:color="000000" w:val="single"/>
              <w:bottom w:space="0" w:sz="1" w:color="000000" w:val="single"/>
            </w:tcBorders>
            <w:shd w:fill="auto" w:color="auto" w:val="clear"/>
          </w:tcPr>
          <w:p w:rsidRDefault="009D0BB9" w:rsidR="003157B6">
            <w:pPr>
              <w:pStyle w:val="Sadrajitablice"/>
              <w:rPr>
                <w:rFonts w:hint="eastAsia"/>
              </w:rPr>
            </w:pPr>
            <w:r>
              <w:rPr>
                <w:rFonts w:cs="Times New Roman" w:hAnsi="Times New Roman" w:ascii="Times New Roman"/>
              </w:rPr>
              <w:t>Nematerijalna imovina</w:t>
            </w:r>
          </w:p>
        </w:tc>
        <w:tc>
          <w:tcPr>
            <w:tcW w:type="dxa" w:w="4326"/>
            <w:tcBorders>
              <w:top w:space="0" w:sz="1" w:color="000000" w:val="single"/>
              <w:left w:space="0" w:sz="1" w:color="000000" w:val="single"/>
              <w:bottom w:space="0" w:sz="1" w:color="000000" w:val="single"/>
              <w:right w:space="0" w:sz="1" w:color="000000" w:val="single"/>
            </w:tcBorders>
            <w:shd w:fill="auto" w:color="auto" w:val="clear"/>
          </w:tcPr>
          <w:p w:rsidRDefault="009D0BB9" w:rsidR="003157B6">
            <w:pPr>
              <w:pStyle w:val="Sadrajitablice"/>
              <w:rPr>
                <w:rFonts w:hint="eastAsia"/>
              </w:rPr>
            </w:pPr>
            <w:r>
              <w:rPr>
                <w:rFonts w:cs="Times New Roman" w:eastAsia="Times New Roman" w:hAnsi="Times New Roman" w:ascii="Times New Roman"/>
              </w:rPr>
              <w:t xml:space="preserve">    </w:t>
            </w:r>
            <w:r>
              <w:rPr>
                <w:rFonts w:cs="Times New Roman" w:hAnsi="Times New Roman" w:ascii="Times New Roman"/>
              </w:rPr>
              <w:t>1.913</w:t>
            </w:r>
          </w:p>
        </w:tc>
      </w:tr>
      <w:tr w:rsidR="003157B6">
        <w:tc>
          <w:tcPr>
            <w:tcW w:type="dxa" w:w="4320"/>
            <w:tcBorders>
              <w:left w:space="0" w:sz="1" w:color="000000" w:val="single"/>
              <w:bottom w:space="0" w:sz="1" w:color="000000" w:val="single"/>
            </w:tcBorders>
            <w:shd w:fill="auto" w:color="auto" w:val="clear"/>
          </w:tcPr>
          <w:p w:rsidRDefault="009D0BB9" w:rsidR="003157B6">
            <w:pPr>
              <w:pStyle w:val="Sadrajitablice"/>
              <w:rPr>
                <w:rFonts w:hint="eastAsia"/>
              </w:rPr>
            </w:pPr>
            <w:r>
              <w:rPr>
                <w:rFonts w:cs="Times New Roman" w:hAnsi="Times New Roman" w:ascii="Times New Roman"/>
              </w:rPr>
              <w:t xml:space="preserve">Materijalna imovina </w:t>
            </w:r>
          </w:p>
        </w:tc>
        <w:tc>
          <w:tcPr>
            <w:tcW w:type="dxa" w:w="4326"/>
            <w:tcBorders>
              <w:left w:space="0" w:sz="1" w:color="000000" w:val="single"/>
              <w:bottom w:space="0" w:sz="1" w:color="000000" w:val="single"/>
              <w:right w:space="0" w:sz="1" w:color="000000" w:val="single"/>
            </w:tcBorders>
            <w:shd w:fill="auto" w:color="auto" w:val="clear"/>
          </w:tcPr>
          <w:p w:rsidRDefault="009D0BB9" w:rsidR="003157B6">
            <w:pPr>
              <w:pStyle w:val="Sadrajitablice"/>
              <w:rPr>
                <w:rFonts w:hint="eastAsia"/>
              </w:rPr>
            </w:pPr>
            <w:r>
              <w:rPr>
                <w:rFonts w:cs="Times New Roman" w:hAnsi="Times New Roman" w:ascii="Times New Roman"/>
              </w:rPr>
              <w:t>188.713</w:t>
            </w:r>
          </w:p>
        </w:tc>
      </w:tr>
    </w:tbl>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Kratkotrajna imovina</w:t>
      </w:r>
    </w:p>
    <w:tbl>
      <w:tblPr>
        <w:tblW w:type="auto" w:w="0"/>
        <w:tblInd w:type="dxa" w:w="55"/>
        <w:tblLayout w:type="fixed"/>
        <w:tblCellMar>
          <w:top w:type="dxa" w:w="55"/>
          <w:left w:type="dxa" w:w="55"/>
          <w:bottom w:type="dxa" w:w="55"/>
          <w:right w:type="dxa" w:w="55"/>
        </w:tblCellMar>
        <w:tblLook w:val="0000" w:noVBand="0" w:noHBand="0" w:lastColumn="0" w:firstColumn="0" w:lastRow="0" w:firstRow="0"/>
      </w:tblPr>
      <w:tblGrid>
        <w:gridCol w:w="4320"/>
        <w:gridCol w:w="4326"/>
      </w:tblGrid>
      <w:tr w:rsidR="003157B6">
        <w:tc>
          <w:tcPr>
            <w:tcW w:type="dxa" w:w="4320"/>
            <w:tcBorders>
              <w:top w:space="0" w:sz="1" w:color="000000" w:val="single"/>
              <w:left w:space="0" w:sz="1" w:color="000000" w:val="single"/>
              <w:bottom w:space="0" w:sz="1" w:color="000000" w:val="single"/>
            </w:tcBorders>
            <w:shd w:fill="auto" w:color="auto" w:val="clear"/>
          </w:tcPr>
          <w:p w:rsidRDefault="009D0BB9" w:rsidR="003157B6">
            <w:pPr>
              <w:pStyle w:val="Sadrajitablice"/>
              <w:rPr>
                <w:rFonts w:hint="eastAsia"/>
              </w:rPr>
            </w:pPr>
            <w:r>
              <w:rPr>
                <w:rFonts w:cs="Times New Roman" w:hAnsi="Times New Roman" w:ascii="Times New Roman"/>
              </w:rPr>
              <w:t>Potraživanja</w:t>
            </w:r>
          </w:p>
        </w:tc>
        <w:tc>
          <w:tcPr>
            <w:tcW w:type="dxa" w:w="4326"/>
            <w:tcBorders>
              <w:top w:space="0" w:sz="1" w:color="000000" w:val="single"/>
              <w:left w:space="0" w:sz="1" w:color="000000" w:val="single"/>
              <w:bottom w:space="0" w:sz="1" w:color="000000" w:val="single"/>
              <w:right w:space="0" w:sz="1" w:color="000000" w:val="single"/>
            </w:tcBorders>
            <w:shd w:fill="auto" w:color="auto" w:val="clear"/>
          </w:tcPr>
          <w:p w:rsidRDefault="009D0BB9" w:rsidR="003157B6">
            <w:pPr>
              <w:pStyle w:val="Sadrajitablice"/>
              <w:rPr>
                <w:rFonts w:hint="eastAsia"/>
              </w:rPr>
            </w:pPr>
            <w:r>
              <w:rPr>
                <w:rFonts w:cs="Times New Roman" w:hAnsi="Times New Roman" w:ascii="Times New Roman"/>
              </w:rPr>
              <w:t>240.519</w:t>
            </w:r>
          </w:p>
        </w:tc>
      </w:tr>
      <w:tr w:rsidR="003157B6">
        <w:tc>
          <w:tcPr>
            <w:tcW w:type="dxa" w:w="4320"/>
            <w:tcBorders>
              <w:left w:space="0" w:sz="1" w:color="000000" w:val="single"/>
              <w:bottom w:space="0" w:sz="1" w:color="000000" w:val="single"/>
            </w:tcBorders>
            <w:shd w:fill="auto" w:color="auto" w:val="clear"/>
          </w:tcPr>
          <w:p w:rsidRDefault="009D0BB9" w:rsidR="003157B6">
            <w:pPr>
              <w:pStyle w:val="Sadrajitablice"/>
              <w:rPr>
                <w:rFonts w:hint="eastAsia"/>
              </w:rPr>
            </w:pPr>
            <w:r>
              <w:rPr>
                <w:rFonts w:cs="Times New Roman" w:hAnsi="Times New Roman" w:ascii="Times New Roman"/>
              </w:rPr>
              <w:t>Kratkotrajna financijska imovina</w:t>
            </w:r>
          </w:p>
        </w:tc>
        <w:tc>
          <w:tcPr>
            <w:tcW w:type="dxa" w:w="4326"/>
            <w:tcBorders>
              <w:left w:space="0" w:sz="1" w:color="000000" w:val="single"/>
              <w:bottom w:space="0" w:sz="1" w:color="000000" w:val="single"/>
              <w:right w:space="0" w:sz="1" w:color="000000" w:val="single"/>
            </w:tcBorders>
            <w:shd w:fill="auto" w:color="auto" w:val="clear"/>
          </w:tcPr>
          <w:p w:rsidRDefault="009D0BB9" w:rsidR="003157B6">
            <w:pPr>
              <w:pStyle w:val="Sadrajitablice"/>
              <w:rPr>
                <w:rFonts w:hint="eastAsia"/>
              </w:rPr>
            </w:pPr>
            <w:r>
              <w:rPr>
                <w:rFonts w:cs="Times New Roman" w:hAnsi="Times New Roman" w:ascii="Times New Roman"/>
              </w:rPr>
              <w:t>764.240</w:t>
            </w:r>
          </w:p>
        </w:tc>
      </w:tr>
    </w:tbl>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Prema bilješkama uz bilancu, materijalna imovina ima sljedeću strukturu:</w:t>
      </w:r>
    </w:p>
    <w:p w:rsidRDefault="003157B6" w:rsidR="003157B6">
      <w:pPr>
        <w:spacing w:lineRule="exact" w:line="276"/>
        <w:jc w:val="both"/>
        <w:rPr>
          <w:rFonts w:cs="Times New Roman" w:hAnsi="Times New Roman" w:ascii="Times New Roman"/>
        </w:rPr>
      </w:pPr>
    </w:p>
    <w:tbl>
      <w:tblPr>
        <w:tblW w:type="auto" w:w="0"/>
        <w:tblInd w:type="dxa" w:w="55"/>
        <w:tblLayout w:type="fixed"/>
        <w:tblCellMar>
          <w:top w:type="dxa" w:w="55"/>
          <w:left w:type="dxa" w:w="55"/>
          <w:bottom w:type="dxa" w:w="55"/>
          <w:right w:type="dxa" w:w="55"/>
        </w:tblCellMar>
        <w:tblLook w:val="0000" w:noVBand="0" w:noHBand="0" w:lastColumn="0" w:firstColumn="0" w:lastRow="0" w:firstRow="0"/>
      </w:tblPr>
      <w:tblGrid>
        <w:gridCol w:w="4320"/>
        <w:gridCol w:w="4326"/>
      </w:tblGrid>
      <w:tr w:rsidR="003157B6">
        <w:tc>
          <w:tcPr>
            <w:tcW w:type="dxa" w:w="4320"/>
            <w:tcBorders>
              <w:top w:space="0" w:sz="1" w:color="000000" w:val="single"/>
              <w:left w:space="0" w:sz="1" w:color="000000" w:val="single"/>
              <w:bottom w:space="0" w:sz="1" w:color="000000" w:val="single"/>
            </w:tcBorders>
            <w:shd w:fill="auto" w:color="auto" w:val="clear"/>
          </w:tcPr>
          <w:p w:rsidRDefault="009D0BB9" w:rsidR="003157B6">
            <w:pPr>
              <w:pStyle w:val="Sadrajitablice"/>
              <w:rPr>
                <w:rFonts w:hint="eastAsia"/>
              </w:rPr>
            </w:pPr>
            <w:r>
              <w:rPr>
                <w:rFonts w:cs="Times New Roman" w:eastAsia="Times New Roman" w:hAnsi="Times New Roman" w:ascii="Times New Roman"/>
                <w:sz w:val="22"/>
                <w:szCs w:val="22"/>
              </w:rPr>
              <w:t xml:space="preserve">                    </w:t>
            </w:r>
            <w:r>
              <w:rPr>
                <w:rFonts w:cs="Times New Roman" w:hAnsi="Times New Roman" w:ascii="Times New Roman"/>
                <w:sz w:val="22"/>
                <w:szCs w:val="22"/>
              </w:rPr>
              <w:t>Opis</w:t>
            </w:r>
          </w:p>
        </w:tc>
        <w:tc>
          <w:tcPr>
            <w:tcW w:type="dxa" w:w="4326"/>
            <w:tcBorders>
              <w:top w:space="0" w:sz="1" w:color="000000" w:val="single"/>
              <w:left w:space="0" w:sz="1" w:color="000000" w:val="single"/>
              <w:bottom w:space="0" w:sz="1" w:color="000000" w:val="single"/>
              <w:right w:space="0" w:sz="1" w:color="000000" w:val="single"/>
            </w:tcBorders>
            <w:shd w:fill="auto" w:color="auto" w:val="clear"/>
          </w:tcPr>
          <w:p w:rsidRDefault="009D0BB9" w:rsidR="003157B6">
            <w:pPr>
              <w:pStyle w:val="Sadrajitablice"/>
              <w:rPr>
                <w:rFonts w:hint="eastAsia"/>
              </w:rPr>
            </w:pPr>
            <w:r>
              <w:rPr>
                <w:rFonts w:cs="Times New Roman" w:eastAsia="Times New Roman" w:hAnsi="Times New Roman" w:ascii="Times New Roman"/>
                <w:sz w:val="22"/>
                <w:szCs w:val="22"/>
              </w:rPr>
              <w:t xml:space="preserve">       </w:t>
            </w:r>
            <w:r>
              <w:rPr>
                <w:rFonts w:cs="Times New Roman" w:hAnsi="Times New Roman" w:ascii="Times New Roman"/>
                <w:sz w:val="22"/>
                <w:szCs w:val="22"/>
              </w:rPr>
              <w:t>Neto vrijednost na dan 31.12.2013.</w:t>
            </w:r>
          </w:p>
        </w:tc>
      </w:tr>
      <w:tr w:rsidR="003157B6">
        <w:tc>
          <w:tcPr>
            <w:tcW w:type="dxa" w:w="4320"/>
            <w:tcBorders>
              <w:left w:space="0" w:sz="1" w:color="000000" w:val="single"/>
              <w:bottom w:space="0" w:sz="1" w:color="000000" w:val="single"/>
            </w:tcBorders>
            <w:shd w:fill="auto" w:color="auto" w:val="clear"/>
          </w:tcPr>
          <w:p w:rsidRDefault="009D0BB9" w:rsidR="003157B6">
            <w:pPr>
              <w:pStyle w:val="Sadrajitablice"/>
              <w:rPr>
                <w:rFonts w:hint="eastAsia"/>
              </w:rPr>
            </w:pPr>
            <w:r>
              <w:rPr>
                <w:rFonts w:cs="Times New Roman" w:hAnsi="Times New Roman" w:ascii="Times New Roman"/>
                <w:sz w:val="22"/>
                <w:szCs w:val="22"/>
              </w:rPr>
              <w:t>Zemljišta i šume</w:t>
            </w:r>
          </w:p>
        </w:tc>
        <w:tc>
          <w:tcPr>
            <w:tcW w:type="dxa" w:w="4326"/>
            <w:tcBorders>
              <w:left w:space="0" w:sz="1" w:color="000000" w:val="single"/>
              <w:bottom w:space="0" w:sz="1" w:color="000000" w:val="single"/>
              <w:right w:space="0" w:sz="1" w:color="000000" w:val="single"/>
            </w:tcBorders>
            <w:shd w:fill="auto" w:color="auto" w:val="clear"/>
          </w:tcPr>
          <w:p w:rsidRDefault="009D0BB9" w:rsidR="003157B6">
            <w:pPr>
              <w:pStyle w:val="Sadrajitablice"/>
              <w:rPr>
                <w:rFonts w:hint="eastAsia"/>
              </w:rPr>
            </w:pPr>
            <w:r>
              <w:rPr>
                <w:rFonts w:cs="Times New Roman" w:hAnsi="Times New Roman" w:ascii="Times New Roman"/>
                <w:sz w:val="22"/>
                <w:szCs w:val="22"/>
              </w:rPr>
              <w:t>123.387</w:t>
            </w:r>
          </w:p>
        </w:tc>
      </w:tr>
      <w:tr w:rsidR="003157B6">
        <w:tc>
          <w:tcPr>
            <w:tcW w:type="dxa" w:w="4320"/>
            <w:tcBorders>
              <w:left w:space="0" w:sz="1" w:color="000000" w:val="single"/>
              <w:bottom w:space="0" w:sz="1" w:color="000000" w:val="single"/>
            </w:tcBorders>
            <w:shd w:fill="auto" w:color="auto" w:val="clear"/>
          </w:tcPr>
          <w:p w:rsidRDefault="009D0BB9" w:rsidR="003157B6">
            <w:pPr>
              <w:pStyle w:val="Sadrajitablice"/>
              <w:rPr>
                <w:rFonts w:hint="eastAsia"/>
              </w:rPr>
            </w:pPr>
            <w:r>
              <w:rPr>
                <w:rFonts w:cs="Times New Roman" w:hAnsi="Times New Roman" w:ascii="Times New Roman"/>
                <w:sz w:val="22"/>
                <w:szCs w:val="22"/>
              </w:rPr>
              <w:t xml:space="preserve">Postrojenja i oprema </w:t>
            </w:r>
          </w:p>
        </w:tc>
        <w:tc>
          <w:tcPr>
            <w:tcW w:type="dxa" w:w="4326"/>
            <w:tcBorders>
              <w:left w:space="0" w:sz="1" w:color="000000" w:val="single"/>
              <w:bottom w:space="0" w:sz="1" w:color="000000" w:val="single"/>
              <w:right w:space="0" w:sz="1" w:color="000000" w:val="single"/>
            </w:tcBorders>
            <w:shd w:fill="auto" w:color="auto" w:val="clear"/>
          </w:tcPr>
          <w:p w:rsidRDefault="009D0BB9" w:rsidR="003157B6">
            <w:pPr>
              <w:pStyle w:val="Sadrajitablice"/>
              <w:rPr>
                <w:rFonts w:hint="eastAsia"/>
              </w:rPr>
            </w:pPr>
            <w:r>
              <w:rPr>
                <w:rFonts w:cs="Times New Roman" w:eastAsia="Times New Roman" w:hAnsi="Times New Roman" w:ascii="Times New Roman"/>
                <w:sz w:val="22"/>
                <w:szCs w:val="22"/>
              </w:rPr>
              <w:t xml:space="preserve">           </w:t>
            </w:r>
            <w:r>
              <w:rPr>
                <w:rFonts w:cs="Times New Roman" w:hAnsi="Times New Roman" w:ascii="Times New Roman"/>
                <w:sz w:val="22"/>
                <w:szCs w:val="22"/>
              </w:rPr>
              <w:t>0</w:t>
            </w:r>
          </w:p>
        </w:tc>
      </w:tr>
      <w:tr w:rsidR="003157B6">
        <w:tc>
          <w:tcPr>
            <w:tcW w:type="dxa" w:w="4320"/>
            <w:tcBorders>
              <w:left w:space="0" w:sz="1" w:color="000000" w:val="single"/>
              <w:bottom w:space="0" w:sz="1" w:color="000000" w:val="single"/>
            </w:tcBorders>
            <w:shd w:fill="auto" w:color="auto" w:val="clear"/>
          </w:tcPr>
          <w:p w:rsidRDefault="009D0BB9" w:rsidR="003157B6">
            <w:pPr>
              <w:pStyle w:val="Sadrajitablice"/>
              <w:rPr>
                <w:rFonts w:hint="eastAsia"/>
              </w:rPr>
            </w:pPr>
            <w:r>
              <w:rPr>
                <w:rFonts w:cs="Times New Roman" w:hAnsi="Times New Roman" w:ascii="Times New Roman"/>
                <w:sz w:val="22"/>
                <w:szCs w:val="22"/>
              </w:rPr>
              <w:t>Alati, transportna sredstva,namještaj</w:t>
            </w:r>
          </w:p>
        </w:tc>
        <w:tc>
          <w:tcPr>
            <w:tcW w:type="dxa" w:w="4326"/>
            <w:tcBorders>
              <w:left w:space="0" w:sz="1" w:color="000000" w:val="single"/>
              <w:bottom w:space="0" w:sz="1" w:color="000000" w:val="single"/>
              <w:right w:space="0" w:sz="1" w:color="000000" w:val="single"/>
            </w:tcBorders>
            <w:shd w:fill="auto" w:color="auto" w:val="clear"/>
          </w:tcPr>
          <w:p w:rsidRDefault="009D0BB9" w:rsidR="003157B6">
            <w:pPr>
              <w:pStyle w:val="Sadrajitablice"/>
              <w:rPr>
                <w:rFonts w:hint="eastAsia"/>
              </w:rPr>
            </w:pPr>
            <w:r>
              <w:rPr>
                <w:rFonts w:cs="Times New Roman" w:eastAsia="Times New Roman" w:hAnsi="Times New Roman" w:ascii="Times New Roman"/>
                <w:sz w:val="22"/>
                <w:szCs w:val="22"/>
              </w:rPr>
              <w:t xml:space="preserve">    </w:t>
            </w:r>
            <w:r>
              <w:rPr>
                <w:rFonts w:cs="Times New Roman" w:hAnsi="Times New Roman" w:ascii="Times New Roman"/>
                <w:sz w:val="22"/>
                <w:szCs w:val="22"/>
              </w:rPr>
              <w:t>4.756</w:t>
            </w:r>
          </w:p>
        </w:tc>
      </w:tr>
      <w:tr w:rsidR="003157B6">
        <w:tc>
          <w:tcPr>
            <w:tcW w:type="dxa" w:w="4320"/>
            <w:tcBorders>
              <w:left w:space="0" w:sz="1" w:color="000000" w:val="single"/>
              <w:bottom w:space="0" w:sz="1" w:color="000000" w:val="single"/>
            </w:tcBorders>
            <w:shd w:fill="auto" w:color="auto" w:val="clear"/>
          </w:tcPr>
          <w:p w:rsidRDefault="009D0BB9" w:rsidR="003157B6">
            <w:pPr>
              <w:pStyle w:val="Sadrajitablice"/>
              <w:rPr>
                <w:rFonts w:hint="eastAsia"/>
              </w:rPr>
            </w:pPr>
            <w:r>
              <w:rPr>
                <w:rFonts w:cs="Times New Roman" w:hAnsi="Times New Roman" w:ascii="Times New Roman"/>
                <w:sz w:val="22"/>
                <w:szCs w:val="22"/>
              </w:rPr>
              <w:t>Materijalna sredstva u pripremi</w:t>
            </w:r>
          </w:p>
        </w:tc>
        <w:tc>
          <w:tcPr>
            <w:tcW w:type="dxa" w:w="4326"/>
            <w:tcBorders>
              <w:left w:space="0" w:sz="1" w:color="000000" w:val="single"/>
              <w:bottom w:space="0" w:sz="1" w:color="000000" w:val="single"/>
              <w:right w:space="0" w:sz="1" w:color="000000" w:val="single"/>
            </w:tcBorders>
            <w:shd w:fill="auto" w:color="auto" w:val="clear"/>
          </w:tcPr>
          <w:p w:rsidRDefault="009D0BB9" w:rsidR="003157B6">
            <w:pPr>
              <w:pStyle w:val="Sadrajitablice"/>
              <w:rPr>
                <w:rFonts w:hint="eastAsia"/>
              </w:rPr>
            </w:pPr>
            <w:r>
              <w:rPr>
                <w:rFonts w:cs="Times New Roman" w:eastAsia="Times New Roman" w:hAnsi="Times New Roman" w:ascii="Times New Roman"/>
                <w:sz w:val="22"/>
                <w:szCs w:val="22"/>
              </w:rPr>
              <w:t xml:space="preserve">    </w:t>
            </w:r>
            <w:r>
              <w:rPr>
                <w:rFonts w:cs="Times New Roman" w:hAnsi="Times New Roman" w:ascii="Times New Roman"/>
                <w:sz w:val="22"/>
                <w:szCs w:val="22"/>
              </w:rPr>
              <w:t>4.000</w:t>
            </w:r>
          </w:p>
        </w:tc>
      </w:tr>
      <w:tr w:rsidR="003157B6">
        <w:tc>
          <w:tcPr>
            <w:tcW w:type="dxa" w:w="4320"/>
            <w:tcBorders>
              <w:left w:space="0" w:sz="1" w:color="000000" w:val="single"/>
              <w:bottom w:space="0" w:sz="1" w:color="000000" w:val="single"/>
            </w:tcBorders>
            <w:shd w:fill="auto" w:color="auto" w:val="clear"/>
          </w:tcPr>
          <w:p w:rsidRDefault="009D0BB9" w:rsidR="003157B6">
            <w:pPr>
              <w:pStyle w:val="Sadrajitablice"/>
              <w:rPr>
                <w:rFonts w:hint="eastAsia"/>
              </w:rPr>
            </w:pPr>
            <w:r>
              <w:rPr>
                <w:rFonts w:cs="Times New Roman" w:hAnsi="Times New Roman" w:ascii="Times New Roman"/>
                <w:sz w:val="22"/>
                <w:szCs w:val="22"/>
              </w:rPr>
              <w:t>Ostala materijalna imovina</w:t>
            </w:r>
          </w:p>
        </w:tc>
        <w:tc>
          <w:tcPr>
            <w:tcW w:type="dxa" w:w="4326"/>
            <w:tcBorders>
              <w:left w:space="0" w:sz="1" w:color="000000" w:val="single"/>
              <w:bottom w:space="0" w:sz="1" w:color="000000" w:val="single"/>
              <w:right w:space="0" w:sz="1" w:color="000000" w:val="single"/>
            </w:tcBorders>
            <w:shd w:fill="auto" w:color="auto" w:val="clear"/>
          </w:tcPr>
          <w:p w:rsidRDefault="009D0BB9" w:rsidR="003157B6">
            <w:pPr>
              <w:pStyle w:val="Sadrajitablice"/>
              <w:rPr>
                <w:rFonts w:hint="eastAsia"/>
              </w:rPr>
            </w:pPr>
            <w:r>
              <w:rPr>
                <w:rFonts w:cs="Times New Roman" w:hAnsi="Times New Roman" w:ascii="Times New Roman"/>
                <w:sz w:val="22"/>
                <w:szCs w:val="22"/>
              </w:rPr>
              <w:t>148.902</w:t>
            </w:r>
          </w:p>
        </w:tc>
      </w:tr>
      <w:tr w:rsidR="003157B6">
        <w:tc>
          <w:tcPr>
            <w:tcW w:type="dxa" w:w="4320"/>
            <w:tcBorders>
              <w:left w:space="0" w:sz="1" w:color="000000" w:val="single"/>
              <w:bottom w:space="0" w:sz="1" w:color="000000" w:val="single"/>
            </w:tcBorders>
            <w:shd w:fill="auto" w:color="auto" w:val="clear"/>
          </w:tcPr>
          <w:p w:rsidRDefault="009D0BB9" w:rsidR="003157B6">
            <w:pPr>
              <w:pStyle w:val="Sadrajitablice"/>
              <w:rPr>
                <w:rFonts w:hint="eastAsia"/>
              </w:rPr>
            </w:pPr>
            <w:r>
              <w:rPr>
                <w:rFonts w:cs="Times New Roman" w:hAnsi="Times New Roman" w:ascii="Times New Roman"/>
                <w:sz w:val="22"/>
                <w:szCs w:val="22"/>
              </w:rPr>
              <w:t>Ukupno</w:t>
            </w:r>
          </w:p>
        </w:tc>
        <w:tc>
          <w:tcPr>
            <w:tcW w:type="dxa" w:w="4326"/>
            <w:tcBorders>
              <w:left w:space="0" w:sz="1" w:color="000000" w:val="single"/>
              <w:bottom w:space="0" w:sz="1" w:color="000000" w:val="single"/>
              <w:right w:space="0" w:sz="1" w:color="000000" w:val="single"/>
            </w:tcBorders>
            <w:shd w:fill="auto" w:color="auto" w:val="clear"/>
          </w:tcPr>
          <w:p w:rsidRDefault="009D0BB9" w:rsidR="003157B6">
            <w:pPr>
              <w:pStyle w:val="Sadrajitablice"/>
              <w:rPr>
                <w:rFonts w:hint="eastAsia"/>
              </w:rPr>
            </w:pPr>
            <w:r>
              <w:rPr>
                <w:rFonts w:cs="Times New Roman" w:hAnsi="Times New Roman" w:ascii="Times New Roman"/>
                <w:sz w:val="22"/>
                <w:szCs w:val="22"/>
              </w:rPr>
              <w:t>281.446</w:t>
            </w:r>
          </w:p>
        </w:tc>
      </w:tr>
    </w:tbl>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 xml:space="preserve">Kratkotrajna potraživanja na dan 31.12.2013.g. odnose se, prema bilješkama, na potraživanja od kupaca u iznosu od 229.219 kn, te na ostala potraživanja u iznosu od 11.300 kn. </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 xml:space="preserve">U bilješkama uz bilancu nije navedena struktura kratkotrajne financijske imovine, no iz dostavljene analitičke kartice za konto 11506 zaključuje se da se ista većim dijelom sastoji od potraživanja prema bivšem z.z. dužnika temeljem isprava od 31.12.2012-31.12.2013. u iznosu od ukupno 755.577,77 kn. Preostali iznos predstavlja dane zajmove poduzetnicima. Za podnošenje tužbe radi povrata ovih zajmova nastupila je zastara. </w:t>
      </w:r>
    </w:p>
    <w:p w:rsidRDefault="003157B6" w:rsidR="003157B6">
      <w:pPr>
        <w:spacing w:lineRule="exact" w:line="276"/>
        <w:jc w:val="both"/>
        <w:rPr>
          <w:rFonts w:cs="Times New Roman" w:hAnsi="Times New Roman" w:ascii="Times New Roman"/>
        </w:rPr>
      </w:pP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t xml:space="preserve">b) </w:t>
      </w:r>
      <w:r>
        <w:rPr>
          <w:rFonts w:cs="Times New Roman" w:hAnsi="Times New Roman" w:ascii="Times New Roman"/>
        </w:rPr>
        <w:t>utvrđeno stanje:</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Dužnik je u zemljišnim knjigama upisan kao vlasnik nekretnina:</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eastAsia="Times New Roman" w:hAnsi="Times New Roman" w:ascii="Times New Roman"/>
        </w:rPr>
        <w:t xml:space="preserve">  </w:t>
      </w:r>
      <w:r>
        <w:rPr>
          <w:rFonts w:cs="Times New Roman" w:hAnsi="Times New Roman" w:ascii="Times New Roman"/>
        </w:rPr>
        <w:t xml:space="preserve">b.1.)  k.č. 2724/19 kuća br.20, dvorište, livada površine 676 m2, kuća površine 106 m2, </w:t>
      </w:r>
      <w:r>
        <w:rPr>
          <w:rFonts w:cs="Times New Roman" w:hAnsi="Times New Roman" w:ascii="Times New Roman"/>
        </w:rPr>
        <w:tab/>
        <w:t xml:space="preserve">dvorište površine 500 m2, livada površine 70 m2, upisane u z.k.ul. 3458 k.o. </w:t>
      </w:r>
      <w:r>
        <w:rPr>
          <w:rFonts w:cs="Times New Roman" w:hAnsi="Times New Roman" w:ascii="Times New Roman"/>
        </w:rPr>
        <w:tab/>
        <w:t xml:space="preserve">Samobor. </w:t>
      </w:r>
    </w:p>
    <w:p w:rsidRDefault="009D0BB9" w:rsidR="003157B6">
      <w:pPr>
        <w:spacing w:lineRule="exact" w:line="276"/>
        <w:jc w:val="both"/>
        <w:rPr>
          <w:rFonts w:hint="eastAsia"/>
        </w:rPr>
      </w:pPr>
      <w:r>
        <w:rPr>
          <w:rFonts w:cs="Times New Roman" w:hAnsi="Times New Roman" w:ascii="Times New Roman"/>
        </w:rPr>
        <w:tab/>
        <w:t xml:space="preserve">Na nekretnini je uknjiženo pravo zaloga za korist Zagrebačke banke d.d. </w:t>
      </w:r>
      <w:r>
        <w:rPr>
          <w:rFonts w:cs="Times New Roman" w:hAnsi="Times New Roman" w:ascii="Times New Roman"/>
        </w:rPr>
        <w:tab/>
        <w:t xml:space="preserve">za iznos </w:t>
      </w:r>
      <w:r>
        <w:rPr>
          <w:rFonts w:cs="Times New Roman" w:hAnsi="Times New Roman" w:ascii="Times New Roman"/>
        </w:rPr>
        <w:tab/>
        <w:t xml:space="preserve">od 75.000,00 EUR rješenjem Z-3217/03 od 25.09.2003.g.; zabilježba ovrhe pod </w:t>
      </w:r>
      <w:r>
        <w:rPr>
          <w:rFonts w:cs="Times New Roman" w:hAnsi="Times New Roman" w:ascii="Times New Roman"/>
        </w:rPr>
        <w:tab/>
        <w:t xml:space="preserve">posl.br. Z-16241/16 od 15.07.2016.g. temeljem rješenja Općinskog suda u Novom </w:t>
      </w:r>
      <w:r>
        <w:rPr>
          <w:rFonts w:cs="Times New Roman" w:hAnsi="Times New Roman" w:ascii="Times New Roman"/>
        </w:rPr>
        <w:tab/>
        <w:t xml:space="preserve">Zagrebu Stalne službe u Samoboru posl.br. Ovr-2039/16 od 08.07.2016. godine za </w:t>
      </w:r>
      <w:r>
        <w:rPr>
          <w:rFonts w:cs="Times New Roman" w:hAnsi="Times New Roman" w:ascii="Times New Roman"/>
        </w:rPr>
        <w:tab/>
        <w:t xml:space="preserve">korist ovrhovoditelja Zagrebačke banke d.d. Zagreb te privremena mjera zabrane </w:t>
      </w:r>
      <w:r>
        <w:rPr>
          <w:rFonts w:cs="Times New Roman" w:hAnsi="Times New Roman" w:ascii="Times New Roman"/>
        </w:rPr>
        <w:tab/>
        <w:t xml:space="preserve">otuđenja i opterećenja nekretnine upisana rješenjem posl.br. Z-19116/16 od </w:t>
      </w:r>
      <w:r>
        <w:rPr>
          <w:rFonts w:cs="Times New Roman" w:hAnsi="Times New Roman" w:ascii="Times New Roman"/>
        </w:rPr>
        <w:tab/>
        <w:t xml:space="preserve">05.09.2016. godine na temelju rješenja Općinskog suda u </w:t>
      </w:r>
      <w:r>
        <w:rPr>
          <w:rFonts w:cs="Times New Roman" w:hAnsi="Times New Roman" w:ascii="Times New Roman"/>
        </w:rPr>
        <w:tab/>
        <w:t xml:space="preserve">Novom Zagrebu Stalne </w:t>
      </w:r>
      <w:r>
        <w:rPr>
          <w:rFonts w:cs="Times New Roman" w:hAnsi="Times New Roman" w:ascii="Times New Roman"/>
        </w:rPr>
        <w:tab/>
        <w:t xml:space="preserve">službe u Samoboru posl.br. R1-86/15 po prijedlogu predlagateljice Tatjane </w:t>
      </w:r>
      <w:r>
        <w:rPr>
          <w:rFonts w:cs="Times New Roman" w:hAnsi="Times New Roman" w:ascii="Times New Roman"/>
        </w:rPr>
        <w:tab/>
        <w:t xml:space="preserve">Pavičić. </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ab/>
        <w:t xml:space="preserve">Napominje se da je stečajnoj upraviteljici dostavljeno  brisovno očitovanje </w:t>
      </w:r>
      <w:r>
        <w:rPr>
          <w:rFonts w:cs="Times New Roman" w:hAnsi="Times New Roman" w:ascii="Times New Roman"/>
        </w:rPr>
        <w:tab/>
        <w:t xml:space="preserve">Zagrebačke banke d.d. radi brisanja upisanog založnog prava, koje nije ovjereno </w:t>
      </w:r>
      <w:r>
        <w:rPr>
          <w:rFonts w:cs="Times New Roman" w:hAnsi="Times New Roman" w:ascii="Times New Roman"/>
        </w:rPr>
        <w:tab/>
        <w:t xml:space="preserve">niti provedeno u zemljišnim knjigama. U nastavku postupka biti će potrebno na </w:t>
      </w:r>
      <w:r>
        <w:rPr>
          <w:rFonts w:cs="Times New Roman" w:hAnsi="Times New Roman" w:ascii="Times New Roman"/>
        </w:rPr>
        <w:tab/>
        <w:t xml:space="preserve">trošak stečajne mase ishoditi ovjeru potpisa ovlaštene osobe Zagrebačke banke te </w:t>
      </w:r>
      <w:r>
        <w:rPr>
          <w:rFonts w:cs="Times New Roman" w:hAnsi="Times New Roman" w:ascii="Times New Roman"/>
        </w:rPr>
        <w:tab/>
        <w:t xml:space="preserve">brisanje upisanog založnog prava u zemljišnoj knjizi. Također, dostavljena mi je I </w:t>
      </w:r>
      <w:r>
        <w:rPr>
          <w:rFonts w:cs="Times New Roman" w:hAnsi="Times New Roman" w:ascii="Times New Roman"/>
        </w:rPr>
        <w:tab/>
        <w:t xml:space="preserve">procjena vrijednost navedene nekretnine iz ovršnog postupka vođenog pred </w:t>
      </w:r>
      <w:r>
        <w:rPr>
          <w:rFonts w:cs="Times New Roman" w:hAnsi="Times New Roman" w:ascii="Times New Roman"/>
        </w:rPr>
        <w:tab/>
        <w:t>Općinskim sudom u Novom Zagrebu Stalnom službom u Samoboru posl.br. Ovr-</w:t>
      </w:r>
      <w:r>
        <w:rPr>
          <w:rFonts w:cs="Times New Roman" w:hAnsi="Times New Roman" w:ascii="Times New Roman"/>
        </w:rPr>
        <w:tab/>
        <w:t xml:space="preserve">2039/16 prema kojoj vrijednost navedene nekretnine na dan 01.07.2017.g. iznosi </w:t>
      </w:r>
      <w:r>
        <w:rPr>
          <w:rFonts w:cs="Times New Roman" w:hAnsi="Times New Roman" w:ascii="Times New Roman"/>
        </w:rPr>
        <w:tab/>
        <w:t>1.100.000,00 kn.</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eastAsia="Times New Roman" w:hAnsi="Times New Roman" w:ascii="Times New Roman"/>
        </w:rPr>
        <w:t xml:space="preserve">  </w:t>
      </w:r>
      <w:r>
        <w:rPr>
          <w:rFonts w:cs="Times New Roman" w:hAnsi="Times New Roman" w:ascii="Times New Roman"/>
        </w:rPr>
        <w:t>b.2.)  k.č. 180/6 oranica brdo površine 627 čhv u z.k.ul. 303 k.o. Poklek.</w:t>
      </w:r>
    </w:p>
    <w:p w:rsidRDefault="009D0BB9" w:rsidR="003157B6">
      <w:pPr>
        <w:spacing w:lineRule="exact" w:line="276"/>
        <w:jc w:val="both"/>
        <w:rPr>
          <w:rFonts w:hint="eastAsia"/>
        </w:rPr>
      </w:pPr>
      <w:r>
        <w:rPr>
          <w:rFonts w:cs="Times New Roman" w:hAnsi="Times New Roman" w:ascii="Times New Roman"/>
        </w:rPr>
        <w:tab/>
        <w:t xml:space="preserve">Na nekretnini rješenjem posl.br. Z-19116/16 od 05.09.2016.g. upisana privremena </w:t>
      </w:r>
      <w:r>
        <w:rPr>
          <w:rFonts w:cs="Times New Roman" w:hAnsi="Times New Roman" w:ascii="Times New Roman"/>
        </w:rPr>
        <w:tab/>
        <w:t xml:space="preserve">mjera zabrane </w:t>
      </w:r>
      <w:r>
        <w:rPr>
          <w:rFonts w:cs="Times New Roman" w:hAnsi="Times New Roman" w:ascii="Times New Roman"/>
        </w:rPr>
        <w:tab/>
        <w:t xml:space="preserve">otuđenja i opterećenja nekretnine na temelju rješenja Općinskog </w:t>
      </w:r>
      <w:r>
        <w:rPr>
          <w:rFonts w:cs="Times New Roman" w:hAnsi="Times New Roman" w:ascii="Times New Roman"/>
        </w:rPr>
        <w:tab/>
        <w:t xml:space="preserve">suda u </w:t>
      </w:r>
      <w:r>
        <w:rPr>
          <w:rFonts w:cs="Times New Roman" w:hAnsi="Times New Roman" w:ascii="Times New Roman"/>
        </w:rPr>
        <w:tab/>
        <w:t xml:space="preserve">Novom Zagrebu Stalne službe u Samoboru posl.br. R1-86/15 po </w:t>
      </w:r>
      <w:r>
        <w:rPr>
          <w:rFonts w:cs="Times New Roman" w:hAnsi="Times New Roman" w:ascii="Times New Roman"/>
        </w:rPr>
        <w:tab/>
        <w:t>prijedlogu predlagateljice Tatjani Pavičić.</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eastAsia="Times New Roman" w:hAnsi="Times New Roman" w:ascii="Times New Roman"/>
        </w:rPr>
        <w:t xml:space="preserve">  </w:t>
      </w:r>
      <w:r>
        <w:rPr>
          <w:rFonts w:cs="Times New Roman" w:hAnsi="Times New Roman" w:ascii="Times New Roman"/>
        </w:rPr>
        <w:t>b.3.)  k.č. 180/4 oranica brdo ukupne površine 487 čhv upisana u z.k.ul. 617 k.o. Poklek.</w:t>
      </w:r>
    </w:p>
    <w:p w:rsidRDefault="009D0BB9" w:rsidR="003157B6">
      <w:pPr>
        <w:spacing w:lineRule="exact" w:line="276"/>
        <w:jc w:val="both"/>
        <w:rPr>
          <w:rFonts w:hint="eastAsia"/>
        </w:rPr>
      </w:pPr>
      <w:r>
        <w:rPr>
          <w:rFonts w:cs="Times New Roman" w:hAnsi="Times New Roman" w:ascii="Times New Roman"/>
        </w:rPr>
        <w:tab/>
        <w:t xml:space="preserve">Na nekretnini rješenjem posl.br. Z-19116/16 od 05.09.2016.g. upisana privremena </w:t>
      </w:r>
      <w:r>
        <w:rPr>
          <w:rFonts w:cs="Times New Roman" w:hAnsi="Times New Roman" w:ascii="Times New Roman"/>
        </w:rPr>
        <w:tab/>
        <w:t xml:space="preserve">mjera zabrane </w:t>
      </w:r>
      <w:r>
        <w:rPr>
          <w:rFonts w:cs="Times New Roman" w:hAnsi="Times New Roman" w:ascii="Times New Roman"/>
        </w:rPr>
        <w:tab/>
        <w:t xml:space="preserve">otuđenja i opterećenja nekretnine na temelju rješenja Općinskog </w:t>
      </w:r>
      <w:r>
        <w:rPr>
          <w:rFonts w:cs="Times New Roman" w:hAnsi="Times New Roman" w:ascii="Times New Roman"/>
        </w:rPr>
        <w:tab/>
        <w:t xml:space="preserve">suda u </w:t>
      </w:r>
      <w:r>
        <w:rPr>
          <w:rFonts w:cs="Times New Roman" w:hAnsi="Times New Roman" w:ascii="Times New Roman"/>
        </w:rPr>
        <w:tab/>
        <w:t xml:space="preserve">Novom Zagrebu Stalne službe u Samoboru posl.br. R1-86/15 po </w:t>
      </w:r>
      <w:r>
        <w:rPr>
          <w:rFonts w:cs="Times New Roman" w:hAnsi="Times New Roman" w:ascii="Times New Roman"/>
        </w:rPr>
        <w:tab/>
        <w:t>prijedlogu predlagateljice Tatjani Pavičić.</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eastAsia="Times New Roman" w:hAnsi="Times New Roman" w:ascii="Times New Roman"/>
        </w:rPr>
        <w:t xml:space="preserve"> </w:t>
      </w:r>
      <w:r>
        <w:rPr>
          <w:rFonts w:cs="Times New Roman" w:hAnsi="Times New Roman" w:ascii="Times New Roman"/>
        </w:rPr>
        <w:t xml:space="preserve">b.4.)   k.č. 179/1 oranica brdo površine 359 čhv upisana u z.k.ul. 627 k.o. Poklek. </w:t>
      </w:r>
    </w:p>
    <w:p w:rsidRDefault="009D0BB9" w:rsidR="003157B6">
      <w:pPr>
        <w:spacing w:lineRule="exact" w:line="276"/>
        <w:jc w:val="both"/>
        <w:rPr>
          <w:rFonts w:hint="eastAsia"/>
        </w:rPr>
      </w:pPr>
      <w:r>
        <w:rPr>
          <w:rFonts w:cs="Times New Roman" w:hAnsi="Times New Roman" w:ascii="Times New Roman"/>
        </w:rPr>
        <w:tab/>
        <w:t xml:space="preserve">Na nekretnini rješenjem posl.br. Z-19116/16 od 05.09.2016.g. upisana privremena </w:t>
      </w:r>
      <w:r>
        <w:rPr>
          <w:rFonts w:cs="Times New Roman" w:hAnsi="Times New Roman" w:ascii="Times New Roman"/>
        </w:rPr>
        <w:tab/>
        <w:t xml:space="preserve">mjera zabrane </w:t>
      </w:r>
      <w:r>
        <w:rPr>
          <w:rFonts w:cs="Times New Roman" w:hAnsi="Times New Roman" w:ascii="Times New Roman"/>
        </w:rPr>
        <w:tab/>
        <w:t xml:space="preserve">otuđenja i opterećenja nekretnine na temelju rješenja Općinskog </w:t>
      </w:r>
      <w:r>
        <w:rPr>
          <w:rFonts w:cs="Times New Roman" w:hAnsi="Times New Roman" w:ascii="Times New Roman"/>
        </w:rPr>
        <w:tab/>
        <w:t xml:space="preserve">suda u </w:t>
      </w:r>
      <w:r>
        <w:rPr>
          <w:rFonts w:cs="Times New Roman" w:hAnsi="Times New Roman" w:ascii="Times New Roman"/>
        </w:rPr>
        <w:tab/>
        <w:t xml:space="preserve">Novom Zagrebu Stalne službe u Samoboru posl.br. R1-86/15 po </w:t>
      </w:r>
      <w:r>
        <w:rPr>
          <w:rFonts w:cs="Times New Roman" w:hAnsi="Times New Roman" w:ascii="Times New Roman"/>
        </w:rPr>
        <w:tab/>
        <w:t>prijedlogu predlagateljice Tatjani Pavičić.</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eastAsia="Times New Roman" w:hAnsi="Times New Roman" w:ascii="Times New Roman"/>
        </w:rPr>
        <w:t xml:space="preserve"> </w:t>
      </w:r>
      <w:r>
        <w:rPr>
          <w:rFonts w:cs="Times New Roman" w:hAnsi="Times New Roman" w:ascii="Times New Roman"/>
        </w:rPr>
        <w:t xml:space="preserve">b.5.) 3/6 idealnog suvlasničkog dijela (1/6+2/6) nekretnine k.č. 180/2 oranica brdo </w:t>
      </w:r>
      <w:r>
        <w:rPr>
          <w:rFonts w:cs="Times New Roman" w:hAnsi="Times New Roman" w:ascii="Times New Roman"/>
        </w:rPr>
        <w:tab/>
        <w:t>površine 602 čhv upisana u z.k.ul. 628 k.o. Poklek.</w:t>
      </w:r>
    </w:p>
    <w:p w:rsidRDefault="009D0BB9" w:rsidR="003157B6">
      <w:pPr>
        <w:spacing w:lineRule="exact" w:line="276"/>
        <w:jc w:val="both"/>
        <w:rPr>
          <w:rFonts w:hint="eastAsia"/>
        </w:rPr>
      </w:pPr>
      <w:r>
        <w:rPr>
          <w:rFonts w:cs="Times New Roman" w:hAnsi="Times New Roman" w:ascii="Times New Roman"/>
        </w:rPr>
        <w:tab/>
        <w:t>Na dužnikovom idealnom suvlasničkom dijelu nekrentine  rješenjem posl.br. Z-</w:t>
      </w:r>
      <w:r>
        <w:rPr>
          <w:rFonts w:cs="Times New Roman" w:hAnsi="Times New Roman" w:ascii="Times New Roman"/>
        </w:rPr>
        <w:tab/>
        <w:t xml:space="preserve">19116/16 od 05.09.2016.g. upisana privremena mjera zabrane otuđenja i </w:t>
      </w:r>
      <w:r>
        <w:rPr>
          <w:rFonts w:cs="Times New Roman" w:hAnsi="Times New Roman" w:ascii="Times New Roman"/>
        </w:rPr>
        <w:tab/>
        <w:t xml:space="preserve">opterećenja nekretnine na temelju rješenja Općinskog suda u Novom Zagrebu </w:t>
      </w:r>
      <w:r>
        <w:rPr>
          <w:rFonts w:cs="Times New Roman" w:hAnsi="Times New Roman" w:ascii="Times New Roman"/>
        </w:rPr>
        <w:tab/>
        <w:t xml:space="preserve">Stalne službe u Samoboru posl.br. R1-86/15 po prijedlogu predlagateljice Tatjani </w:t>
      </w:r>
      <w:r>
        <w:rPr>
          <w:rFonts w:cs="Times New Roman" w:hAnsi="Times New Roman" w:ascii="Times New Roman"/>
        </w:rPr>
        <w:tab/>
        <w:t>Pavičić.</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eastAsia="Times New Roman" w:hAnsi="Times New Roman" w:ascii="Times New Roman"/>
        </w:rPr>
        <w:t xml:space="preserve"> </w:t>
      </w:r>
      <w:r>
        <w:rPr>
          <w:rFonts w:cs="Times New Roman" w:hAnsi="Times New Roman" w:ascii="Times New Roman"/>
        </w:rPr>
        <w:t xml:space="preserve">b.6.)   4/7 idealnog suvlasničkog dijela nekretnine k.č. 180/5 oranica brdo površine 564 </w:t>
      </w:r>
      <w:r>
        <w:rPr>
          <w:rFonts w:cs="Times New Roman" w:hAnsi="Times New Roman" w:ascii="Times New Roman"/>
        </w:rPr>
        <w:tab/>
        <w:t xml:space="preserve">čhv upisane u z.k.ul. 629 k.o. Poklek. </w:t>
      </w:r>
    </w:p>
    <w:p w:rsidRDefault="009D0BB9" w:rsidR="003157B6">
      <w:pPr>
        <w:spacing w:lineRule="exact" w:line="276"/>
        <w:jc w:val="both"/>
        <w:rPr>
          <w:rFonts w:hint="eastAsia"/>
        </w:rPr>
      </w:pPr>
      <w:r>
        <w:rPr>
          <w:rFonts w:cs="Times New Roman" w:hAnsi="Times New Roman" w:ascii="Times New Roman"/>
        </w:rPr>
        <w:tab/>
        <w:t>Na dužnikovom idealnom suvlasničkom dijelu nekrentine  rješenjem posl.br. Z-</w:t>
      </w:r>
      <w:r>
        <w:rPr>
          <w:rFonts w:cs="Times New Roman" w:hAnsi="Times New Roman" w:ascii="Times New Roman"/>
        </w:rPr>
        <w:tab/>
        <w:t xml:space="preserve">19116/16 od 05.09.2016.g. upisana privremena mjera zabrane otuđenja i </w:t>
      </w:r>
      <w:r>
        <w:rPr>
          <w:rFonts w:cs="Times New Roman" w:hAnsi="Times New Roman" w:ascii="Times New Roman"/>
        </w:rPr>
        <w:tab/>
        <w:t xml:space="preserve">opterećenja nekretnine na temelju rješenja Općinskog suda u Novom Zagrebu </w:t>
      </w:r>
      <w:r>
        <w:rPr>
          <w:rFonts w:cs="Times New Roman" w:hAnsi="Times New Roman" w:ascii="Times New Roman"/>
        </w:rPr>
        <w:tab/>
        <w:t xml:space="preserve">Stalne službe u Samoboru posl.br. R1-86/15 po prijedlogu predlagateljice Tatjani </w:t>
      </w:r>
      <w:r>
        <w:rPr>
          <w:rFonts w:cs="Times New Roman" w:hAnsi="Times New Roman" w:ascii="Times New Roman"/>
        </w:rPr>
        <w:tab/>
        <w:t>Pavičić.</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ab/>
        <w:t xml:space="preserve">Pokretnine: </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ab/>
        <w:t xml:space="preserve">Prema podacima koji prileže spisu dužnik je evidentiran kao vlasnik motornog </w:t>
      </w:r>
      <w:r>
        <w:rPr>
          <w:rFonts w:cs="Times New Roman" w:hAnsi="Times New Roman" w:ascii="Times New Roman"/>
        </w:rPr>
        <w:tab/>
        <w:t xml:space="preserve">vozila N1 marke FIAT 1.1. god.proizvodnje 1998., broj šasije </w:t>
      </w:r>
      <w:r>
        <w:rPr>
          <w:rFonts w:cs="Times New Roman" w:hAnsi="Times New Roman" w:ascii="Times New Roman"/>
        </w:rPr>
        <w:tab/>
        <w:t xml:space="preserve">ZFA17600001134275 reg.oznaka ZG5711FA, datum odjave 12.05.2015., nema </w:t>
      </w:r>
      <w:r>
        <w:rPr>
          <w:rFonts w:cs="Times New Roman" w:hAnsi="Times New Roman" w:ascii="Times New Roman"/>
        </w:rPr>
        <w:tab/>
        <w:t xml:space="preserve">tereta. Za navedeno vozilo bivši z.z. dužnika je na ročištu održanom dana </w:t>
      </w:r>
      <w:r>
        <w:rPr>
          <w:rFonts w:cs="Times New Roman" w:hAnsi="Times New Roman" w:ascii="Times New Roman"/>
        </w:rPr>
        <w:tab/>
        <w:t xml:space="preserve">06.12.2018. godine naveo da je isto dao u staro željezo, obzirom da nije bilo u </w:t>
      </w:r>
      <w:r>
        <w:rPr>
          <w:rFonts w:cs="Times New Roman" w:hAnsi="Times New Roman" w:ascii="Times New Roman"/>
        </w:rPr>
        <w:tab/>
        <w:t xml:space="preserve">voznom stanju. Stečajna upraviteljica ne raspolaže ispravama u prilog navedenoj </w:t>
      </w:r>
      <w:r>
        <w:rPr>
          <w:rFonts w:cs="Times New Roman" w:hAnsi="Times New Roman" w:ascii="Times New Roman"/>
        </w:rPr>
        <w:tab/>
        <w:t xml:space="preserve">tvrdnji, no vozilo nije zatečeno na adresi sjedišta društva te ako isto i postoji, </w:t>
      </w:r>
      <w:r>
        <w:rPr>
          <w:rFonts w:cs="Times New Roman" w:hAnsi="Times New Roman" w:ascii="Times New Roman"/>
        </w:rPr>
        <w:tab/>
        <w:t xml:space="preserve">stečajnoj upraviteljici nije  moguće utvrditi gdje se isto nalazi, a niti ima li </w:t>
      </w:r>
      <w:r>
        <w:rPr>
          <w:rFonts w:cs="Times New Roman" w:hAnsi="Times New Roman" w:ascii="Times New Roman"/>
        </w:rPr>
        <w:tab/>
        <w:t xml:space="preserve">ikakvu vrijednost ( s obzirom na godište pretpostavljam da ne bi imalo nikakvu </w:t>
      </w:r>
      <w:r>
        <w:rPr>
          <w:rFonts w:cs="Times New Roman" w:hAnsi="Times New Roman" w:ascii="Times New Roman"/>
        </w:rPr>
        <w:tab/>
        <w:t xml:space="preserve">značajnu vrijednost). </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ab/>
        <w:t xml:space="preserve">Prilikom obilaska adrese sjedišta dužnika, u kući opisanoj pod b.1.) zatečene su </w:t>
      </w:r>
      <w:r>
        <w:rPr>
          <w:rFonts w:cs="Times New Roman" w:hAnsi="Times New Roman" w:ascii="Times New Roman"/>
        </w:rPr>
        <w:tab/>
        <w:t xml:space="preserve">pokretnine za koje je gđa Tanja Marinović navela da se radi o pokretninama koje </w:t>
      </w:r>
      <w:r>
        <w:rPr>
          <w:rFonts w:cs="Times New Roman" w:hAnsi="Times New Roman" w:ascii="Times New Roman"/>
        </w:rPr>
        <w:tab/>
        <w:t xml:space="preserve">su njezino vlasništvo (radi se o namještaju starijeg datuma), a u njezinu podnesku </w:t>
      </w:r>
      <w:r>
        <w:rPr>
          <w:rFonts w:cs="Times New Roman" w:hAnsi="Times New Roman" w:ascii="Times New Roman"/>
        </w:rPr>
        <w:tab/>
        <w:t xml:space="preserve">upućenom sudu od 19.02.2019. navodi se da je bivši z.z. dužnika kupovao </w:t>
      </w:r>
      <w:r>
        <w:rPr>
          <w:rFonts w:cs="Times New Roman" w:hAnsi="Times New Roman" w:ascii="Times New Roman"/>
        </w:rPr>
        <w:tab/>
        <w:t xml:space="preserve">namještaj na firmu i da je isti “nestao” iz kuće u Samostanskoj 20, a da ona </w:t>
      </w:r>
      <w:r>
        <w:rPr>
          <w:rFonts w:cs="Times New Roman" w:hAnsi="Times New Roman" w:ascii="Times New Roman"/>
        </w:rPr>
        <w:tab/>
        <w:t xml:space="preserve">pretpostavlja da se sada nalazi u stanu u vlasništvu Ive i Maše Pavičić u Zagrebu, </w:t>
      </w:r>
      <w:r>
        <w:rPr>
          <w:rFonts w:cs="Times New Roman" w:hAnsi="Times New Roman" w:ascii="Times New Roman"/>
        </w:rPr>
        <w:tab/>
        <w:t xml:space="preserve">Istarska 45B. Prema bruto bilanci stečajnog dužnika postojala je određena </w:t>
      </w:r>
      <w:r>
        <w:rPr>
          <w:rFonts w:cs="Times New Roman" w:hAnsi="Times New Roman" w:ascii="Times New Roman"/>
        </w:rPr>
        <w:tab/>
        <w:t xml:space="preserve">pokretna imovina, koja je do otvaranja stečaja u cijelosti amortizirana te danas ne </w:t>
      </w:r>
      <w:r>
        <w:rPr>
          <w:rFonts w:cs="Times New Roman" w:hAnsi="Times New Roman" w:ascii="Times New Roman"/>
        </w:rPr>
        <w:tab/>
        <w:t xml:space="preserve">bi imala vrijednost, izuzev umjetničkih slika, (ne raspolaže se konkretnijim </w:t>
      </w:r>
      <w:r>
        <w:rPr>
          <w:rFonts w:cs="Times New Roman" w:hAnsi="Times New Roman" w:ascii="Times New Roman"/>
        </w:rPr>
        <w:tab/>
        <w:t xml:space="preserve">podacima o ovim stvarima čija knjigovodstvena vrijednost iznosi 10.755 </w:t>
      </w:r>
      <w:r>
        <w:rPr>
          <w:rFonts w:cs="Times New Roman" w:hAnsi="Times New Roman" w:ascii="Times New Roman"/>
        </w:rPr>
        <w:tab/>
        <w:t xml:space="preserve">kuna, za </w:t>
      </w:r>
      <w:r>
        <w:rPr>
          <w:rFonts w:cs="Times New Roman" w:hAnsi="Times New Roman" w:ascii="Times New Roman"/>
        </w:rPr>
        <w:lastRenderedPageBreak/>
        <w:tab/>
        <w:t xml:space="preserve">postojanje kojih se saznaje iz knjigovodstvenih podataka, </w:t>
      </w:r>
      <w:r>
        <w:rPr>
          <w:rFonts w:cs="Times New Roman" w:hAnsi="Times New Roman" w:ascii="Times New Roman"/>
        </w:rPr>
        <w:tab/>
        <w:t xml:space="preserve">iako stečajnoj </w:t>
      </w:r>
      <w:r>
        <w:rPr>
          <w:rFonts w:cs="Times New Roman" w:hAnsi="Times New Roman" w:ascii="Times New Roman"/>
        </w:rPr>
        <w:tab/>
        <w:t xml:space="preserve">upraviteljici postojanje istih nije spomenuo ni bivši z.z. dužnika, ni Tanja </w:t>
      </w:r>
      <w:r>
        <w:rPr>
          <w:rFonts w:cs="Times New Roman" w:hAnsi="Times New Roman" w:ascii="Times New Roman"/>
        </w:rPr>
        <w:tab/>
        <w:t xml:space="preserve">Marinović. Ove pokretnine nisu uočene na adresi sjedišta dužnika i nije mi </w:t>
      </w:r>
      <w:r>
        <w:rPr>
          <w:rFonts w:cs="Times New Roman" w:hAnsi="Times New Roman" w:ascii="Times New Roman"/>
        </w:rPr>
        <w:tab/>
        <w:t xml:space="preserve">poznato gdje se iste nalaze, ako uopće danas postoje, te bi na dostavu podataka o </w:t>
      </w:r>
      <w:r>
        <w:rPr>
          <w:rFonts w:cs="Times New Roman" w:hAnsi="Times New Roman" w:ascii="Times New Roman"/>
        </w:rPr>
        <w:tab/>
        <w:t xml:space="preserve">tome trebalo pozvati bivšeg z.z. dužnika. </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6. OBVEZE STEČAJNOG DUŽNIKA</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 xml:space="preserve">U bilanci na dan 31.12.2013 iskazane su dugoročne obveze u iznosu od 265.951 kuna, a kratkoročne u iznosu od 539.667 kuna. S obzirom da je otada proteklo više od punih 5 godina, ne može se uzeti da ovi iznosi  danas odražavaju pravo stanje obveza dužnika. </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 xml:space="preserve">U roku za prijavu tražbina zaprimljeno je 11 prijava  tražbina vjerovnika u sveukupnom iznosu od 2.910.217,94 kn, od kojih  2 prijave tražbina spadaju u niži isplatni red- prijave tražbina Darka Pavičića ( u iznosu od 1.722.526,27 kn) i Tanje Marinović (u iznosu od 413.510,11 kn) po osnovi isplate dobiti društva u razdoblju 2009-2013. godine, koje prijave tražbina se predlaže odbaciti kao preuranjene.  </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Prijavljene tražbine I i II višeg isplatnog reda iznose ukupno 774.181,56 kn.</w:t>
      </w: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t xml:space="preserve">Obrada zaprimljenih prijava tražbina je u tijeku te će u zakonskom roku biti dostavljena tablica prijavljenih tražbina, razlučnih i izlučnih prava. </w:t>
      </w:r>
    </w:p>
    <w:p w:rsidRDefault="003157B6" w:rsidR="003157B6">
      <w:pPr>
        <w:spacing w:lineRule="exact" w:line="276"/>
        <w:jc w:val="both"/>
        <w:rPr>
          <w:rFonts w:cs="Times New Roman" w:hAnsi="Times New Roman" w:ascii="Times New Roman"/>
        </w:rPr>
      </w:pP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7. SUDSKI POSTUPCI U TIJEKU</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eastAsia="Times New Roman" w:hAnsi="Times New Roman" w:ascii="Times New Roman"/>
        </w:rPr>
        <w:t xml:space="preserve">   </w:t>
      </w:r>
      <w:r>
        <w:rPr>
          <w:rFonts w:cs="Times New Roman" w:hAnsi="Times New Roman" w:ascii="Times New Roman"/>
        </w:rPr>
        <w:t xml:space="preserve">a.) </w:t>
      </w:r>
      <w:r>
        <w:rPr>
          <w:rFonts w:cs="Times New Roman" w:hAnsi="Times New Roman" w:ascii="Times New Roman"/>
        </w:rPr>
        <w:tab/>
        <w:t>Parnični postupak pred Trgovačkim sudom u Zagrebu posl.br. P-1031/18</w:t>
      </w:r>
    </w:p>
    <w:p w:rsidRDefault="009D0BB9" w:rsidR="003157B6">
      <w:pPr>
        <w:spacing w:lineRule="exact" w:line="276"/>
        <w:jc w:val="both"/>
        <w:rPr>
          <w:rFonts w:hint="eastAsia"/>
        </w:rPr>
      </w:pPr>
      <w:r>
        <w:rPr>
          <w:rFonts w:cs="Times New Roman" w:eastAsia="Times New Roman" w:hAnsi="Times New Roman" w:ascii="Times New Roman"/>
        </w:rPr>
        <w:t xml:space="preserve">           </w:t>
      </w:r>
      <w:r>
        <w:rPr>
          <w:rFonts w:cs="Times New Roman" w:hAnsi="Times New Roman" w:ascii="Times New Roman"/>
        </w:rPr>
        <w:t>tužitelj Darko Pavičić, tuženik I.T.D. d.o.o. radi isplate, v.p.s. 827.020,23 kn</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ab/>
        <w:t>Navedeni parnični postupak pokrenut je tužbom od 19.04.2018. godine, a predmet spora je zahtjev tužitelja kao člana društva (stečajnog dužnika) za isplatu dobiti u ukupnom iznosu od 827.020,23 kn za razdoblje od 2009-2013. godine), temeljem Odluka tuženika od 28.03.2010., 28.03.2011., 24.02.2012., 11.03.2013. i 17.03.2014.g.</w:t>
      </w:r>
    </w:p>
    <w:p w:rsidRDefault="009D0BB9" w:rsidR="003157B6">
      <w:pPr>
        <w:spacing w:lineRule="exact" w:line="276"/>
        <w:jc w:val="both"/>
        <w:rPr>
          <w:rFonts w:hint="eastAsia"/>
        </w:rPr>
      </w:pPr>
      <w:r>
        <w:rPr>
          <w:rFonts w:cs="Times New Roman" w:hAnsi="Times New Roman" w:ascii="Times New Roman"/>
        </w:rPr>
        <w:t xml:space="preserve">Tuženik- stečajni dužnik u navedenom parničnom postupku nije dao odgovor na tužbu, a pismena su mu se do otvaranja stečajnog postupka dostavljala putem oglasne ploče suda (kao adresa tuženika u sudskom spisu navodi se Samobor, Samostanska 20, a pismena su se vraćala neuručena s naznakom “obaviješten nije podigao pošiljku). </w:t>
      </w:r>
    </w:p>
    <w:p w:rsidRDefault="009D0BB9" w:rsidR="003157B6">
      <w:pPr>
        <w:spacing w:lineRule="exact" w:line="276"/>
        <w:jc w:val="both"/>
        <w:rPr>
          <w:rFonts w:hint="eastAsia"/>
        </w:rPr>
      </w:pPr>
      <w:r>
        <w:rPr>
          <w:rFonts w:cs="Times New Roman" w:hAnsi="Times New Roman" w:ascii="Times New Roman"/>
        </w:rPr>
        <w:t xml:space="preserve">Sud je rješenjem posl.br. P-1031/18 od 19.02.2019. godine odredio prekid postupka zbog otvaranja stečaja nad tuženikom te će se postupak nastaviti kad stečajni upravitelj preuzme postupak ili ga sud na prijedlog protivne strane ili po službenoj dužnosti pozove da postupak preuzme. Stečajnoj upraviteljici je uz rješenje suda od 28.02.2019. godine dostavljen podnesak tužitelja, kojim isti predlaže pozivanje stečajne upraviteljice na preuzimanje postupka. Parnični postupak nije preuzet te je tužitelj Darko Pavičić u zakonskom roku prijavio ovu svoju tražbinu u stečajni postupak, no tu tražbinu će stečajni upravitelj osporiti. </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eastAsia="Times New Roman" w:hAnsi="Times New Roman" w:ascii="Times New Roman"/>
        </w:rPr>
        <w:lastRenderedPageBreak/>
        <w:t xml:space="preserve">    </w:t>
      </w:r>
      <w:r>
        <w:rPr>
          <w:rFonts w:cs="Times New Roman" w:hAnsi="Times New Roman" w:ascii="Times New Roman"/>
        </w:rPr>
        <w:t xml:space="preserve">b) </w:t>
      </w:r>
      <w:r>
        <w:rPr>
          <w:rFonts w:cs="Times New Roman" w:hAnsi="Times New Roman" w:ascii="Times New Roman"/>
        </w:rPr>
        <w:tab/>
        <w:t xml:space="preserve">Parnični postupak pred Općinskim građanskim sudom u Zagrebu posl.br. P-    </w:t>
      </w:r>
      <w:r>
        <w:rPr>
          <w:rFonts w:cs="Times New Roman" w:hAnsi="Times New Roman" w:ascii="Times New Roman"/>
        </w:rPr>
        <w:tab/>
        <w:t xml:space="preserve">1167/17 </w:t>
      </w:r>
    </w:p>
    <w:p w:rsidRDefault="009D0BB9" w:rsidR="003157B6">
      <w:pPr>
        <w:spacing w:lineRule="exact" w:line="276"/>
        <w:jc w:val="both"/>
        <w:rPr>
          <w:rFonts w:hint="eastAsia"/>
        </w:rPr>
      </w:pPr>
      <w:r>
        <w:rPr>
          <w:rFonts w:cs="Times New Roman" w:hAnsi="Times New Roman" w:ascii="Times New Roman"/>
        </w:rPr>
        <w:tab/>
        <w:t xml:space="preserve">tužiteljica Tanja Marinović, tuženi: 1. I.T.D. d.o.o. Samobor, 2. Jasminka Gović </w:t>
      </w:r>
      <w:r>
        <w:rPr>
          <w:rFonts w:cs="Times New Roman" w:hAnsi="Times New Roman" w:ascii="Times New Roman"/>
        </w:rPr>
        <w:tab/>
        <w:t xml:space="preserve">Grgić, 3. Gordan Grgić, 4. Iva Pavičić i 5. Maša Pavičić, radi utvrđenja ništavosti, </w:t>
      </w:r>
      <w:r>
        <w:rPr>
          <w:rFonts w:cs="Times New Roman" w:hAnsi="Times New Roman" w:ascii="Times New Roman"/>
        </w:rPr>
        <w:tab/>
        <w:t>v.p.s. 201.000,00 kn</w:t>
      </w:r>
    </w:p>
    <w:p w:rsidRDefault="009D0BB9" w:rsidR="003157B6">
      <w:pPr>
        <w:spacing w:lineRule="exact" w:line="276"/>
        <w:jc w:val="both"/>
        <w:rPr>
          <w:rFonts w:hint="eastAsia"/>
        </w:rPr>
      </w:pPr>
      <w:r>
        <w:rPr>
          <w:rFonts w:cs="Times New Roman" w:hAnsi="Times New Roman" w:ascii="Times New Roman"/>
        </w:rPr>
        <w:tab/>
      </w:r>
    </w:p>
    <w:p w:rsidRDefault="009D0BB9" w:rsidR="003157B6">
      <w:pPr>
        <w:spacing w:lineRule="exact" w:line="276"/>
        <w:jc w:val="both"/>
        <w:rPr>
          <w:rFonts w:hint="eastAsia"/>
        </w:rPr>
      </w:pPr>
      <w:r>
        <w:rPr>
          <w:rFonts w:cs="Times New Roman" w:hAnsi="Times New Roman" w:ascii="Times New Roman"/>
        </w:rPr>
        <w:tab/>
        <w:t xml:space="preserve">Navedeni parnični postupak pokrenut je tužbom od 20.02.2017. godine, a predmet spora je utvrđenje ništetnosti više kupoprodajnih ugovora i uspostava prijašnjeg zemljišnoknjižnog stanja na nekretninama. </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ab/>
        <w:t>Radi se o sljedećim kupoprodajnim ugovorima:</w:t>
      </w:r>
    </w:p>
    <w:p w:rsidRDefault="009D0BB9" w:rsidR="003157B6">
      <w:pPr>
        <w:spacing w:lineRule="exact" w:line="276"/>
        <w:jc w:val="both"/>
        <w:rPr>
          <w:rFonts w:hint="eastAsia"/>
        </w:rPr>
      </w:pPr>
      <w:r>
        <w:rPr>
          <w:rFonts w:cs="Times New Roman" w:hAnsi="Times New Roman" w:ascii="Times New Roman"/>
        </w:rPr>
        <w:t>- Ugovor o kupoprodaji nekretnine od 15.11.2013.g. sklopljenog između  I.T.D. d.o.o. Samobor kao prodavatelja I II-tužene Jasminke Jović Grgić kao kupca nekretnine upisane u poduložak 4323 z.k.ul. 2948 k.o. Zadar, u naravi stana površine 63,04 m2 na adresi u Zadru, Velebitska 1, uz ugovorenu kupoprodajnu cijenu u iznosu od 50.000,00 eur u kunskoj protuvrijednosti</w:t>
      </w:r>
    </w:p>
    <w:p w:rsidRDefault="009D0BB9" w:rsidR="003157B6">
      <w:pPr>
        <w:spacing w:lineRule="exact" w:line="276"/>
        <w:jc w:val="both"/>
        <w:rPr>
          <w:rFonts w:hint="eastAsia"/>
        </w:rPr>
      </w:pPr>
      <w:r>
        <w:rPr>
          <w:rFonts w:cs="Times New Roman" w:hAnsi="Times New Roman" w:ascii="Times New Roman"/>
        </w:rPr>
        <w:t>- Ugovor o kupoprodaji nekretnine od 15.11.2013.g. sklopljenog između II tužene Jasminke Jović Grgić kao prodavatelja te IV i V tuženih kao kupaca nekretnine označene kao etažno vlasništvo E-6 u z.k.ul. 19711 k.o. Grad Zagreb, u naravi stana u Zagrebu, Istarska 45B, uz ugovorenu kupoprodajnu cijenu u iznosu od 50.000,00 EUR u kunskoj protuvrijednosti</w:t>
      </w:r>
    </w:p>
    <w:p w:rsidRDefault="009D0BB9" w:rsidR="003157B6">
      <w:pPr>
        <w:spacing w:lineRule="exact" w:line="276"/>
        <w:jc w:val="both"/>
        <w:rPr>
          <w:rFonts w:hint="eastAsia"/>
        </w:rPr>
      </w:pPr>
      <w:r>
        <w:rPr>
          <w:rFonts w:cs="Times New Roman" w:hAnsi="Times New Roman" w:ascii="Times New Roman"/>
        </w:rPr>
        <w:t>- Ugovor o kupoprodaji nekretnine od 03.09.2013.g. , sklopljen između III tuženika Gordana Grgića kao prodavatelja i II tužene Jasminke Jović Grgić kao kupca nekretnine označene kao etažno vlasništvo E-6 u z.k.ul. 19711 k.o. Grad Zagreb, u naravi stana u Zagrebu, Istarska 45B, uz ugovorenu kupoprodajnu cijenu u iznosu od 50.000,00 EUR u kunskoj protuvrijednosti.</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ab/>
        <w:t>U historijatu tužbe navodi se da se radi o udruženom djelovanju tuženika kojim se protivno moralu i prisilnim propisima raspolagalo imovinom I-tuženika znatno ispod njezine tržišne vrijednosti, s ciljem stjecanja nekretnina za bivšeg z.z. dužnika putem s njim povezanih osoba- kćerki Ive i Maše Pavičić.</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ab/>
        <w:t xml:space="preserve">I-tuženi stečajni dužnik u tome postupku nije dao odgovor na tužbu, a postupak je prekinut rješenjem suda od 14. ožujka 2019. godine zbog otvaranja stečajnog postupka nad I-tuženikom. </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ab/>
        <w:t xml:space="preserve">Stečajna upraviteljica ne raspolaže naprijed spomenutim ugovorima o kupoprodaji, no gđa Tanja Marinović, tužiteljica iz toga parničnog postupka dostavila joj je Sporazum sklopljen između Grgić Gordana I Darka Pavičića dana 15.11.2013. godine, kojim strane toga sporazuma reguliraju svoje odnose glede ispunjenja obveza iz spomenutih kupoprodajnih ugovora I iz kojeg se zaključuje da je zapravo riječ o zamjeni nekretnina, da se kupoprodajne cijene ne isplaćuju već se preuzimaju obveze otplate kredita upisanih na nekretninama. Stečajna upraviteljica ne raspolaže ispravama za koje je navedeno da su sastavni dio toga sporazuma, kao niti o tome jesu li ugovorne strane ispunile tako preuzete obveze, no drži da bi se tu moglo raditi o pobojnim pravnim radnjama, budući je imovina stečajnog dužnika ovim ugovorom umanjena, dok drugu </w:t>
      </w:r>
      <w:r>
        <w:rPr>
          <w:rFonts w:cs="Times New Roman" w:hAnsi="Times New Roman" w:ascii="Times New Roman"/>
        </w:rPr>
        <w:lastRenderedPageBreak/>
        <w:t xml:space="preserve">nekretninu stečajni dužnik nije stekao niti mu je kupoprodajna cijena isplaćena, već su naprotiv nekretninu stekle IV I V tužena.  Stečajni upravitelj smatra opravdanim da se angažira odvjetnik radi pribave cjelokupne dokumentacije u svezi navedenih pravnih poslova i davanja sveobuhvatnog pravnog mišljenja o pobijanju ove pravne radnje, za što će biti potrebno pozvati vjerovnike na predujmljivanje za to potrebnih troškova, kao i eventualnog vođenja takve parnice (ukoliko se utvrdi da postojeća imovina nije dostatna za namirenje vjerovnika), a obzirom da u stečajnoj masi u ovom trenutku za to nema dostatnih sredstava. </w:t>
      </w:r>
    </w:p>
    <w:p w:rsidRDefault="009D0BB9" w:rsidR="003157B6">
      <w:pPr>
        <w:spacing w:lineRule="exact" w:line="276"/>
        <w:jc w:val="both"/>
        <w:rPr>
          <w:rFonts w:hint="eastAsia"/>
        </w:rPr>
      </w:pPr>
      <w:r>
        <w:rPr>
          <w:rFonts w:cs="Times New Roman" w:hAnsi="Times New Roman" w:ascii="Times New Roman"/>
        </w:rPr>
        <w:tab/>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eastAsia="Times New Roman" w:hAnsi="Times New Roman" w:ascii="Times New Roman"/>
        </w:rPr>
        <w:t xml:space="preserve">     </w:t>
      </w:r>
      <w:r>
        <w:rPr>
          <w:rFonts w:cs="Times New Roman" w:hAnsi="Times New Roman" w:ascii="Times New Roman"/>
        </w:rPr>
        <w:t>c)  Kazneni postupak pred Županijskim sudom u Velikoj Gorici posl.br. K-1/2019</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ab/>
        <w:t xml:space="preserve">Stečajni upravitelj ima saznanja da je pred Županijskim sudom u Velikoj Gorici u tijeku kazneni postupak protiv okr. Darka Pavičića radi kaznenog djela iz čl. 246 st. 1 i 2 KZ-a, počinjenog na način opisan u optužnici Županijskog državnog odvjetništva u Zagrebu posl.br. K-DO-35/18 IS-DO-8/18 od 26.10.2018. godine, a kojim postupanjem da je isti oštetio trgovačko društvo I.T.D. d.o.o. Samobor za iznos od ukupno 882.903,21 kn, a činjeničnim opisom djela iz optužnice obuhvaćeno je, između ostalog, i sklapanje ugovora o prodaji nekretnine u vlasništvu stečajnog dužnika od 15.11.2013.g. te sporazuma između Gordana Grgića i Darka Pavičića od 15.11.2013.g. </w:t>
      </w: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hAnsi="Times New Roman" w:ascii="Times New Roman"/>
        </w:rPr>
        <w:tab/>
        <w:t xml:space="preserve">Pripremno ročište u navedenom kaznenom postupku, prema saznanjima stečajnog upravitelja, još nije održano, niti je postavljen imovinskopravni zahtjev, već je predloženo oduzimanje imovinske koristi ostvarene kaznenim djelom i to u iznosu od 725.161,28 kn. </w:t>
      </w:r>
    </w:p>
    <w:p w:rsidRDefault="003157B6" w:rsidR="003157B6">
      <w:pPr>
        <w:spacing w:lineRule="exact" w:line="276"/>
        <w:jc w:val="both"/>
        <w:rPr>
          <w:rFonts w:cs="Times New Roman" w:hAnsi="Times New Roman" w:ascii="Times New Roman"/>
        </w:rPr>
      </w:pPr>
    </w:p>
    <w:p w:rsidRDefault="003157B6" w:rsidR="003157B6">
      <w:pPr>
        <w:spacing w:lineRule="exact" w:line="276"/>
        <w:jc w:val="both"/>
        <w:rPr>
          <w:rFonts w:cs="Times New Roman" w:hAnsi="Times New Roman" w:ascii="Times New Roman"/>
        </w:rPr>
      </w:pPr>
    </w:p>
    <w:p w:rsidRDefault="009D0BB9" w:rsidR="003157B6">
      <w:pPr>
        <w:spacing w:lineRule="exact" w:line="276"/>
        <w:jc w:val="both"/>
        <w:rPr>
          <w:rFonts w:hint="eastAsia"/>
        </w:rPr>
      </w:pPr>
      <w:r>
        <w:rPr>
          <w:rFonts w:cs="Times New Roman" w:eastAsia="Times New Roman" w:hAnsi="Times New Roman" w:ascii="Times New Roman"/>
        </w:rPr>
        <w:t xml:space="preserve">     </w:t>
      </w:r>
      <w:r>
        <w:rPr>
          <w:rFonts w:cs="Times New Roman" w:hAnsi="Times New Roman" w:ascii="Times New Roman"/>
        </w:rPr>
        <w:t xml:space="preserve">d)  Upravni postupak pred RH Zagrebačka županija Grad Samobor Upravnim odjelom </w:t>
      </w:r>
      <w:r>
        <w:rPr>
          <w:rFonts w:cs="Times New Roman" w:hAnsi="Times New Roman" w:ascii="Times New Roman"/>
        </w:rPr>
        <w:tab/>
        <w:t>za provođenje dokumenata prostornog uređenja i gradnju klasa: UP/I-361-06/13-</w:t>
      </w:r>
      <w:r>
        <w:rPr>
          <w:rFonts w:cs="Times New Roman" w:hAnsi="Times New Roman" w:ascii="Times New Roman"/>
        </w:rPr>
        <w:tab/>
        <w:t>02/6159, radi izdavanja rješenja o izvedenom stanju</w:t>
      </w:r>
    </w:p>
    <w:p w:rsidRDefault="009D0BB9" w:rsidR="003157B6">
      <w:pPr>
        <w:spacing w:lineRule="exact" w:line="276"/>
        <w:jc w:val="both"/>
        <w:rPr>
          <w:rFonts w:hint="eastAsia"/>
        </w:rPr>
      </w:pPr>
      <w:r>
        <w:rPr>
          <w:rFonts w:cs="Times New Roman" w:hAnsi="Times New Roman" w:ascii="Times New Roman"/>
        </w:rPr>
        <w:tab/>
      </w:r>
    </w:p>
    <w:p w:rsidRDefault="009D0BB9" w:rsidR="003157B6">
      <w:pPr>
        <w:spacing w:lineRule="exact" w:line="276"/>
        <w:jc w:val="both"/>
        <w:rPr>
          <w:rFonts w:hint="eastAsia"/>
        </w:rPr>
      </w:pPr>
      <w:r>
        <w:rPr>
          <w:rFonts w:cs="Times New Roman" w:hAnsi="Times New Roman" w:ascii="Times New Roman"/>
        </w:rPr>
        <w:tab/>
        <w:t xml:space="preserve">Stečajna upraviteljica je obaviještena da je od strane društva I.T.D. d.o.o. Samobor podnesen zahtjev za izdavanje rješenja o izvedenom stanju za nezakonito izgrađenu zgradu u Samoboru na k.č. 2724/19 k.o. Samobor, te da zahtjevu nisu priložene nikakve isprave I nije moguće točno utvrditi kojeg dijela građevine se traži legalizacija. </w:t>
      </w:r>
    </w:p>
    <w:p w:rsidRDefault="009D0BB9" w:rsidR="003157B6">
      <w:pPr>
        <w:spacing w:lineRule="exact" w:line="276"/>
        <w:jc w:val="both"/>
        <w:rPr>
          <w:rFonts w:hint="eastAsia"/>
        </w:rPr>
      </w:pPr>
      <w:r>
        <w:rPr>
          <w:rFonts w:cs="Times New Roman" w:hAnsi="Times New Roman" w:ascii="Times New Roman"/>
        </w:rPr>
        <w:t xml:space="preserve">Prema navodima gđe Tanje Marinović radi se o legalizaciji pomoćne zgrade odnosno dijela objekta što da je dograđivano po prijašnjem vlasniku nekretnie, koji dio je ucrtan u katastarski plan i o tome mi se obvezala dostaviti isprave i nacrte, no koje do danas nisam zaprimila, a u zemljišnoj knjizi nema naznake u svezi legaliteta građevine.  Smatram opravdanim da se u daljnjem tijeku postupka povodom podnesenog zahtjeva nadležnom tijelu dostave isprava radi legalizacije pomoćne zgrade (troškovi toga postupka svode se na troškove izdavanja kopija katarstarkog plana i plaćanja naknade za zadržavanje zgrade u prostoru u iznosu od 500,00 kn, dok se komunalni i vodni doprinos ne plaćaju kod legalizacije pomoćnih objekata), budući legalnost čitave građevine u konačnici utječe na njezinu tržišnu vrijednost. </w:t>
      </w:r>
    </w:p>
    <w:p w:rsidRDefault="003157B6" w:rsidR="003157B6">
      <w:pPr>
        <w:spacing w:lineRule="exact" w:line="276"/>
        <w:jc w:val="both"/>
        <w:rPr>
          <w:rFonts w:hint="eastAsia"/>
        </w:rPr>
      </w:pPr>
    </w:p>
    <w:p w:rsidRDefault="003157B6" w:rsidR="003157B6">
      <w:pPr>
        <w:spacing w:lineRule="exact" w:line="276"/>
        <w:jc w:val="both"/>
        <w:rPr>
          <w:rFonts w:hint="eastAsia"/>
        </w:rPr>
      </w:pPr>
    </w:p>
    <w:p w:rsidRDefault="009D0BB9" w:rsidR="003157B6">
      <w:pPr>
        <w:spacing w:lineRule="exact" w:line="276"/>
        <w:jc w:val="both"/>
        <w:rPr>
          <w:rFonts w:hint="eastAsia"/>
        </w:rPr>
      </w:pPr>
      <w:r>
        <w:rPr>
          <w:rFonts w:cs="Times New Roman" w:hAnsi="Times New Roman" w:ascii="Times New Roman"/>
        </w:rPr>
        <w:lastRenderedPageBreak/>
        <w:t>8.  PREDRAČUN TROŠKOVA STEČAJNOG POSTUPKA za narednih 6 mjeseci</w:t>
      </w:r>
    </w:p>
    <w:p w:rsidRDefault="009D0BB9" w:rsidR="003157B6">
      <w:pPr>
        <w:spacing w:lineRule="exact" w:line="276"/>
        <w:jc w:val="both"/>
        <w:rPr>
          <w:rFonts w:hint="eastAsia"/>
        </w:rPr>
      </w:pPr>
      <w:r>
        <w:rPr>
          <w:rFonts w:cs="Times New Roman" w:eastAsia="Times New Roman" w:hAnsi="Times New Roman" w:ascii="Times New Roman"/>
        </w:rPr>
        <w:t xml:space="preserve"> </w:t>
      </w:r>
    </w:p>
    <w:p w:rsidRDefault="003157B6" w:rsidR="003157B6">
      <w:pPr>
        <w:spacing w:lineRule="exact" w:line="276"/>
        <w:jc w:val="both"/>
        <w:rPr>
          <w:rFonts w:cs="Times New Roman" w:eastAsia="Times New Roman" w:hAnsi="Times New Roman" w:ascii="Times New Roman"/>
        </w:rPr>
      </w:pPr>
    </w:p>
    <w:tbl>
      <w:tblPr>
        <w:tblW w:type="auto" w:w="0"/>
        <w:tblInd w:type="dxa" w:w="-150"/>
        <w:tblLayout w:type="fixed"/>
        <w:tblCellMar>
          <w:left w:type="dxa" w:w="73"/>
        </w:tblCellMar>
        <w:tblLook w:val="0000" w:noVBand="0" w:noHBand="0" w:lastColumn="0" w:firstColumn="0" w:lastRow="0" w:firstRow="0"/>
      </w:tblPr>
      <w:tblGrid>
        <w:gridCol w:w="985"/>
        <w:gridCol w:w="5056"/>
        <w:gridCol w:w="3241"/>
      </w:tblGrid>
      <w:tr w:rsidR="003157B6">
        <w:tc>
          <w:tcPr>
            <w:tcW w:type="dxa" w:w="985"/>
            <w:tcBorders>
              <w:top w:space="0" w:sz="4" w:color="00000A" w:val="single"/>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1</w:t>
            </w:r>
          </w:p>
        </w:tc>
        <w:tc>
          <w:tcPr>
            <w:tcW w:type="dxa" w:w="5056"/>
            <w:tcBorders>
              <w:top w:space="0" w:sz="4" w:color="00000A" w:val="single"/>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Trošak izrade pečata</w:t>
            </w:r>
          </w:p>
        </w:tc>
        <w:tc>
          <w:tcPr>
            <w:tcW w:type="dxa" w:w="3241"/>
            <w:tcBorders>
              <w:top w:space="0" w:sz="4" w:color="00000A" w:val="single"/>
              <w:left w:space="0" w:sz="4" w:color="00000A" w:val="single"/>
              <w:bottom w:space="0" w:sz="4" w:color="00000A" w:val="single"/>
              <w:right w:space="0" w:sz="4" w:color="00000A" w:val="single"/>
            </w:tcBorders>
            <w:shd w:fill="FFFFFF" w:color="auto" w:val="clear"/>
          </w:tcPr>
          <w:p w:rsidRDefault="009D0BB9" w:rsidR="003157B6">
            <w:pPr>
              <w:pStyle w:val="Bezproreda1"/>
              <w:jc w:val="both"/>
            </w:pP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 xml:space="preserve">162,00 kn </w:t>
            </w:r>
          </w:p>
        </w:tc>
      </w:tr>
      <w:tr w:rsidR="003157B6">
        <w:tc>
          <w:tcPr>
            <w:tcW w:type="dxa" w:w="985"/>
            <w:tcBorders>
              <w:top w:space="0" w:sz="4" w:color="00000A" w:val="single"/>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2</w:t>
            </w:r>
          </w:p>
        </w:tc>
        <w:tc>
          <w:tcPr>
            <w:tcW w:type="dxa" w:w="5056"/>
            <w:tcBorders>
              <w:top w:space="0" w:sz="4" w:color="00000A" w:val="single"/>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Putni trošak stečajnog upravitelja na ročište dana 08.05.2019. godine (Rijeka-Zagreb-Rijeka 168 km x2+ 2kn/km+cestarina 70 kn x 2)</w:t>
            </w:r>
          </w:p>
        </w:tc>
        <w:tc>
          <w:tcPr>
            <w:tcW w:type="dxa" w:w="3241"/>
            <w:tcBorders>
              <w:top w:space="0" w:sz="4" w:color="00000A" w:val="single"/>
              <w:left w:space="0" w:sz="4" w:color="00000A" w:val="single"/>
              <w:bottom w:space="0" w:sz="4" w:color="00000A" w:val="single"/>
              <w:right w:space="0" w:sz="4" w:color="00000A" w:val="single"/>
            </w:tcBorders>
            <w:shd w:fill="FFFFFF" w:color="auto" w:val="clear"/>
          </w:tcPr>
          <w:p w:rsidRDefault="009D0BB9" w:rsidR="003157B6">
            <w:pPr>
              <w:pStyle w:val="Bezproreda1"/>
              <w:jc w:val="both"/>
            </w:pPr>
            <w:r>
              <w:rPr>
                <w:rFonts w:cs="Times New Roman" w:eastAsia="Times New Roman" w:hAnsi="Times New Roman" w:ascii="Times New Roman"/>
                <w:sz w:val="24"/>
                <w:szCs w:val="24"/>
              </w:rPr>
              <w:t xml:space="preserve">                        812,00</w:t>
            </w:r>
            <w:r>
              <w:rPr>
                <w:rFonts w:cs="Times New Roman" w:eastAsia="Calibri" w:hAnsi="Times New Roman" w:ascii="Times New Roman"/>
                <w:sz w:val="24"/>
                <w:szCs w:val="24"/>
              </w:rPr>
              <w:t xml:space="preserve"> kn</w:t>
            </w:r>
          </w:p>
        </w:tc>
      </w:tr>
      <w:tr w:rsidR="003157B6">
        <w:tc>
          <w:tcPr>
            <w:tcW w:type="dxa" w:w="985"/>
            <w:tcBorders>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3</w:t>
            </w:r>
          </w:p>
        </w:tc>
        <w:tc>
          <w:tcPr>
            <w:tcW w:type="dxa" w:w="5056"/>
            <w:tcBorders>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Otvaranje, vođenje (6 mjeseci) i zatvaranje računa</w:t>
            </w:r>
          </w:p>
        </w:tc>
        <w:tc>
          <w:tcPr>
            <w:tcW w:type="dxa" w:w="3241"/>
            <w:tcBorders>
              <w:left w:space="0" w:sz="4" w:color="00000A" w:val="single"/>
              <w:bottom w:space="0" w:sz="4" w:color="00000A" w:val="single"/>
              <w:right w:space="0" w:sz="4" w:color="00000A" w:val="single"/>
            </w:tcBorders>
            <w:shd w:fill="FFFFFF" w:color="auto" w:val="clear"/>
          </w:tcPr>
          <w:p w:rsidRDefault="009D0BB9" w:rsidR="003157B6">
            <w:pPr>
              <w:pStyle w:val="Bezproreda1"/>
              <w:jc w:val="both"/>
            </w:pPr>
            <w:r>
              <w:rPr>
                <w:rFonts w:cs="Times New Roman" w:eastAsia="Times New Roman" w:hAnsi="Times New Roman" w:ascii="Times New Roman"/>
                <w:sz w:val="24"/>
                <w:szCs w:val="24"/>
              </w:rPr>
              <w:t xml:space="preserve">  </w:t>
            </w:r>
          </w:p>
          <w:p w:rsidRDefault="009D0BB9" w:rsidR="003157B6">
            <w:pPr>
              <w:pStyle w:val="Bezproreda1"/>
              <w:jc w:val="both"/>
            </w:pP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800,00 kn</w:t>
            </w:r>
          </w:p>
        </w:tc>
      </w:tr>
      <w:tr w:rsidR="003157B6">
        <w:tc>
          <w:tcPr>
            <w:tcW w:type="dxa" w:w="985"/>
            <w:tcBorders>
              <w:top w:space="0" w:sz="4" w:color="00000A" w:val="single"/>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4</w:t>
            </w:r>
          </w:p>
        </w:tc>
        <w:tc>
          <w:tcPr>
            <w:tcW w:type="dxa" w:w="5056"/>
            <w:tcBorders>
              <w:top w:space="0" w:sz="4" w:color="00000A" w:val="single"/>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Trošak knjigovodstva (1.250,00 kn x 6 mjeseci)</w:t>
            </w:r>
          </w:p>
        </w:tc>
        <w:tc>
          <w:tcPr>
            <w:tcW w:type="dxa" w:w="3241"/>
            <w:tcBorders>
              <w:top w:space="0" w:sz="4" w:color="00000A" w:val="single"/>
              <w:left w:space="0" w:sz="4" w:color="00000A" w:val="single"/>
              <w:bottom w:space="0" w:sz="4" w:color="00000A" w:val="single"/>
              <w:right w:space="0" w:sz="4" w:color="00000A" w:val="single"/>
            </w:tcBorders>
            <w:shd w:fill="FFFFFF" w:color="auto" w:val="clear"/>
          </w:tcPr>
          <w:p w:rsidRDefault="009D0BB9" w:rsidR="003157B6">
            <w:pPr>
              <w:pStyle w:val="Bezproreda1"/>
              <w:jc w:val="both"/>
            </w:pPr>
            <w:r>
              <w:rPr>
                <w:rFonts w:cs="Times New Roman" w:eastAsia="Times New Roman" w:hAnsi="Times New Roman" w:ascii="Times New Roman"/>
                <w:sz w:val="24"/>
                <w:szCs w:val="24"/>
              </w:rPr>
              <w:t xml:space="preserve">                    7.500</w:t>
            </w:r>
            <w:r>
              <w:rPr>
                <w:rFonts w:cs="Times New Roman" w:eastAsia="Calibri" w:hAnsi="Times New Roman" w:ascii="Times New Roman"/>
                <w:sz w:val="24"/>
                <w:szCs w:val="24"/>
              </w:rPr>
              <w:t>,00 kn</w:t>
            </w:r>
          </w:p>
        </w:tc>
      </w:tr>
      <w:tr w:rsidR="003157B6">
        <w:tc>
          <w:tcPr>
            <w:tcW w:type="dxa" w:w="985"/>
            <w:tcBorders>
              <w:top w:space="0" w:sz="4" w:color="00000A" w:val="single"/>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5</w:t>
            </w:r>
          </w:p>
        </w:tc>
        <w:tc>
          <w:tcPr>
            <w:tcW w:type="dxa" w:w="5056"/>
            <w:tcBorders>
              <w:top w:space="0" w:sz="4" w:color="00000A" w:val="single"/>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Putni troškovi stečajnog upravitelja (3 odlaska na skuštine vjerovnika Rijeka-Zagreb-Rijeka)</w:t>
            </w:r>
          </w:p>
        </w:tc>
        <w:tc>
          <w:tcPr>
            <w:tcW w:type="dxa" w:w="3241"/>
            <w:tcBorders>
              <w:top w:space="0" w:sz="4" w:color="00000A" w:val="single"/>
              <w:left w:space="0" w:sz="4" w:color="00000A" w:val="single"/>
              <w:bottom w:space="0" w:sz="4" w:color="00000A" w:val="single"/>
              <w:right w:space="0" w:sz="4" w:color="00000A" w:val="single"/>
            </w:tcBorders>
            <w:shd w:fill="FFFFFF" w:color="auto" w:val="clear"/>
          </w:tcPr>
          <w:p w:rsidRDefault="003157B6" w:rsidR="003157B6">
            <w:pPr>
              <w:pStyle w:val="Bezproreda1"/>
              <w:snapToGrid w:val="false"/>
              <w:jc w:val="both"/>
              <w:rPr>
                <w:rFonts w:cs="Times New Roman" w:eastAsia="Calibri" w:hAnsi="Times New Roman" w:ascii="Times New Roman"/>
                <w:sz w:val="24"/>
                <w:szCs w:val="24"/>
              </w:rPr>
            </w:pPr>
          </w:p>
          <w:p w:rsidRDefault="009D0BB9" w:rsidR="003157B6">
            <w:pPr>
              <w:pStyle w:val="Bezproreda1"/>
              <w:jc w:val="both"/>
            </w:pPr>
            <w:r>
              <w:rPr>
                <w:rFonts w:cs="Times New Roman" w:eastAsia="Times New Roman" w:hAnsi="Times New Roman" w:ascii="Times New Roman"/>
                <w:sz w:val="24"/>
                <w:szCs w:val="24"/>
              </w:rPr>
              <w:t xml:space="preserve">                     2.436</w:t>
            </w:r>
            <w:r>
              <w:rPr>
                <w:rFonts w:cs="Times New Roman" w:eastAsia="Calibri" w:hAnsi="Times New Roman" w:ascii="Times New Roman"/>
                <w:sz w:val="24"/>
                <w:szCs w:val="24"/>
              </w:rPr>
              <w:t>,00 kn</w:t>
            </w:r>
          </w:p>
        </w:tc>
      </w:tr>
      <w:tr w:rsidR="003157B6">
        <w:tc>
          <w:tcPr>
            <w:tcW w:type="dxa" w:w="985"/>
            <w:tcBorders>
              <w:top w:space="0" w:sz="4" w:color="00000A" w:val="single"/>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6</w:t>
            </w:r>
          </w:p>
        </w:tc>
        <w:tc>
          <w:tcPr>
            <w:tcW w:type="dxa" w:w="5056"/>
            <w:tcBorders>
              <w:top w:space="0" w:sz="4" w:color="00000A" w:val="single"/>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Materijalni troškovi rada stečajnog upravitelja  (ured, pošta, telefon 500,00 kn x 6mjeseci)</w:t>
            </w:r>
          </w:p>
        </w:tc>
        <w:tc>
          <w:tcPr>
            <w:tcW w:type="dxa" w:w="3241"/>
            <w:tcBorders>
              <w:top w:space="0" w:sz="4" w:color="00000A" w:val="single"/>
              <w:left w:space="0" w:sz="4" w:color="00000A" w:val="single"/>
              <w:bottom w:space="0" w:sz="4" w:color="00000A" w:val="single"/>
              <w:right w:space="0" w:sz="4" w:color="00000A" w:val="single"/>
            </w:tcBorders>
            <w:shd w:fill="FFFFFF" w:color="auto" w:val="clear"/>
          </w:tcPr>
          <w:p w:rsidRDefault="009D0BB9" w:rsidR="003157B6">
            <w:pPr>
              <w:pStyle w:val="Bezproreda1"/>
              <w:jc w:val="both"/>
            </w:pPr>
            <w:r>
              <w:rPr>
                <w:rFonts w:cs="Times New Roman" w:eastAsia="Times New Roman" w:hAnsi="Times New Roman" w:ascii="Times New Roman"/>
                <w:sz w:val="24"/>
                <w:szCs w:val="24"/>
              </w:rPr>
              <w:t xml:space="preserve">                     3.0</w:t>
            </w:r>
            <w:r>
              <w:rPr>
                <w:rFonts w:cs="Times New Roman" w:eastAsia="Calibri" w:hAnsi="Times New Roman" w:ascii="Times New Roman"/>
                <w:sz w:val="24"/>
                <w:szCs w:val="24"/>
              </w:rPr>
              <w:t>00,00 kn</w:t>
            </w:r>
          </w:p>
        </w:tc>
      </w:tr>
      <w:tr w:rsidR="003157B6">
        <w:tc>
          <w:tcPr>
            <w:tcW w:type="dxa" w:w="985"/>
            <w:tcBorders>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7</w:t>
            </w:r>
          </w:p>
        </w:tc>
        <w:tc>
          <w:tcPr>
            <w:tcW w:type="dxa" w:w="5056"/>
            <w:tcBorders>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Trošak procjene i prodaje nekretnina</w:t>
            </w:r>
          </w:p>
        </w:tc>
        <w:tc>
          <w:tcPr>
            <w:tcW w:type="dxa" w:w="3241"/>
            <w:tcBorders>
              <w:left w:space="0" w:sz="4" w:color="00000A" w:val="single"/>
              <w:bottom w:space="0" w:sz="4" w:color="00000A" w:val="single"/>
              <w:right w:space="0" w:sz="4" w:color="00000A" w:val="single"/>
            </w:tcBorders>
            <w:shd w:fill="FFFFFF" w:color="auto" w:val="clear"/>
          </w:tcPr>
          <w:p w:rsidRDefault="009D0BB9" w:rsidR="003157B6">
            <w:pPr>
              <w:pStyle w:val="Bezproreda1"/>
              <w:jc w:val="both"/>
            </w:pPr>
            <w:r>
              <w:rPr>
                <w:rFonts w:cs="Calibri" w:eastAsia="Calibri"/>
              </w:rPr>
              <w:t xml:space="preserve">                       </w:t>
            </w: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5</w:t>
            </w:r>
            <w:r>
              <w:rPr>
                <w:rFonts w:cs="Times New Roman" w:hAnsi="Times New Roman" w:ascii="Times New Roman"/>
                <w:sz w:val="24"/>
                <w:szCs w:val="24"/>
              </w:rPr>
              <w:t>.000,00 kn</w:t>
            </w:r>
          </w:p>
        </w:tc>
      </w:tr>
      <w:tr w:rsidR="003157B6">
        <w:tc>
          <w:tcPr>
            <w:tcW w:type="dxa" w:w="985"/>
            <w:tcBorders>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8</w:t>
            </w:r>
          </w:p>
        </w:tc>
        <w:tc>
          <w:tcPr>
            <w:tcW w:type="dxa" w:w="5056"/>
            <w:tcBorders>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Predvidivi troškovi za sudske i upravne postupke u tijeku</w:t>
            </w:r>
          </w:p>
        </w:tc>
        <w:tc>
          <w:tcPr>
            <w:tcW w:type="dxa" w:w="3241"/>
            <w:tcBorders>
              <w:left w:space="0" w:sz="4" w:color="00000A" w:val="single"/>
              <w:bottom w:space="0" w:sz="4" w:color="00000A" w:val="single"/>
              <w:right w:space="0" w:sz="4" w:color="00000A" w:val="single"/>
            </w:tcBorders>
            <w:shd w:fill="FFFFFF" w:color="auto" w:val="clear"/>
          </w:tcPr>
          <w:p w:rsidRDefault="009D0BB9" w:rsidR="003157B6">
            <w:pPr>
              <w:pStyle w:val="Bezproreda1"/>
              <w:jc w:val="both"/>
            </w:pPr>
            <w:r>
              <w:rPr>
                <w:rFonts w:cs="Calibri" w:eastAsia="Calibri"/>
              </w:rPr>
              <w:t xml:space="preserve">                      </w:t>
            </w:r>
            <w:r>
              <w:rPr>
                <w:rFonts w:cs="Times New Roman" w:eastAsia="Times New Roman" w:hAnsi="Times New Roman" w:ascii="Times New Roman"/>
                <w:sz w:val="24"/>
                <w:szCs w:val="24"/>
              </w:rPr>
              <w:t xml:space="preserve"> </w:t>
            </w:r>
            <w:r>
              <w:rPr>
                <w:rFonts w:cs="Times New Roman" w:hAnsi="Times New Roman" w:ascii="Times New Roman"/>
                <w:sz w:val="24"/>
                <w:szCs w:val="24"/>
              </w:rPr>
              <w:t>40.000,00</w:t>
            </w:r>
            <w:r>
              <w:t xml:space="preserve"> kn</w:t>
            </w:r>
          </w:p>
        </w:tc>
      </w:tr>
      <w:tr w:rsidR="003157B6">
        <w:tc>
          <w:tcPr>
            <w:tcW w:type="dxa" w:w="985"/>
            <w:tcBorders>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9</w:t>
            </w:r>
          </w:p>
        </w:tc>
        <w:tc>
          <w:tcPr>
            <w:tcW w:type="dxa" w:w="5056"/>
            <w:tcBorders>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Naknada FINA-e za 2 objave GFI</w:t>
            </w:r>
          </w:p>
        </w:tc>
        <w:tc>
          <w:tcPr>
            <w:tcW w:type="dxa" w:w="3241"/>
            <w:tcBorders>
              <w:left w:space="0" w:sz="4" w:color="00000A" w:val="single"/>
              <w:bottom w:space="0" w:sz="4" w:color="00000A" w:val="single"/>
              <w:right w:space="0" w:sz="4" w:color="00000A" w:val="single"/>
            </w:tcBorders>
            <w:shd w:fill="FFFFFF" w:color="auto" w:val="clear"/>
          </w:tcPr>
          <w:p w:rsidRDefault="009D0BB9" w:rsidR="003157B6">
            <w:pPr>
              <w:pStyle w:val="Bezproreda1"/>
              <w:jc w:val="both"/>
            </w:pPr>
            <w:r>
              <w:rPr>
                <w:rFonts w:cs="Calibri" w:eastAsia="Calibri"/>
              </w:rPr>
              <w:t xml:space="preserve">                          </w:t>
            </w:r>
            <w:r>
              <w:rPr>
                <w:rFonts w:cs="Times New Roman" w:eastAsia="Times New Roman" w:hAnsi="Times New Roman" w:ascii="Times New Roman"/>
                <w:sz w:val="24"/>
                <w:szCs w:val="24"/>
              </w:rPr>
              <w:t xml:space="preserve">   </w:t>
            </w:r>
            <w:r>
              <w:rPr>
                <w:rFonts w:cs="Times New Roman" w:hAnsi="Times New Roman" w:ascii="Times New Roman"/>
                <w:sz w:val="24"/>
                <w:szCs w:val="24"/>
              </w:rPr>
              <w:t>460,00 kn</w:t>
            </w:r>
          </w:p>
        </w:tc>
      </w:tr>
      <w:tr w:rsidR="003157B6">
        <w:tc>
          <w:tcPr>
            <w:tcW w:type="dxa" w:w="985"/>
            <w:tcBorders>
              <w:top w:space="0" w:sz="4" w:color="00000A" w:val="single"/>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10</w:t>
            </w:r>
          </w:p>
        </w:tc>
        <w:tc>
          <w:tcPr>
            <w:tcW w:type="dxa" w:w="5056"/>
            <w:tcBorders>
              <w:top w:space="0" w:sz="4" w:color="00000A" w:val="single"/>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Paušalna pristojba u stečajnom postupku, Tbr. 24 Zakona o sudskim pristojbama</w:t>
            </w:r>
          </w:p>
        </w:tc>
        <w:tc>
          <w:tcPr>
            <w:tcW w:type="dxa" w:w="3241"/>
            <w:tcBorders>
              <w:top w:space="0" w:sz="4" w:color="00000A" w:val="single"/>
              <w:left w:space="0" w:sz="4" w:color="00000A" w:val="single"/>
              <w:bottom w:space="0" w:sz="4" w:color="00000A" w:val="single"/>
              <w:right w:space="0" w:sz="4" w:color="00000A" w:val="single"/>
            </w:tcBorders>
            <w:shd w:fill="FFFFFF" w:color="auto" w:val="clear"/>
          </w:tcPr>
          <w:p w:rsidRDefault="009D0BB9" w:rsidR="003157B6">
            <w:pPr>
              <w:pStyle w:val="Bezproreda1"/>
              <w:jc w:val="both"/>
            </w:pPr>
            <w:r>
              <w:rPr>
                <w:rFonts w:cs="Times New Roman" w:eastAsia="Times New Roman" w:hAnsi="Times New Roman" w:ascii="Times New Roman"/>
                <w:sz w:val="24"/>
                <w:szCs w:val="24"/>
              </w:rPr>
              <w:t xml:space="preserve"> </w:t>
            </w:r>
          </w:p>
          <w:p w:rsidRDefault="009D0BB9" w:rsidR="003157B6">
            <w:pPr>
              <w:pStyle w:val="Bezproreda1"/>
              <w:jc w:val="both"/>
            </w:pP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2.000,00 kn</w:t>
            </w:r>
          </w:p>
        </w:tc>
      </w:tr>
      <w:tr w:rsidR="003157B6">
        <w:tc>
          <w:tcPr>
            <w:tcW w:type="dxa" w:w="985"/>
            <w:tcBorders>
              <w:top w:space="0" w:sz="4" w:color="00000A" w:val="single"/>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11</w:t>
            </w:r>
          </w:p>
        </w:tc>
        <w:tc>
          <w:tcPr>
            <w:tcW w:type="dxa" w:w="5056"/>
            <w:tcBorders>
              <w:top w:space="0" w:sz="4" w:color="00000A" w:val="single"/>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Trošak arhiviranja dokumentacije</w:t>
            </w:r>
          </w:p>
        </w:tc>
        <w:tc>
          <w:tcPr>
            <w:tcW w:type="dxa" w:w="3241"/>
            <w:tcBorders>
              <w:top w:space="0" w:sz="4" w:color="00000A" w:val="single"/>
              <w:left w:space="0" w:sz="4" w:color="00000A" w:val="single"/>
              <w:bottom w:space="0" w:sz="4" w:color="00000A" w:val="single"/>
              <w:right w:space="0" w:sz="4" w:color="00000A" w:val="single"/>
            </w:tcBorders>
            <w:shd w:fill="FFFFFF" w:color="auto" w:val="clear"/>
          </w:tcPr>
          <w:p w:rsidRDefault="009D0BB9" w:rsidR="003157B6">
            <w:pPr>
              <w:pStyle w:val="Bezproreda1"/>
              <w:jc w:val="both"/>
            </w:pP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2.000,00 kn</w:t>
            </w:r>
          </w:p>
        </w:tc>
      </w:tr>
      <w:tr w:rsidR="003157B6">
        <w:tc>
          <w:tcPr>
            <w:tcW w:type="dxa" w:w="985"/>
            <w:tcBorders>
              <w:top w:space="0" w:sz="4" w:color="00000A" w:val="single"/>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12</w:t>
            </w:r>
          </w:p>
        </w:tc>
        <w:tc>
          <w:tcPr>
            <w:tcW w:type="dxa" w:w="5056"/>
            <w:tcBorders>
              <w:top w:space="0" w:sz="4" w:color="00000A" w:val="single"/>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Ukupno</w:t>
            </w:r>
          </w:p>
        </w:tc>
        <w:tc>
          <w:tcPr>
            <w:tcW w:type="dxa" w:w="3241"/>
            <w:tcBorders>
              <w:top w:space="0" w:sz="4" w:color="00000A" w:val="single"/>
              <w:left w:space="0" w:sz="4" w:color="00000A" w:val="single"/>
              <w:bottom w:space="0" w:sz="4" w:color="00000A" w:val="single"/>
              <w:right w:space="0" w:sz="4" w:color="00000A" w:val="single"/>
            </w:tcBorders>
            <w:shd w:fill="FFFFFF" w:color="auto" w:val="clear"/>
          </w:tcPr>
          <w:p w:rsidRDefault="009D0BB9" w:rsidR="003157B6">
            <w:pPr>
              <w:pStyle w:val="Bezproreda1"/>
              <w:snapToGrid w:val="false"/>
              <w:jc w:val="both"/>
            </w:pPr>
            <w:r>
              <w:rPr>
                <w:rFonts w:cs="Times New Roman" w:eastAsia="Times New Roman" w:hAnsi="Times New Roman" w:ascii="Times New Roman"/>
                <w:sz w:val="24"/>
                <w:szCs w:val="24"/>
              </w:rPr>
              <w:t xml:space="preserve">                   64.1</w:t>
            </w:r>
            <w:r>
              <w:rPr>
                <w:rFonts w:cs="Times New Roman" w:eastAsia="Calibri" w:hAnsi="Times New Roman" w:ascii="Times New Roman"/>
                <w:sz w:val="24"/>
                <w:szCs w:val="24"/>
              </w:rPr>
              <w:t>70,00 kn</w:t>
            </w:r>
          </w:p>
          <w:p w:rsidRDefault="009D0BB9" w:rsidR="003157B6">
            <w:pPr>
              <w:pStyle w:val="Bezproreda1"/>
              <w:jc w:val="both"/>
            </w:pPr>
            <w:r>
              <w:rPr>
                <w:rFonts w:cs="Times New Roman" w:eastAsia="Times New Roman" w:hAnsi="Times New Roman" w:ascii="Times New Roman"/>
                <w:sz w:val="24"/>
                <w:szCs w:val="24"/>
              </w:rPr>
              <w:t xml:space="preserve">                    </w:t>
            </w:r>
          </w:p>
        </w:tc>
      </w:tr>
      <w:tr w:rsidR="003157B6">
        <w:trPr>
          <w:trHeight w:val="322"/>
        </w:trPr>
        <w:tc>
          <w:tcPr>
            <w:tcW w:type="dxa" w:w="985"/>
            <w:tcBorders>
              <w:top w:space="0" w:sz="4" w:color="00000A" w:val="single"/>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13</w:t>
            </w:r>
          </w:p>
        </w:tc>
        <w:tc>
          <w:tcPr>
            <w:tcW w:type="dxa" w:w="5056"/>
            <w:tcBorders>
              <w:top w:space="0" w:sz="4" w:color="00000A" w:val="single"/>
              <w:left w:space="0" w:sz="4" w:color="00000A" w:val="single"/>
              <w:bottom w:space="0" w:sz="4" w:color="00000A" w:val="single"/>
            </w:tcBorders>
            <w:shd w:fill="FFFFFF" w:color="auto" w:val="clear"/>
          </w:tcPr>
          <w:p w:rsidRDefault="009D0BB9" w:rsidR="003157B6">
            <w:pPr>
              <w:pStyle w:val="Bezproreda1"/>
              <w:jc w:val="both"/>
            </w:pPr>
            <w:r>
              <w:rPr>
                <w:rFonts w:cs="Times New Roman" w:eastAsia="Calibri" w:hAnsi="Times New Roman" w:ascii="Times New Roman"/>
                <w:sz w:val="24"/>
                <w:szCs w:val="24"/>
              </w:rPr>
              <w:t>Nagrada stečajnom upravitelju</w:t>
            </w:r>
          </w:p>
        </w:tc>
        <w:tc>
          <w:tcPr>
            <w:tcW w:type="dxa" w:w="3241"/>
            <w:tcBorders>
              <w:top w:space="0" w:sz="4" w:color="00000A" w:val="single"/>
              <w:left w:space="0" w:sz="4" w:color="00000A" w:val="single"/>
              <w:bottom w:space="0" w:sz="4" w:color="00000A" w:val="single"/>
              <w:right w:space="0" w:sz="4" w:color="00000A" w:val="single"/>
            </w:tcBorders>
            <w:shd w:fill="FFFFFF" w:color="auto" w:val="clear"/>
          </w:tcPr>
          <w:p w:rsidRDefault="009D0BB9" w:rsidR="003157B6">
            <w:pPr>
              <w:pStyle w:val="Bezproreda1"/>
              <w:ind w:left="-809"/>
              <w:jc w:val="both"/>
            </w:pPr>
            <w:r>
              <w:rPr>
                <w:rFonts w:cs="Times New Roman" w:eastAsia="Times New Roman" w:hAnsi="Times New Roman" w:ascii="Times New Roman"/>
                <w:sz w:val="24"/>
                <w:szCs w:val="24"/>
              </w:rPr>
              <w:t xml:space="preserve">              p</w:t>
            </w:r>
            <w:r>
              <w:rPr>
                <w:rFonts w:cs="Times New Roman" w:eastAsia="Calibri" w:hAnsi="Times New Roman" w:ascii="Times New Roman"/>
                <w:sz w:val="24"/>
                <w:szCs w:val="24"/>
              </w:rPr>
              <w:t>o odluci stečajnog suca</w:t>
            </w:r>
          </w:p>
        </w:tc>
      </w:tr>
    </w:tbl>
    <w:p w:rsidRDefault="003157B6" w:rsidR="003157B6">
      <w:pPr>
        <w:rPr>
          <w:rFonts w:hint="eastAsia"/>
        </w:rPr>
      </w:pPr>
    </w:p>
    <w:p w:rsidRDefault="003157B6" w:rsidR="003157B6">
      <w:pPr>
        <w:rPr>
          <w:rFonts w:cs="Times New Roman" w:hAnsi="Times New Roman" w:ascii="Times New Roman"/>
        </w:rPr>
      </w:pPr>
    </w:p>
    <w:p w:rsidRDefault="009D0BB9" w:rsidR="003157B6">
      <w:pPr>
        <w:rPr>
          <w:rFonts w:hint="eastAsia"/>
        </w:rPr>
      </w:pPr>
      <w:r>
        <w:rPr>
          <w:rFonts w:cs="Times New Roman" w:hAnsi="Times New Roman" w:ascii="Times New Roman"/>
        </w:rPr>
        <w:t>9. PRIJEDLOZI ODLUKA</w:t>
      </w:r>
    </w:p>
    <w:p w:rsidRDefault="003157B6" w:rsidR="003157B6">
      <w:pPr>
        <w:rPr>
          <w:rFonts w:cs="Times New Roman" w:hAnsi="Times New Roman" w:ascii="Times New Roman"/>
        </w:rPr>
      </w:pPr>
    </w:p>
    <w:p w:rsidRDefault="009D0BB9" w:rsidR="003157B6">
      <w:pPr>
        <w:rPr>
          <w:rFonts w:hint="eastAsia"/>
        </w:rPr>
      </w:pPr>
      <w:r>
        <w:rPr>
          <w:rFonts w:cs="Times New Roman" w:hAnsi="Times New Roman" w:ascii="Times New Roman"/>
        </w:rPr>
        <w:t>I. Prihvaća se izvješće stečajnog upravitelja i odobravaju poduzete radnje.</w:t>
      </w:r>
    </w:p>
    <w:p w:rsidRDefault="009D0BB9" w:rsidR="003157B6">
      <w:pPr>
        <w:rPr>
          <w:rFonts w:hint="eastAsia"/>
        </w:rPr>
      </w:pPr>
      <w:r>
        <w:rPr>
          <w:rFonts w:cs="Times New Roman" w:hAnsi="Times New Roman" w:ascii="Times New Roman"/>
        </w:rPr>
        <w:t>II. Poslovanje dužnika se ne nastavlja.</w:t>
      </w:r>
    </w:p>
    <w:p w:rsidRDefault="009D0BB9" w:rsidR="003157B6">
      <w:pPr>
        <w:rPr>
          <w:rFonts w:hint="eastAsia"/>
        </w:rPr>
      </w:pPr>
      <w:r>
        <w:rPr>
          <w:rFonts w:cs="Times New Roman" w:hAnsi="Times New Roman" w:ascii="Times New Roman"/>
        </w:rPr>
        <w:t>III.  Prihvaća se predračun troškova stečajnog upravitelja.</w:t>
      </w:r>
    </w:p>
    <w:p w:rsidRDefault="009D0BB9" w:rsidR="003157B6">
      <w:pPr>
        <w:rPr>
          <w:rFonts w:hint="eastAsia"/>
        </w:rPr>
      </w:pPr>
      <w:r>
        <w:rPr>
          <w:rFonts w:cs="Times New Roman" w:hAnsi="Times New Roman" w:ascii="Times New Roman"/>
        </w:rPr>
        <w:t>IV. Predlaže se donošenje odluke o unovčenju imovine stečajnog dužnika.</w:t>
      </w:r>
    </w:p>
    <w:p w:rsidRDefault="009D0BB9" w:rsidR="003157B6">
      <w:pPr>
        <w:rPr>
          <w:rFonts w:hint="eastAsia"/>
        </w:rPr>
      </w:pPr>
      <w:r>
        <w:rPr>
          <w:rFonts w:cs="Times New Roman" w:hAnsi="Times New Roman" w:ascii="Times New Roman"/>
        </w:rPr>
        <w:t>V.  Predlaže se donošenje odluke o produljenju sklopljenog ugovora o najmu nekretnine s Tanjom Marinović kao najmoprimcem do prodaje nekretnine u stečajnom postupku.</w:t>
      </w:r>
    </w:p>
    <w:p w:rsidRDefault="009D0BB9" w:rsidR="003157B6">
      <w:pPr>
        <w:rPr>
          <w:rFonts w:hint="eastAsia"/>
        </w:rPr>
      </w:pPr>
      <w:r>
        <w:rPr>
          <w:rFonts w:cs="Times New Roman" w:hAnsi="Times New Roman" w:ascii="Times New Roman"/>
        </w:rPr>
        <w:t>VI.  Predlaže se donošenje odluke o sudskim postupcima u tijeku i ovlašćuje stečajni upravitelj na angažiranje odvjetnika po svom izboru za zastupanje stečajnog dužnika, kao i za prikupljanje dokumetacije te davanje pravnog mišljenja o pobijanju pravnih radnji kako je to navedeno u toč. 7 b) ovog izvješća.</w:t>
      </w:r>
    </w:p>
    <w:p w:rsidRDefault="003157B6" w:rsidR="003157B6">
      <w:pPr>
        <w:rPr>
          <w:rFonts w:cs="Times New Roman" w:hAnsi="Times New Roman" w:ascii="Times New Roman"/>
        </w:rPr>
      </w:pPr>
    </w:p>
    <w:p w:rsidRDefault="003157B6" w:rsidR="003157B6">
      <w:pPr>
        <w:rPr>
          <w:rFonts w:cs="Times New Roman" w:hAnsi="Times New Roman" w:ascii="Times New Roman"/>
        </w:rPr>
      </w:pPr>
    </w:p>
    <w:p w:rsidRDefault="009D0BB9" w:rsidR="003157B6">
      <w:pPr>
        <w:rPr>
          <w:rFonts w:hint="eastAsia"/>
        </w:rPr>
      </w:pPr>
      <w:r>
        <w:rPr>
          <w:rFonts w:cs="Times New Roman" w:hAnsi="Times New Roman" w:ascii="Times New Roman"/>
        </w:rPr>
        <w:t>U Rijeci, 18. travnja 2019. godine</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t>I.T.D. d.o.o. u stečaju po</w:t>
      </w:r>
    </w:p>
    <w:p w:rsidRDefault="009D0BB9" w:rsidR="003157B6">
      <w:pPr>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stečajnoj upraviteljici Lovorki Juranović</w:t>
      </w:r>
    </w:p>
    <w:sectPr w:rsidR="003157B6">
      <w:pgSz w:h="15840" w:w="12240"/>
      <w:pgMar w:gutter="0" w:footer="720" w:header="720" w:left="1800" w:bottom="1440" w:right="1800" w:top="1440"/>
      <w:cols w:space="720"/>
      <w:docGrid w:charSpace="-655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Lucida Sans">
    <w:panose1 w:val="020B0602030504020204"/>
    <w:charset w:val="00"/>
    <w:family w:val="swiss"/>
    <w:pitch w:val="variable"/>
    <w:sig w:csb1="00000000" w:csb0="00000001" w:usb3="00000000" w:usb2="00000000" w:usb1="00000000" w:usb0="00000003"/>
  </w:font>
  <w:font w:name="Liberation Sans">
    <w:altName w:val="Arial"/>
    <w:charset w:val="00"/>
    <w:family w:val="roman"/>
    <w:pitch w:val="variable"/>
  </w:font>
  <w:font w:name="Microsoft YaHei">
    <w:panose1 w:val="020B0503020204020204"/>
    <w:charset w:val="86"/>
    <w:family w:val="swiss"/>
    <w:pitch w:val="variable"/>
    <w:sig w:csb1="00000000" w:csb0="0004001F" w:usb3="00000000" w:usb2="00000016" w:usb1="280F3C52" w:usb0="80000287"/>
  </w:font>
  <w:font w:name="Calibri">
    <w:panose1 w:val="020F0502020204030204"/>
    <w:charset w:val="EE"/>
    <w:family w:val="swiss"/>
    <w:pitch w:val="variable"/>
    <w:sig w:csb1="00000000" w:csb0="0000019F" w:usb3="00000000" w:usb2="00000001" w:usb1="4000ACFF" w:usb0="E00002FF"/>
  </w:font>
  <w:font w:name="font305">
    <w:charset w:val="00"/>
    <w:family w:val="auto"/>
    <w:pitch w:val="variable"/>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0BB9"/>
    <w:rsid w:val="003157B6"/>
    <w:rsid w:val="00437524"/>
    <w:rsid w:val="009D0B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Lucida Sans" w:eastAsia="SimSun" w:hAnsi="Liberation Serif" w:ascii="Liberation Serif"/>
      <w:color w:val="00000A"/>
      <w:kern w:val="1"/>
      <w:sz w:val="24"/>
      <w:szCs w:val="24"/>
      <w:lang w:bidi="hi-IN" w:eastAsia="zh-CN"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Pr>
      <w:color w:val="000080"/>
      <w:u w:val="single"/>
    </w:rPr>
  </w:style>
  <w:style w:customStyle="true" w:styleId="Stilnaslova" w:type="paragraph">
    <w:name w:val="Stil naslova"/>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ks" w:type="paragraph">
    <w:name w:val="Indeks"/>
    <w:basedOn w:val="Normal"/>
    <w:pPr>
      <w:suppressLineNumbers/>
    </w:pPr>
  </w:style>
  <w:style w:customStyle="true" w:styleId="Sadrajitablice" w:type="paragraph">
    <w:name w:val="Sadržaji tablice"/>
    <w:basedOn w:val="Normal"/>
  </w:style>
  <w:style w:customStyle="true" w:styleId="Bezproreda1" w:type="paragraph">
    <w:name w:val="Bez proreda1"/>
    <w:pPr>
      <w:suppressAutoHyphens/>
    </w:pPr>
    <w:rPr>
      <w:rFonts w:cs="font305" w:eastAsia="font305" w:hAnsi="Calibri" w:ascii="Calibri"/>
      <w:color w:val="00000A"/>
      <w:kern w:val="1"/>
      <w:sz w:val="22"/>
      <w:szCs w:val="22"/>
    </w:rPr>
  </w:style>
  <w:style w:customStyle="true" w:styleId="Naslovtablice" w:type="paragraph">
    <w:name w:val="Naslov tablice"/>
    <w:basedOn w:val="Sadrajitablice"/>
    <w:pPr>
      <w:suppressLineNumbers/>
      <w:jc w:val="center"/>
    </w:pPr>
    <w:rPr>
      <w:b/>
      <w:bCs/>
    </w:rPr>
  </w:style>
  <w:style w:styleId="Tekstrezerviranogmjesta" w:type="character">
    <w:name w:val="Placeholder Text"/>
    <w:basedOn w:val="Zadanifontodlomka"/>
    <w:uiPriority w:val="99"/>
    <w:semiHidden/>
    <w:rsid w:val="00437524"/>
    <w:rPr>
      <w:color w:val="808080"/>
      <w:bdr w:space="0" w:sz="0" w:color="auto" w:val="none"/>
      <w:shd w:fill="auto" w:color="auto" w:val="clear"/>
    </w:rPr>
  </w:style>
  <w:style w:customStyle="true" w:styleId="eSPISCCParagraphDefaultFont" w:type="character">
    <w:name w:val="eSPIS_CC_Paragraph Default Font"/>
    <w:basedOn w:val="Zadanifontodlomka"/>
    <w:rsid w:val="00437524"/>
    <w:rPr>
      <w:rFonts w:cs="Times New Roman" w:eastAsia="Times New Roman" w:hAnsi="Times New Roman" w:ascii="Times New Roman"/>
      <w:b/>
      <w:i/>
      <w:sz w:val="24"/>
      <w:bdr w:space="0" w:sz="0" w:color="auto" w:val="none"/>
      <w:shd w:fill="auto" w:color="auto" w:val="clear"/>
      <w:lang w:val="hr-HR"/>
    </w:rPr>
  </w:style>
  <w:style w:customStyle="true" w:styleId="PozadinaSvijetloZuta" w:type="character">
    <w:name w:val="Pozadina_SvijetloZuta"/>
    <w:basedOn w:val="Zadanifontodlomka"/>
    <w:rsid w:val="00437524"/>
    <w:rPr>
      <w:rFonts w:cs="Times New Roman" w:eastAsia="Times New Roman" w:hAnsi="Times New Roman" w:ascii="Times New Roman"/>
      <w:b/>
      <w:i/>
      <w:bdr w:space="0" w:sz="0" w:color="auto" w:val="none"/>
      <w:shd w:fill="FFFFCC" w:color="auto" w:val="clear"/>
      <w:lang w:val="hr-HR"/>
    </w:rPr>
  </w:style>
  <w:style w:customStyle="true" w:styleId="PozadinaSvijetloCrvena" w:type="character">
    <w:name w:val="Pozadina_SvijetloCrvena"/>
    <w:basedOn w:val="eSPISCCParagraphDefaultFont"/>
    <w:rsid w:val="00437524"/>
    <w:rPr>
      <w:rFonts w:cs="Times New Roman" w:eastAsia="Times New Roman" w:hAnsi="Times New Roman" w:ascii="Times New Roman"/>
      <w:b w:val="false"/>
      <w:i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37524"/>
    <w:rPr>
      <w:rFonts w:cs="Times New Roman" w:eastAsia="Times New Roman" w:hAnsi="Times New Roman" w:ascii="Times New Roman"/>
      <w:b w:val="false"/>
      <w:i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Lucida Sans" w:eastAsia="SimSun" w:hAnsi="Liberation Serif"/>
      <w:color w:val="00000A"/>
      <w:kern w:val="1"/>
      <w:sz w:val="24"/>
      <w:szCs w:val="24"/>
      <w:lang w:bidi="hi-IN" w:eastAsia="zh-CN"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Pr>
      <w:color w:val="000080"/>
      <w:u w:val="single"/>
    </w:rPr>
  </w:style>
  <w:style w:customStyle="1" w:styleId="Stilnaslova" w:type="paragraph">
    <w:name w:val="Stil naslova"/>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ks" w:type="paragraph">
    <w:name w:val="Indeks"/>
    <w:basedOn w:val="Normal"/>
    <w:pPr>
      <w:suppressLineNumbers/>
    </w:pPr>
  </w:style>
  <w:style w:customStyle="1" w:styleId="Sadrajitablice" w:type="paragraph">
    <w:name w:val="Sadržaji tablice"/>
    <w:basedOn w:val="Normal"/>
  </w:style>
  <w:style w:customStyle="1" w:styleId="Bezproreda1" w:type="paragraph">
    <w:name w:val="Bez proreda1"/>
    <w:pPr>
      <w:suppressAutoHyphens/>
    </w:pPr>
    <w:rPr>
      <w:rFonts w:ascii="Calibri" w:cs="font305" w:eastAsia="font305" w:hAnsi="Calibri"/>
      <w:color w:val="00000A"/>
      <w:kern w:val="1"/>
      <w:sz w:val="22"/>
      <w:szCs w:val="22"/>
    </w:rPr>
  </w:style>
  <w:style w:customStyle="1" w:styleId="Naslovtablice" w:type="paragraph">
    <w:name w:val="Naslov tablice"/>
    <w:basedOn w:val="Sadrajitablice"/>
    <w:pPr>
      <w:suppressLineNumbers/>
      <w:jc w:val="center"/>
    </w:pPr>
    <w:rPr>
      <w:b/>
      <w:bCs/>
    </w:rPr>
  </w:style>
  <w:style w:styleId="Tekstrezerviranogmjesta" w:type="character">
    <w:name w:val="Placeholder Text"/>
    <w:basedOn w:val="Zadanifontodlomka"/>
    <w:uiPriority w:val="99"/>
    <w:semiHidden/>
    <w:rsid w:val="00437524"/>
    <w:rPr>
      <w:color w:val="808080"/>
      <w:bdr w:color="auto" w:space="0" w:sz="0" w:val="none"/>
      <w:shd w:color="auto" w:fill="auto" w:val="clear"/>
    </w:rPr>
  </w:style>
  <w:style w:customStyle="1" w:styleId="eSPISCCParagraphDefaultFont" w:type="character">
    <w:name w:val="eSPIS_CC_Paragraph Default Font"/>
    <w:basedOn w:val="Zadanifontodlomka"/>
    <w:rsid w:val="00437524"/>
    <w:rPr>
      <w:rFonts w:ascii="Times New Roman" w:cs="Times New Roman" w:eastAsia="Times New Roman" w:hAnsi="Times New Roman"/>
      <w:b/>
      <w:i/>
      <w:sz w:val="24"/>
      <w:bdr w:color="auto" w:space="0" w:sz="0" w:val="none"/>
      <w:shd w:color="auto" w:fill="auto" w:val="clear"/>
      <w:lang w:val="hr-HR"/>
    </w:rPr>
  </w:style>
  <w:style w:customStyle="1" w:styleId="PozadinaSvijetloZuta" w:type="character">
    <w:name w:val="Pozadina_SvijetloZuta"/>
    <w:basedOn w:val="Zadanifontodlomka"/>
    <w:rsid w:val="00437524"/>
    <w:rPr>
      <w:rFonts w:ascii="Times New Roman" w:cs="Times New Roman" w:eastAsia="Times New Roman" w:hAnsi="Times New Roman"/>
      <w:b/>
      <w:i/>
      <w:bdr w:color="auto" w:space="0" w:sz="0" w:val="none"/>
      <w:shd w:color="auto" w:fill="FFFFCC" w:val="clear"/>
      <w:lang w:val="hr-HR"/>
    </w:rPr>
  </w:style>
  <w:style w:customStyle="1" w:styleId="PozadinaSvijetloCrvena" w:type="character">
    <w:name w:val="Pozadina_SvijetloCrvena"/>
    <w:basedOn w:val="eSPISCCParagraphDefaultFont"/>
    <w:rsid w:val="00437524"/>
    <w:rPr>
      <w:rFonts w:ascii="Times New Roman" w:cs="Times New Roman" w:eastAsia="Times New Roman" w:hAnsi="Times New Roman"/>
      <w:b w:val="0"/>
      <w:i w:val="0"/>
      <w:sz w:val="24"/>
      <w:bdr w:color="auto" w:space="0" w:sz="0" w:val="none"/>
      <w:shd w:color="auto" w:fill="FFCCCC" w:val="clear"/>
      <w:lang w:val="hr-HR"/>
    </w:rPr>
  </w:style>
  <w:style w:customStyle="1" w:styleId="PozadinaSvijetloZelena" w:type="character">
    <w:name w:val="Pozadina_SvijetloZelena"/>
    <w:basedOn w:val="eSPISCCParagraphDefaultFont"/>
    <w:rsid w:val="00437524"/>
    <w:rPr>
      <w:rFonts w:ascii="Times New Roman" w:cs="Times New Roman" w:eastAsia="Times New Roman" w:hAnsi="Times New Roman"/>
      <w:b w:val="0"/>
      <w:i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lovorka.juranovic@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3577</properties:Words>
  <properties:Characters>20987</properties:Characters>
  <properties:Lines>493</properties:Lines>
  <properties:Paragraphs>166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2019-04-24T11:36:00Z</dcterms:created>
  <dc:creator>Valentina Gabud</dc:creator>
  <cp:lastModifiedBy>Valentina Gabud</cp:lastModifiedBy>
  <cp:lastPrinted>1900-12-31T22:00:00Z</cp:lastPrinted>
  <dcterms:modified xmlns:xsi="http://www.w3.org/2001/XMLSchema-instance" xsi:type="dcterms:W3CDTF">2019-04-24T11:37:00Z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St-1443/2017-34 / Podnesak - Izvješće stečajnog upravitelja (izvješće ITD.docx)</vt:lpwstr>
  </prop:property>
  <prop:property name="CC_coloring" pid="4" fmtid="{D5CDD505-2E9C-101B-9397-08002B2CF9AE}">
    <vt:bool>false</vt:bool>
  </prop:property>
  <prop:property name="BrojStranica" pid="5" fmtid="{D5CDD505-2E9C-101B-9397-08002B2CF9AE}">
    <vt:i4>10</vt:i4>
  </prop:property>
</prop:Properties>
</file>