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84353" w14:paraId="7e84353" w:rsidRDefault="00587AA3" w:rsidR="00587AA3">
      <w:pPr>
        <w:jc w:val="both"/>
        <w15:collapsed w:val="false"/>
      </w:pPr>
      <w:bookmarkStart w:name="_GoBack" w:id="0"/>
      <w:bookmarkEnd w:id="0"/>
    </w:p>
    <w:p w:rsidRDefault="00CD62CD" w:rsidR="005142E5">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53050" w:rsidP="00353050" w:rsidR="00353050"/>
    <w:p w:rsidRDefault="00353050" w:rsidP="00353050" w:rsidR="00353050">
      <w:r>
        <w:t>REPUBLIKA HRVATSKA</w:t>
      </w:r>
      <w:r>
        <w:tab/>
      </w:r>
      <w:r>
        <w:tab/>
      </w:r>
      <w:r>
        <w:tab/>
      </w:r>
      <w:r>
        <w:tab/>
      </w:r>
      <w:r>
        <w:tab/>
      </w:r>
    </w:p>
    <w:p w:rsidRDefault="00353050" w:rsidP="00353050" w:rsidR="00353050">
      <w:r>
        <w:t>TRGOVAČKI SUD U SPLITU</w:t>
      </w:r>
      <w:r>
        <w:tab/>
      </w:r>
      <w:r>
        <w:tab/>
      </w:r>
      <w:r>
        <w:tab/>
      </w:r>
      <w:r>
        <w:tab/>
      </w:r>
      <w:r>
        <w:tab/>
      </w:r>
      <w:r>
        <w:tab/>
      </w:r>
    </w:p>
    <w:p w:rsidRDefault="00353050" w:rsidP="00353050" w:rsidR="00353050">
      <w:r>
        <w:t>Split, Sukoišanska 6</w:t>
      </w:r>
    </w:p>
    <w:p w:rsidRDefault="00353050" w:rsidP="00353050" w:rsidR="00353050" w:rsidRPr="00C33A91">
      <w:r w:rsidRPr="00C33A91">
        <w:tab/>
      </w:r>
    </w:p>
    <w:p w:rsidRDefault="00353050" w:rsidP="00353050" w:rsidR="00353050" w:rsidRPr="00AA238A">
      <w:pPr>
        <w:pStyle w:val="Naslov1"/>
        <w:rPr>
          <w:b w:val="false"/>
        </w:rPr>
      </w:pPr>
      <w:r w:rsidRPr="00AA238A">
        <w:rPr>
          <w:b w:val="false"/>
        </w:rPr>
        <w:t>R J E Š E N J E</w:t>
      </w:r>
    </w:p>
    <w:p w:rsidRDefault="00353050" w:rsidP="00353050" w:rsidR="00353050"/>
    <w:p w:rsidRDefault="005D2A1B" w:rsidP="00353050" w:rsidR="005D2A1B" w:rsidRPr="00AA238A"/>
    <w:p w:rsidRDefault="00844761" w:rsidP="00844761" w:rsidR="00844761" w:rsidRPr="0088022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w:t>
      </w:r>
      <w:r w:rsidR="00366E8A" w:rsidRPr="004C4EF2">
        <w:t>pojedincu</w:t>
      </w:r>
      <w:r w:rsidR="00366E8A">
        <w:t xml:space="preserve">, u stečajnom postupku </w:t>
      </w:r>
      <w:r w:rsidR="00C17FBE">
        <w:t xml:space="preserve">nad trgovačkim društvom dužnikom </w:t>
      </w:r>
      <w:r w:rsidR="00693BE2" w:rsidRPr="009C525A">
        <w:t>MELCON d.o.o.</w:t>
      </w:r>
      <w:r w:rsidR="00693BE2">
        <w:t xml:space="preserve"> u stečaju</w:t>
      </w:r>
      <w:r w:rsidR="00693BE2" w:rsidRPr="009C525A">
        <w:t>, Don Frane Bulića 205, Solin, OIB: 79326486732</w:t>
      </w:r>
      <w:r w:rsidR="00693BE2">
        <w:t>, zastupan po stečajnom upravitelju Ivanu Eteroviću, Škapre 40, Split, OIB: 76765128473</w:t>
      </w:r>
      <w:r w:rsidRPr="0088022B">
        <w:t xml:space="preserve">, dana </w:t>
      </w:r>
      <w:r w:rsidR="00693BE2">
        <w:t>10. srpnja 2017</w:t>
      </w:r>
      <w:r>
        <w:t xml:space="preserve">. godine </w:t>
      </w:r>
      <w:r w:rsidRPr="0088022B">
        <w:t xml:space="preserve"> </w:t>
      </w:r>
    </w:p>
    <w:p w:rsidRDefault="00F42085" w:rsidP="00947E04" w:rsidR="00F42085">
      <w:pPr>
        <w:pStyle w:val="Tijeloteksta"/>
      </w:pPr>
    </w:p>
    <w:p w:rsidRDefault="005D2A1B" w:rsidR="005D2A1B">
      <w:pPr>
        <w:jc w:val="center"/>
        <w:rPr>
          <w:bCs/>
        </w:rPr>
      </w:pPr>
    </w:p>
    <w:p w:rsidRDefault="00587AA3" w:rsidR="00587AA3" w:rsidRPr="00C10EF6">
      <w:pPr>
        <w:jc w:val="center"/>
        <w:rPr>
          <w:bCs/>
        </w:rPr>
      </w:pPr>
      <w:r w:rsidRPr="00C10EF6">
        <w:rPr>
          <w:bCs/>
        </w:rPr>
        <w:t>r i j e š i o</w:t>
      </w:r>
      <w:r w:rsidR="00C10EF6">
        <w:rPr>
          <w:bCs/>
        </w:rPr>
        <w:t xml:space="preserve">  </w:t>
      </w:r>
      <w:r w:rsidRPr="00C10EF6">
        <w:rPr>
          <w:bCs/>
        </w:rPr>
        <w:t xml:space="preserve">  </w:t>
      </w:r>
      <w:r w:rsidR="00947E04" w:rsidRPr="00C10EF6">
        <w:rPr>
          <w:bCs/>
        </w:rPr>
        <w:t xml:space="preserve"> </w:t>
      </w:r>
      <w:r w:rsidRPr="00C10EF6">
        <w:rPr>
          <w:bCs/>
        </w:rPr>
        <w:t xml:space="preserve">j e </w:t>
      </w:r>
    </w:p>
    <w:p w:rsidRDefault="00587AA3" w:rsidR="00587AA3">
      <w:pPr>
        <w:jc w:val="both"/>
      </w:pPr>
    </w:p>
    <w:p w:rsidRDefault="00587AA3" w:rsidP="00F03760" w:rsidR="00F03760">
      <w:pPr>
        <w:pStyle w:val="Uvuenotijeloteksta"/>
        <w:numPr>
          <w:ilvl w:val="0"/>
          <w:numId w:val="19"/>
        </w:numPr>
      </w:pPr>
      <w:r>
        <w:t xml:space="preserve">Određuje se prodaja u stečajnom postupku uz odgovarajuću primjenu odredaba </w:t>
      </w:r>
      <w:r w:rsidR="00B07C70">
        <w:t xml:space="preserve">   </w:t>
      </w:r>
      <w:r>
        <w:t>Ovršnog zakona kojima je uređena ovrha na nekretnini</w:t>
      </w:r>
      <w:r w:rsidR="00844761">
        <w:t>,</w:t>
      </w:r>
      <w:r>
        <w:t xml:space="preserve"> sljedeć</w:t>
      </w:r>
      <w:r w:rsidR="00185148">
        <w:t>ih</w:t>
      </w:r>
      <w:r w:rsidR="009E0101">
        <w:t xml:space="preserve"> nekretnin</w:t>
      </w:r>
      <w:r w:rsidR="00185148">
        <w:t>a</w:t>
      </w:r>
      <w:r w:rsidR="00844761">
        <w:t xml:space="preserve"> stečajnog</w:t>
      </w:r>
      <w:r w:rsidR="00A02E2A">
        <w:t xml:space="preserve"> dužnika</w:t>
      </w:r>
      <w:r w:rsidR="00F03760">
        <w:t>:</w:t>
      </w:r>
    </w:p>
    <w:p w:rsidRDefault="00693BE2" w:rsidP="00F03760" w:rsidR="00693BE2" w:rsidRPr="00BD775C">
      <w:pPr>
        <w:pStyle w:val="Uvuenotijeloteksta"/>
        <w:numPr>
          <w:ilvl w:val="0"/>
          <w:numId w:val="20"/>
        </w:numPr>
        <w:rPr>
          <w:u w:val="single"/>
        </w:rPr>
      </w:pPr>
      <w:r w:rsidRPr="00BD775C">
        <w:rPr>
          <w:u w:val="single"/>
        </w:rPr>
        <w:t>Armiračnica (skladište) upisana u podulošku 6 i locirana na drugom katu poslovno skladišne zgrade sagrađene na čest. zem. 1626/1 ZU 6165 K.O. Solin</w:t>
      </w:r>
      <w:r w:rsidR="001C685F">
        <w:rPr>
          <w:u w:val="single"/>
        </w:rPr>
        <w:t>;</w:t>
      </w:r>
      <w:r w:rsidRPr="00BD775C">
        <w:rPr>
          <w:u w:val="single"/>
        </w:rPr>
        <w:t xml:space="preserve"> </w:t>
      </w:r>
    </w:p>
    <w:p w:rsidRDefault="00BD775C" w:rsidP="00BD775C" w:rsidR="00BD775C" w:rsidRPr="00BD775C">
      <w:pPr>
        <w:pStyle w:val="Uvuenotijeloteksta"/>
        <w:ind w:left="1080"/>
      </w:pPr>
      <w:r w:rsidRPr="00BD775C">
        <w:t xml:space="preserve">- </w:t>
      </w:r>
      <w:r>
        <w:t>6. Suvlasnički dio: 899/4596 ETAŽNO VLASNIŠTVO (E-6), 1. dijela što predstavlja samostalnu uporabnu cijelinu 3 ( građevina A ), a koja se nalazi na II. katu građevina A ( u elaboratu etažiranja označena plavom šrafurom ) i sastoji se od armiračnice površine 886 m</w:t>
      </w:r>
      <w:r w:rsidRPr="00BD775C">
        <w:rPr>
          <w:vertAlign w:val="superscript"/>
        </w:rPr>
        <w:t>2</w:t>
      </w:r>
      <w:r>
        <w:t>, stepeništa od 13 m</w:t>
      </w:r>
      <w:r w:rsidRPr="00BD775C">
        <w:rPr>
          <w:vertAlign w:val="superscript"/>
        </w:rPr>
        <w:t>2</w:t>
      </w:r>
      <w:r>
        <w:t xml:space="preserve"> ukupne neto korisne površine 899 m</w:t>
      </w:r>
      <w:r w:rsidRPr="00BD775C">
        <w:rPr>
          <w:vertAlign w:val="superscript"/>
        </w:rPr>
        <w:t>2</w:t>
      </w:r>
      <w:r>
        <w:t>.</w:t>
      </w:r>
    </w:p>
    <w:p w:rsidRDefault="0080565D" w:rsidP="00F03760" w:rsidR="0080565D">
      <w:pPr>
        <w:pStyle w:val="Uvuenotijeloteksta"/>
        <w:numPr>
          <w:ilvl w:val="0"/>
          <w:numId w:val="20"/>
        </w:numPr>
        <w:rPr>
          <w:u w:val="single"/>
        </w:rPr>
      </w:pPr>
      <w:r>
        <w:rPr>
          <w:u w:val="single"/>
        </w:rPr>
        <w:t>Skladišna zgrada upisana u podulošku 8 i sagrađena na čest. zem. 1626/1 ZU 6165 K.O. Solin</w:t>
      </w:r>
      <w:r w:rsidR="001C685F">
        <w:rPr>
          <w:u w:val="single"/>
        </w:rPr>
        <w:t>;</w:t>
      </w:r>
      <w:r>
        <w:rPr>
          <w:u w:val="single"/>
        </w:rPr>
        <w:t xml:space="preserve"> </w:t>
      </w:r>
    </w:p>
    <w:p w:rsidRDefault="00BD775C" w:rsidP="00BD775C" w:rsidR="00BD775C" w:rsidRPr="00BD775C">
      <w:pPr>
        <w:pStyle w:val="Uvuenotijeloteksta"/>
        <w:ind w:left="1080"/>
      </w:pPr>
      <w:r w:rsidRPr="00BD775C">
        <w:t>8. Suvlasnički dio: 226</w:t>
      </w:r>
      <w:r>
        <w:t xml:space="preserve">/4596 ETAŽNO VLASNIŠTVO (E-8), </w:t>
      </w:r>
      <w:r w:rsidRPr="00BD775C">
        <w:t>1. dijela što predstavlja samostalnu uporabnu cjelinu 9 (</w:t>
      </w:r>
      <w:r>
        <w:t>građevina D</w:t>
      </w:r>
      <w:r w:rsidRPr="00BD775C">
        <w:t>) , a koja se nalazi u prizemlju građevine D ( u elaborate etažiranja označena narančastom bojom ), a sastoji se od skladišta površine 191,15 m</w:t>
      </w:r>
      <w:r w:rsidRPr="00BD775C">
        <w:rPr>
          <w:vertAlign w:val="superscript"/>
        </w:rPr>
        <w:t>2</w:t>
      </w:r>
      <w:r w:rsidRPr="00BD775C">
        <w:t>, sanitarnog čvora i garderobe od 35,25 m</w:t>
      </w:r>
      <w:r w:rsidRPr="00BD775C">
        <w:rPr>
          <w:vertAlign w:val="superscript"/>
        </w:rPr>
        <w:t>2</w:t>
      </w:r>
      <w:r w:rsidRPr="00BD775C">
        <w:t>, ukupne korisne površine od 226,40 m</w:t>
      </w:r>
      <w:r w:rsidRPr="00BD775C">
        <w:rPr>
          <w:vertAlign w:val="superscript"/>
        </w:rPr>
        <w:t>2</w:t>
      </w:r>
    </w:p>
    <w:p w:rsidRDefault="00BD775C" w:rsidP="001C685F" w:rsidR="00693BE2" w:rsidRPr="001C685F">
      <w:pPr>
        <w:pStyle w:val="Uvuenotijeloteksta"/>
        <w:numPr>
          <w:ilvl w:val="0"/>
          <w:numId w:val="20"/>
        </w:numPr>
        <w:rPr>
          <w:u w:val="single"/>
        </w:rPr>
      </w:pPr>
      <w:r>
        <w:rPr>
          <w:u w:val="single"/>
        </w:rPr>
        <w:t>Poslovni prostor upisan u podulošku 7 i lociran na I. i II. katu poslovne zgrade sagrađene na čest. zem. 1626/1 ZU 6165 K.O. Solin</w:t>
      </w:r>
      <w:r w:rsidR="001C685F">
        <w:rPr>
          <w:u w:val="single"/>
        </w:rPr>
        <w:t>;</w:t>
      </w:r>
      <w:r>
        <w:rPr>
          <w:u w:val="single"/>
        </w:rPr>
        <w:t xml:space="preserve"> </w:t>
      </w:r>
    </w:p>
    <w:p w:rsidRDefault="00BD775C" w:rsidP="00BD775C" w:rsidR="00693BE2" w:rsidRPr="00BD775C">
      <w:pPr>
        <w:pStyle w:val="Uvuenotijeloteksta"/>
        <w:ind w:left="1080"/>
      </w:pPr>
      <w:r w:rsidRPr="00BD775C">
        <w:t>7. Suvlasnički dio: 198</w:t>
      </w:r>
      <w:r>
        <w:t xml:space="preserve">/4596 ETAŽNO VLASNIŠTVO (E-7), </w:t>
      </w:r>
      <w:r w:rsidRPr="00BD775C">
        <w:t>1. dijela što predstavlja samostalnu uporabnu cjelinu</w:t>
      </w:r>
      <w:r>
        <w:t xml:space="preserve"> 7 (građevina B</w:t>
      </w:r>
      <w:r w:rsidRPr="00BD775C">
        <w:t>), a koja se nalazi na I. i II. katu građevine B ( u elaboratu etažiranja označene ljubičastom bojom ) i sastoji se od stepeništa od 9,25 m</w:t>
      </w:r>
      <w:r w:rsidRPr="00BD775C">
        <w:rPr>
          <w:vertAlign w:val="superscript"/>
        </w:rPr>
        <w:t>2</w:t>
      </w:r>
      <w:r w:rsidRPr="00BD775C">
        <w:t>, ulaznog prostora od 12,90 m</w:t>
      </w:r>
      <w:r w:rsidRPr="00BD775C">
        <w:rPr>
          <w:vertAlign w:val="superscript"/>
        </w:rPr>
        <w:t>2</w:t>
      </w:r>
      <w:r w:rsidRPr="00BD775C">
        <w:t>, ureda 3 površine 15,40 m</w:t>
      </w:r>
      <w:r w:rsidRPr="00BD775C">
        <w:rPr>
          <w:vertAlign w:val="superscript"/>
        </w:rPr>
        <w:t>2</w:t>
      </w:r>
      <w:r w:rsidRPr="00BD775C">
        <w:t>, ureda 4 površine 19,30 m</w:t>
      </w:r>
      <w:r w:rsidRPr="00BD775C">
        <w:rPr>
          <w:vertAlign w:val="superscript"/>
        </w:rPr>
        <w:t>2</w:t>
      </w:r>
      <w:r w:rsidRPr="00BD775C">
        <w:t>, ureda 5 površine 19,70 m</w:t>
      </w:r>
      <w:r w:rsidRPr="00BD775C">
        <w:rPr>
          <w:vertAlign w:val="superscript"/>
        </w:rPr>
        <w:t>2</w:t>
      </w:r>
      <w:r w:rsidRPr="00BD775C">
        <w:t>, ureda 6 površine 23,10 m</w:t>
      </w:r>
      <w:r w:rsidRPr="00BD775C">
        <w:rPr>
          <w:vertAlign w:val="superscript"/>
        </w:rPr>
        <w:t>2</w:t>
      </w:r>
      <w:r w:rsidRPr="00BD775C">
        <w:t>, ureda 7 površine 44,80 m</w:t>
      </w:r>
      <w:r w:rsidRPr="00BD775C">
        <w:rPr>
          <w:vertAlign w:val="superscript"/>
        </w:rPr>
        <w:t>2</w:t>
      </w:r>
      <w:r w:rsidRPr="00BD775C">
        <w:t>, kuhinje od 7,75 m</w:t>
      </w:r>
      <w:r w:rsidRPr="00BD775C">
        <w:rPr>
          <w:vertAlign w:val="superscript"/>
        </w:rPr>
        <w:t>2</w:t>
      </w:r>
      <w:r w:rsidRPr="00BD775C">
        <w:t>, ostave od 6,60 m</w:t>
      </w:r>
      <w:r w:rsidRPr="00BD775C">
        <w:rPr>
          <w:vertAlign w:val="superscript"/>
        </w:rPr>
        <w:t>2</w:t>
      </w:r>
      <w:r w:rsidRPr="00BD775C">
        <w:t>, WC-a od 10,60 m</w:t>
      </w:r>
      <w:r w:rsidRPr="00BD775C">
        <w:rPr>
          <w:vertAlign w:val="superscript"/>
        </w:rPr>
        <w:t>2</w:t>
      </w:r>
      <w:r w:rsidRPr="00BD775C">
        <w:t>, hodnika od 9,15 m</w:t>
      </w:r>
      <w:r w:rsidRPr="00BD775C">
        <w:rPr>
          <w:vertAlign w:val="superscript"/>
        </w:rPr>
        <w:t>2</w:t>
      </w:r>
      <w:r w:rsidRPr="00BD775C">
        <w:t>, galerije na II.katu površine 19,15 m</w:t>
      </w:r>
      <w:r w:rsidRPr="00BD775C">
        <w:rPr>
          <w:vertAlign w:val="superscript"/>
        </w:rPr>
        <w:t>2</w:t>
      </w:r>
      <w:r w:rsidRPr="00BD775C">
        <w:t>, ukupne neto površine 197,70 m</w:t>
      </w:r>
      <w:r w:rsidRPr="00BD775C">
        <w:rPr>
          <w:vertAlign w:val="superscript"/>
        </w:rPr>
        <w:t>2</w:t>
      </w:r>
      <w:r w:rsidR="001C685F">
        <w:t>.</w:t>
      </w:r>
    </w:p>
    <w:p w:rsidRDefault="00693BE2" w:rsidP="00693BE2" w:rsidR="00693BE2">
      <w:pPr>
        <w:pStyle w:val="Uvuenotijeloteksta"/>
        <w:ind w:left="1080"/>
        <w:rPr>
          <w:u w:val="single"/>
        </w:rPr>
      </w:pPr>
    </w:p>
    <w:p w:rsidRDefault="00CC3934" w:rsidP="00CC3934" w:rsidR="00CC3934" w:rsidRPr="00CC3934">
      <w:pPr>
        <w:ind w:firstLine="708" w:left="372"/>
        <w:jc w:val="both"/>
      </w:pPr>
    </w:p>
    <w:p w:rsidRDefault="00185148" w:rsidP="00322F8C" w:rsidR="00C17FBE" w:rsidRPr="00322F8C">
      <w:pPr>
        <w:pStyle w:val="Uvuenotijeloteksta"/>
        <w:ind w:firstLine="708" w:left="0"/>
      </w:pPr>
      <w:r w:rsidRPr="002B2675">
        <w:t xml:space="preserve">Na naprijed opisanim nekretninama upisano </w:t>
      </w:r>
      <w:r w:rsidRPr="00322F8C">
        <w:t xml:space="preserve">je </w:t>
      </w:r>
      <w:r w:rsidR="00AB44AC" w:rsidRPr="00322F8C">
        <w:t>razlučno</w:t>
      </w:r>
      <w:r w:rsidRPr="00322F8C">
        <w:t xml:space="preserve"> pra</w:t>
      </w:r>
      <w:r w:rsidR="002B2675" w:rsidRPr="00322F8C">
        <w:t xml:space="preserve">vo </w:t>
      </w:r>
      <w:r w:rsidR="00322F8C">
        <w:t>P</w:t>
      </w:r>
      <w:r w:rsidR="00322F8C" w:rsidRPr="00322F8C">
        <w:t>rivredn</w:t>
      </w:r>
      <w:r w:rsidR="00322F8C">
        <w:t>e</w:t>
      </w:r>
      <w:r w:rsidR="00322F8C" w:rsidRPr="00322F8C">
        <w:t xml:space="preserve"> bank</w:t>
      </w:r>
      <w:r w:rsidR="00322F8C">
        <w:t>e</w:t>
      </w:r>
      <w:r w:rsidR="00322F8C" w:rsidRPr="00322F8C">
        <w:t xml:space="preserve"> </w:t>
      </w:r>
      <w:r w:rsidR="00322F8C">
        <w:t>Z</w:t>
      </w:r>
      <w:r w:rsidR="00322F8C" w:rsidRPr="00322F8C">
        <w:t xml:space="preserve">agreb d.d., </w:t>
      </w:r>
      <w:r w:rsidR="00322F8C">
        <w:t>Zagreb, Radnička cesta 50, OIB:</w:t>
      </w:r>
      <w:r w:rsidR="00322F8C" w:rsidRPr="00322F8C">
        <w:t xml:space="preserve"> 02535697732</w:t>
      </w:r>
      <w:r w:rsidR="00322F8C">
        <w:t>.</w:t>
      </w:r>
    </w:p>
    <w:p w:rsidRDefault="00322F8C" w:rsidP="00322F8C" w:rsidR="00322F8C" w:rsidRPr="00322F8C">
      <w:pPr>
        <w:pStyle w:val="Uvuenotijeloteksta"/>
        <w:ind w:firstLine="708" w:left="0"/>
      </w:pPr>
    </w:p>
    <w:p w:rsidRDefault="00172053" w:rsidP="00366E8A" w:rsidR="00172053">
      <w:pPr>
        <w:pStyle w:val="Tijeloteksta-uvlaka2"/>
        <w:ind w:left="0"/>
      </w:pPr>
      <w:r w:rsidRPr="00844761">
        <w:t>II.</w:t>
      </w:r>
      <w:r>
        <w:t xml:space="preserve"> </w:t>
      </w:r>
      <w:r w:rsidR="00366E8A">
        <w:tab/>
      </w:r>
      <w:r>
        <w:t>Zaključkom o prodaji utvrdit će se vrijednost predmetn</w:t>
      </w:r>
      <w:r w:rsidR="009674D8">
        <w:t>ih</w:t>
      </w:r>
      <w:r>
        <w:t xml:space="preserve"> nekretnin</w:t>
      </w:r>
      <w:r w:rsidR="009674D8">
        <w:t>a</w:t>
      </w:r>
      <w:r>
        <w:t xml:space="preserve">, način i uvjeti </w:t>
      </w:r>
      <w:r w:rsidR="00844761">
        <w:t xml:space="preserve">   </w:t>
      </w:r>
      <w:r w:rsidR="00366E8A">
        <w:t>prodaje za n</w:t>
      </w:r>
      <w:r w:rsidR="00185148">
        <w:t xml:space="preserve">ekretnine pod točkom </w:t>
      </w:r>
      <w:r w:rsidR="00F27CA5">
        <w:t>I</w:t>
      </w:r>
      <w:r w:rsidR="00185148">
        <w:t xml:space="preserve">. </w:t>
      </w:r>
    </w:p>
    <w:p w:rsidRDefault="00172053" w:rsidP="00172053" w:rsidR="00172053">
      <w:pPr>
        <w:pStyle w:val="Tijeloteksta-uvlaka2"/>
        <w:ind w:left="708"/>
      </w:pPr>
    </w:p>
    <w:p w:rsidRDefault="00172053" w:rsidP="00366E8A" w:rsidR="00172053">
      <w:pPr>
        <w:pStyle w:val="Tijeloteksta-uvlaka2"/>
        <w:ind w:left="0"/>
      </w:pPr>
      <w:r w:rsidRPr="00844761">
        <w:t>III.</w:t>
      </w:r>
      <w:r>
        <w:t xml:space="preserve"> </w:t>
      </w:r>
      <w:r w:rsidR="00366E8A">
        <w:tab/>
      </w:r>
      <w:r>
        <w:t>Određuje se upis zabilježbe ovog rješenja o prodaji nekretnin</w:t>
      </w:r>
      <w:r w:rsidR="00366E8A">
        <w:t>a</w:t>
      </w:r>
      <w:r>
        <w:t xml:space="preserve"> stečajnog dužnika</w:t>
      </w:r>
      <w:r w:rsidR="00185148">
        <w:t xml:space="preserve"> </w:t>
      </w:r>
      <w:r w:rsidR="00366E8A">
        <w:t xml:space="preserve">u zemljišnoknjižnom odjelu </w:t>
      </w:r>
      <w:r w:rsidR="00185148">
        <w:t xml:space="preserve">Općinskog suda u </w:t>
      </w:r>
      <w:r w:rsidR="00C7782B">
        <w:t>Splitu</w:t>
      </w:r>
      <w:r w:rsidR="00F61F65">
        <w:t xml:space="preserve">, zemljišnoknjižni odjel Solin. </w:t>
      </w:r>
    </w:p>
    <w:p w:rsidRDefault="000E4921" w:rsidP="00844761" w:rsidR="000E4921">
      <w:pPr>
        <w:pStyle w:val="Tijeloteksta-uvlaka2"/>
        <w:ind w:left="0"/>
      </w:pPr>
    </w:p>
    <w:p w:rsidRDefault="009C4556" w:rsidR="009C4556"/>
    <w:p w:rsidRDefault="000E4921" w:rsidP="00A02E2A" w:rsidR="00172053">
      <w:pPr>
        <w:tabs>
          <w:tab w:pos="1260" w:val="left"/>
        </w:tabs>
        <w:jc w:val="center"/>
      </w:pPr>
      <w:r>
        <w:t>Obrazloženje</w:t>
      </w:r>
    </w:p>
    <w:p w:rsidRDefault="00F61F65" w:rsidP="00A02E2A" w:rsidR="00F61F65">
      <w:pPr>
        <w:tabs>
          <w:tab w:pos="1260" w:val="left"/>
        </w:tabs>
        <w:jc w:val="center"/>
      </w:pPr>
    </w:p>
    <w:p w:rsidRDefault="00F61F65" w:rsidP="00F61F65" w:rsidR="00F61F65">
      <w:pPr>
        <w:tabs>
          <w:tab w:pos="-567" w:val="left"/>
        </w:tabs>
        <w:jc w:val="both"/>
      </w:pPr>
      <w:r>
        <w:tab/>
      </w:r>
      <w:r w:rsidRPr="0038456C">
        <w:t>Rješenjem ovog suda br. 4.St-</w:t>
      </w:r>
      <w:r>
        <w:t>1260/2016</w:t>
      </w:r>
      <w:r w:rsidRPr="0038456C">
        <w:t xml:space="preserve"> od </w:t>
      </w:r>
      <w:r>
        <w:t>26. srpnja</w:t>
      </w:r>
      <w:r w:rsidRPr="0038456C">
        <w:t xml:space="preserve"> 2016. godine otvoren stečajni postupak na stečajnim dužnikom </w:t>
      </w:r>
      <w:r w:rsidRPr="00B43099">
        <w:t>MELCON d.o.o., Don Frane Bulića 205, Solin, OIB: 79326486732</w:t>
      </w:r>
      <w:r w:rsidRPr="0038456C">
        <w:t xml:space="preserve">. </w:t>
      </w:r>
    </w:p>
    <w:p w:rsidRDefault="00F61F65" w:rsidP="00F61F65" w:rsidR="00F61F65">
      <w:pPr>
        <w:tabs>
          <w:tab w:pos="-567" w:val="left"/>
        </w:tabs>
        <w:jc w:val="both"/>
      </w:pPr>
    </w:p>
    <w:p w:rsidRDefault="00F61F65" w:rsidP="00F61F65" w:rsidR="00F61F65" w:rsidRPr="0038456C">
      <w:pPr>
        <w:tabs>
          <w:tab w:pos="-567" w:val="left"/>
        </w:tabs>
        <w:jc w:val="both"/>
      </w:pPr>
      <w:r>
        <w:tab/>
      </w:r>
      <w:r w:rsidRPr="0038456C">
        <w:t>Istim rješenjem za</w:t>
      </w:r>
      <w:r>
        <w:t xml:space="preserve"> stečajnog upravitelja imenovan</w:t>
      </w:r>
      <w:r w:rsidRPr="0038456C">
        <w:t xml:space="preserve"> je </w:t>
      </w:r>
      <w:r>
        <w:t>Ivan Eterović, Škrape 40, OIB: 76765128473</w:t>
      </w:r>
      <w:r w:rsidRPr="0038456C">
        <w:t>.</w:t>
      </w:r>
    </w:p>
    <w:p w:rsidRDefault="00F61F65" w:rsidP="00F61F65" w:rsidR="00F61F65">
      <w:pPr>
        <w:pStyle w:val="Tijeloteksta-uvlaka3"/>
        <w:ind w:left="0"/>
      </w:pPr>
    </w:p>
    <w:p w:rsidRDefault="00C17FBE" w:rsidP="00172053" w:rsidR="002B2675">
      <w:pPr>
        <w:ind w:firstLine="708"/>
        <w:jc w:val="both"/>
      </w:pPr>
      <w:r>
        <w:t>Imenovan</w:t>
      </w:r>
      <w:r w:rsidR="00F61F65">
        <w:t>i</w:t>
      </w:r>
      <w:r>
        <w:t xml:space="preserve"> stečajn</w:t>
      </w:r>
      <w:r w:rsidR="00F61F65">
        <w:t>i</w:t>
      </w:r>
      <w:r>
        <w:t xml:space="preserve"> upravitelj</w:t>
      </w:r>
      <w:r w:rsidR="00F61F65">
        <w:t xml:space="preserve"> je podneskom od 20. lipnja 2017. godine predložio da se </w:t>
      </w:r>
      <w:r w:rsidR="00172053" w:rsidRPr="00172053">
        <w:t xml:space="preserve"> nekretnin</w:t>
      </w:r>
      <w:r w:rsidR="00366E8A">
        <w:t>e</w:t>
      </w:r>
      <w:r w:rsidR="00F61F65">
        <w:t xml:space="preserve"> </w:t>
      </w:r>
      <w:r w:rsidR="00172053" w:rsidRPr="00172053">
        <w:t>pobliže označen</w:t>
      </w:r>
      <w:r w:rsidR="00366E8A">
        <w:t>e</w:t>
      </w:r>
      <w:r w:rsidR="00172053" w:rsidRPr="00172053">
        <w:t xml:space="preserve"> u toč. </w:t>
      </w:r>
      <w:r w:rsidR="000E4921" w:rsidRPr="00844761">
        <w:t>I.</w:t>
      </w:r>
      <w:r w:rsidR="000E4921">
        <w:rPr>
          <w:b/>
        </w:rPr>
        <w:t xml:space="preserve"> </w:t>
      </w:r>
      <w:r w:rsidR="00172053" w:rsidRPr="00172053">
        <w:t>izreke ovog rješenja  proda</w:t>
      </w:r>
      <w:r w:rsidR="001B7B62">
        <w:t>j</w:t>
      </w:r>
      <w:r w:rsidR="00366E8A">
        <w:t>u</w:t>
      </w:r>
      <w:r w:rsidR="00172053" w:rsidRPr="00172053">
        <w:t xml:space="preserve">  u stečajnom postupku uz odgovarajuću primjenu pravila o ovrsi na nekretnin</w:t>
      </w:r>
      <w:r w:rsidR="002B2675">
        <w:t>ama.</w:t>
      </w:r>
    </w:p>
    <w:p w:rsidRDefault="00257C2E" w:rsidP="005D2A1B" w:rsidR="00257C2E">
      <w:pPr>
        <w:spacing w:before="200"/>
        <w:ind w:firstLine="708"/>
        <w:jc w:val="both"/>
      </w:pPr>
      <w:r>
        <w:t>Odredbom čl. 247. Stečajnog zakona (˝Narodne novine˝ broj 71/15; dalje SZ/15) propisano je da se nekretnina na kojoj postoji razlučno pravo prodaje u stečajnom postupku, na prijedlog stečajnog upravitelja ili razlučnog vjerovnika, uz odgovarajuću primjenu pravila ovršnog postupka u ovrsi na nekretnini.</w:t>
      </w:r>
    </w:p>
    <w:p w:rsidRDefault="00257C2E" w:rsidP="00257C2E" w:rsidR="00257C2E">
      <w:pPr>
        <w:spacing w:before="200"/>
        <w:ind w:firstLine="709"/>
        <w:jc w:val="both"/>
      </w:pPr>
      <w:r>
        <w:t>Slijedom navedenog, a temeljem odredbe čl. 247. u vezi s odredbom čl. 441. st. 2. SZ/15, odlučeno je kao u izreci ovog rješenja.</w:t>
      </w:r>
    </w:p>
    <w:p w:rsidRDefault="00257C2E" w:rsidP="00844761" w:rsidR="00257C2E">
      <w:pPr>
        <w:pStyle w:val="Tijeloteksta"/>
        <w:jc w:val="center"/>
      </w:pPr>
    </w:p>
    <w:p w:rsidRDefault="00844761" w:rsidP="00844761" w:rsidR="00844761" w:rsidRPr="0088022B">
      <w:pPr>
        <w:pStyle w:val="Tijeloteksta"/>
        <w:jc w:val="center"/>
      </w:pPr>
      <w:r>
        <w:t xml:space="preserve">U </w:t>
      </w:r>
      <w:r w:rsidRPr="0088022B">
        <w:t>Split</w:t>
      </w:r>
      <w:r>
        <w:t xml:space="preserve">u, </w:t>
      </w:r>
      <w:r w:rsidR="00693BE2">
        <w:t>10. srpnja 2017</w:t>
      </w:r>
      <w:r w:rsidR="00C17FBE">
        <w:t xml:space="preserve">. godine </w:t>
      </w:r>
      <w:r>
        <w:t xml:space="preserve"> </w:t>
      </w:r>
    </w:p>
    <w:p w:rsidRDefault="00844761" w:rsidP="00844761" w:rsidR="00844761">
      <w:pPr>
        <w:pStyle w:val="Tijeloteksta"/>
      </w:pPr>
    </w:p>
    <w:p w:rsidRDefault="00295D92" w:rsidP="00844761" w:rsidR="00844761">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295D92" w:rsidP="00844761" w:rsidR="00295D92">
      <w:pPr>
        <w:pStyle w:val="Bezproreda"/>
        <w:ind w:firstLine="708" w:left="4956"/>
        <w:jc w:val="right"/>
        <w:rPr>
          <w:rFonts w:hAnsi="Times New Roman" w:ascii="Times New Roman"/>
          <w:sz w:val="24"/>
          <w:szCs w:val="24"/>
        </w:rPr>
      </w:pPr>
    </w:p>
    <w:p w:rsidRDefault="00844761" w:rsidP="00844761" w:rsidR="00844761" w:rsidRPr="005731BC">
      <w:pPr>
        <w:pStyle w:val="Bezproreda"/>
        <w:ind w:firstLine="708" w:left="4956"/>
        <w:jc w:val="right"/>
        <w:rPr>
          <w:rFonts w:hAnsi="Times New Roman" w:ascii="Times New Roman"/>
          <w:sz w:val="24"/>
          <w:szCs w:val="24"/>
        </w:rPr>
      </w:pPr>
    </w:p>
    <w:p w:rsidRDefault="00844761" w:rsidP="00844761" w:rsidR="00844761">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844761" w:rsidP="00844761" w:rsidR="00844761" w:rsidRPr="004C4EF2">
      <w:pPr>
        <w:pStyle w:val="Bezproreda"/>
        <w:rPr>
          <w:rFonts w:hAnsi="Times New Roman" w:ascii="Times New Roman"/>
          <w:sz w:val="24"/>
          <w:szCs w:val="24"/>
        </w:rPr>
      </w:pPr>
    </w:p>
    <w:p w:rsidRDefault="00172053" w:rsidP="00172053" w:rsidR="00172053">
      <w:pPr>
        <w:ind w:firstLine="708" w:left="4248"/>
        <w:jc w:val="both"/>
      </w:pPr>
    </w:p>
    <w:p w:rsidRDefault="00172053" w:rsidP="00172053" w:rsidR="00172053">
      <w:pPr>
        <w:pStyle w:val="Tijeloteksta"/>
      </w:pPr>
      <w:r>
        <w:t xml:space="preserve">POUKA O PRAVNOM LIJEKU: Protiv ovog rješenja dopuštena je žalba Visokom trgovačkom sudu Republike Hrvatske u Zagrebu. Žalba se podnosi </w:t>
      </w:r>
      <w:r w:rsidR="00677A9E">
        <w:t xml:space="preserve">putem ovog suda u 2 primjerka, </w:t>
      </w:r>
      <w:r>
        <w:t xml:space="preserve"> u roku od 8 dana od dana dostave rješenja.</w:t>
      </w:r>
      <w:r>
        <w:tab/>
      </w:r>
    </w:p>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C17FBE" w:rsidP="009674D8" w:rsidR="009674D8">
      <w:pPr>
        <w:numPr>
          <w:ilvl w:val="0"/>
          <w:numId w:val="9"/>
        </w:numPr>
        <w:ind w:left="1080"/>
        <w:jc w:val="both"/>
      </w:pPr>
      <w:r>
        <w:t>stečajno</w:t>
      </w:r>
      <w:r w:rsidR="00F61F65">
        <w:t>m upravitelju</w:t>
      </w:r>
    </w:p>
    <w:p w:rsidRDefault="00185148" w:rsidP="004638A3" w:rsidR="00172053">
      <w:pPr>
        <w:numPr>
          <w:ilvl w:val="0"/>
          <w:numId w:val="9"/>
        </w:numPr>
        <w:ind w:left="1080"/>
        <w:jc w:val="both"/>
      </w:pPr>
      <w:r>
        <w:t xml:space="preserve">razlučnom vjerovniku </w:t>
      </w:r>
      <w:r w:rsidR="00F61F65">
        <w:t>Privredna banka Zagreb d.d.</w:t>
      </w:r>
      <w:r w:rsidR="007D52CB">
        <w:t xml:space="preserve"> </w:t>
      </w:r>
    </w:p>
    <w:p w:rsidRDefault="002B2675" w:rsidP="004638A3" w:rsidR="002B2675">
      <w:pPr>
        <w:numPr>
          <w:ilvl w:val="0"/>
          <w:numId w:val="9"/>
        </w:numPr>
        <w:ind w:left="1080"/>
        <w:jc w:val="both"/>
      </w:pPr>
      <w:r>
        <w:t xml:space="preserve">Općinski sud u </w:t>
      </w:r>
      <w:r w:rsidR="007D52CB">
        <w:t>Splitu</w:t>
      </w:r>
      <w:r w:rsidR="00AB44AC">
        <w:t xml:space="preserve">, zk odjel </w:t>
      </w:r>
      <w:r>
        <w:t xml:space="preserve"> </w:t>
      </w:r>
      <w:r w:rsidR="00F61F65">
        <w:t xml:space="preserve">Solin </w:t>
      </w:r>
    </w:p>
    <w:p w:rsidRDefault="00295D92" w:rsidP="004638A3" w:rsidR="00295D92">
      <w:pPr>
        <w:numPr>
          <w:ilvl w:val="0"/>
          <w:numId w:val="9"/>
        </w:numPr>
        <w:ind w:left="1080"/>
        <w:jc w:val="both"/>
      </w:pPr>
      <w:r>
        <w:t xml:space="preserve">e- oglasna ploča </w:t>
      </w:r>
    </w:p>
    <w:p w:rsidRDefault="00295D92" w:rsidP="004638A3" w:rsidR="00295D92">
      <w:pPr>
        <w:numPr>
          <w:ilvl w:val="0"/>
          <w:numId w:val="9"/>
        </w:numPr>
        <w:ind w:left="1080"/>
        <w:jc w:val="both"/>
      </w:pPr>
      <w:r>
        <w:t xml:space="preserve">spis </w:t>
      </w:r>
    </w:p>
    <w:p w:rsidRDefault="00172053" w:rsidP="005958DF" w:rsidR="00172053">
      <w:pPr>
        <w:jc w:val="both"/>
      </w:pPr>
    </w:p>
    <w:sectPr w:rsidR="00172053">
      <w:headerReference w:type="even" r:id="rId11"/>
      <w:headerReference w:type="default" r:id="rId12"/>
      <w:footerReference w:type="default" r:id="rId13"/>
      <w:headerReference w:type="first" r:id="rId14"/>
      <w:pgSz w:h="16838" w:w="11906"/>
      <w:pgMar w:gutter="0" w:footer="708" w:header="708" w:left="1440"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6CF" w:rsidR="009E16CF">
      <w:r>
        <w:separator/>
      </w:r>
    </w:p>
  </w:endnote>
  <w:endnote w:id="0" w:type="continuationSeparator">
    <w:p w:rsidRDefault="009E16CF" w:rsidR="009E16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5620815"/>
      <w:docPartObj>
        <w:docPartGallery w:val="Page Numbers (Bottom of Page)"/>
        <w:docPartUnique/>
      </w:docPartObj>
    </w:sdtPr>
    <w:sdtEndPr/>
    <w:sdtContent>
      <w:p w:rsidRDefault="009C4556" w:rsidR="009C4556">
        <w:pPr>
          <w:pStyle w:val="Podnoje"/>
          <w:jc w:val="center"/>
        </w:pPr>
        <w:r>
          <w:fldChar w:fldCharType="begin"/>
        </w:r>
        <w:r>
          <w:instrText>PAGE   \* MERGEFORMAT</w:instrText>
        </w:r>
        <w:r>
          <w:fldChar w:fldCharType="separate"/>
        </w:r>
        <w:r w:rsidR="009124A8">
          <w:rPr>
            <w:noProof/>
          </w:rPr>
          <w:t>2</w:t>
        </w:r>
        <w:r>
          <w:fldChar w:fldCharType="end"/>
        </w:r>
      </w:p>
    </w:sdtContent>
  </w:sdt>
  <w:p w:rsidRDefault="009C4556" w:rsidR="009C45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6CF" w:rsidR="009E16CF">
      <w:r>
        <w:separator/>
      </w:r>
    </w:p>
  </w:footnote>
  <w:footnote w:id="0" w:type="continuationSeparator">
    <w:p w:rsidRDefault="009E16CF" w:rsidR="009E16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5C5B">
      <w:rPr>
        <w:rStyle w:val="Brojstranice"/>
        <w:noProof/>
      </w:rPr>
      <w:t>2</w:t>
    </w:r>
    <w:r>
      <w:rPr>
        <w:rStyle w:val="Brojstranice"/>
      </w:rPr>
      <w:fldChar w:fldCharType="end"/>
    </w:r>
  </w:p>
  <w:p w:rsidRDefault="00B622AC" w:rsidR="00B622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pPr>
    <w:r>
      <w:tab/>
    </w:r>
    <w:r>
      <w:tab/>
    </w:r>
    <w:r w:rsidR="00844761">
      <w:t>4</w:t>
    </w:r>
    <w:r w:rsidR="009C4556">
      <w:t>.</w:t>
    </w:r>
    <w:r w:rsidR="00844761">
      <w:t>St-</w:t>
    </w:r>
    <w:r w:rsidR="00693BE2">
      <w:t>1260/2016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761" w:rsidP="00844761" w:rsidR="00844761">
    <w:pPr>
      <w:pStyle w:val="Zaglavlje"/>
      <w:jc w:val="right"/>
    </w:pPr>
    <w:r>
      <w:t>4</w:t>
    </w:r>
    <w:r w:rsidR="00C7782B">
      <w:t>.</w:t>
    </w:r>
    <w:r>
      <w:t>St-</w:t>
    </w:r>
    <w:r w:rsidR="00693BE2">
      <w:t>1260/2016</w:t>
    </w:r>
  </w:p>
  <w:p w:rsidRDefault="00844761" w:rsidR="0084476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24763FEA"/>
    <w:lvl w:tplc="A336EA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0207AB"/>
    <w:multiLevelType w:val="hybridMultilevel"/>
    <w:tmpl w:val="074C3678"/>
    <w:lvl w:tplc="C49ADB00" w:ilvl="0">
      <w:start w:val="1"/>
      <w:numFmt w:val="bullet"/>
      <w:lvlText w:val="-"/>
      <w:lvlJc w:val="left"/>
      <w:pPr>
        <w:ind w:hanging="360" w:left="502"/>
      </w:pPr>
      <w:rPr>
        <w:rFonts w:cs="Times New Roman" w:eastAsia="Calibr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A55D4C"/>
    <w:multiLevelType w:val="hybridMultilevel"/>
    <w:tmpl w:val="A6CEDE9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2D7E64A6"/>
    <w:multiLevelType w:val="hybridMultilevel"/>
    <w:tmpl w:val="1674D112"/>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2">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6">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7">
    <w:nsid w:val="68AB26A9"/>
    <w:multiLevelType w:val="hybridMultilevel"/>
    <w:tmpl w:val="9A8C5A62"/>
    <w:lvl w:tplc="9E6E6FBA" w:ilvl="0">
      <w:numFmt w:val="bullet"/>
      <w:lvlText w:val="-"/>
      <w:lvlJc w:val="left"/>
      <w:pPr>
        <w:ind w:hanging="360" w:left="1495"/>
      </w:pPr>
      <w:rPr>
        <w:rFonts w:cs="Times New Roman" w:eastAsia="Times New Roman" w:hAnsi="Times New Roman" w:ascii="Times New Roman"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4"/>
  </w:num>
  <w:num w:numId="2">
    <w:abstractNumId w:val="1"/>
  </w:num>
  <w:num w:numId="3">
    <w:abstractNumId w:val="19"/>
  </w:num>
  <w:num w:numId="4">
    <w:abstractNumId w:val="16"/>
  </w:num>
  <w:num w:numId="5">
    <w:abstractNumId w:val="10"/>
  </w:num>
  <w:num w:numId="6">
    <w:abstractNumId w:val="6"/>
  </w:num>
  <w:num w:numId="7">
    <w:abstractNumId w:val="11"/>
  </w:num>
  <w:num w:numId="8">
    <w:abstractNumId w:val="3"/>
  </w:num>
  <w:num w:numId="9">
    <w:abstractNumId w:val="4"/>
  </w:num>
  <w:num w:numId="10">
    <w:abstractNumId w:val="15"/>
  </w:num>
  <w:num w:numId="11">
    <w:abstractNumId w:val="8"/>
  </w:num>
  <w:num w:numId="12">
    <w:abstractNumId w:val="7"/>
  </w:num>
  <w:num w:numId="13">
    <w:abstractNumId w:val="9"/>
  </w:num>
  <w:num w:numId="14">
    <w:abstractNumId w:val="17"/>
  </w:num>
  <w:num w:numId="15">
    <w:abstractNumId w:val="1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 w:numId="19">
    <w:abstractNumId w:val="18"/>
  </w:num>
  <w:num w:numId="20">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3B62"/>
    <w:rsid w:val="00016B90"/>
    <w:rsid w:val="000247ED"/>
    <w:rsid w:val="00054E81"/>
    <w:rsid w:val="0006669D"/>
    <w:rsid w:val="00075548"/>
    <w:rsid w:val="00094B44"/>
    <w:rsid w:val="000D4EF6"/>
    <w:rsid w:val="000E4921"/>
    <w:rsid w:val="000E620D"/>
    <w:rsid w:val="00111AE7"/>
    <w:rsid w:val="00127BF3"/>
    <w:rsid w:val="00130371"/>
    <w:rsid w:val="00131510"/>
    <w:rsid w:val="0013316B"/>
    <w:rsid w:val="00162652"/>
    <w:rsid w:val="00166945"/>
    <w:rsid w:val="00172053"/>
    <w:rsid w:val="00185148"/>
    <w:rsid w:val="00187D34"/>
    <w:rsid w:val="00194F9A"/>
    <w:rsid w:val="001A2A9B"/>
    <w:rsid w:val="001B4335"/>
    <w:rsid w:val="001B7B62"/>
    <w:rsid w:val="001C685F"/>
    <w:rsid w:val="001E6B27"/>
    <w:rsid w:val="00225C25"/>
    <w:rsid w:val="00241DE1"/>
    <w:rsid w:val="002518A8"/>
    <w:rsid w:val="00257C2E"/>
    <w:rsid w:val="002615EB"/>
    <w:rsid w:val="0028656D"/>
    <w:rsid w:val="00295D92"/>
    <w:rsid w:val="002A5E9F"/>
    <w:rsid w:val="002B2675"/>
    <w:rsid w:val="002B3A4E"/>
    <w:rsid w:val="002E64FE"/>
    <w:rsid w:val="002F31FC"/>
    <w:rsid w:val="00316FA1"/>
    <w:rsid w:val="00317639"/>
    <w:rsid w:val="00322F8C"/>
    <w:rsid w:val="00331492"/>
    <w:rsid w:val="003367F6"/>
    <w:rsid w:val="00353050"/>
    <w:rsid w:val="00366E8A"/>
    <w:rsid w:val="00391D9D"/>
    <w:rsid w:val="003D2B2F"/>
    <w:rsid w:val="003E4DAB"/>
    <w:rsid w:val="003F2A26"/>
    <w:rsid w:val="003F3006"/>
    <w:rsid w:val="003F682D"/>
    <w:rsid w:val="004063AB"/>
    <w:rsid w:val="00415C5B"/>
    <w:rsid w:val="0045297F"/>
    <w:rsid w:val="004638A3"/>
    <w:rsid w:val="00467BB7"/>
    <w:rsid w:val="0048514A"/>
    <w:rsid w:val="004C0EAA"/>
    <w:rsid w:val="004F366E"/>
    <w:rsid w:val="00512EC9"/>
    <w:rsid w:val="005142E5"/>
    <w:rsid w:val="005242D0"/>
    <w:rsid w:val="00552F1B"/>
    <w:rsid w:val="005559BA"/>
    <w:rsid w:val="00574CFA"/>
    <w:rsid w:val="00587AA3"/>
    <w:rsid w:val="00593C97"/>
    <w:rsid w:val="005958DF"/>
    <w:rsid w:val="005A07D8"/>
    <w:rsid w:val="005C492F"/>
    <w:rsid w:val="005D2A1B"/>
    <w:rsid w:val="005E122D"/>
    <w:rsid w:val="00610FAB"/>
    <w:rsid w:val="00626268"/>
    <w:rsid w:val="006623DC"/>
    <w:rsid w:val="00673E35"/>
    <w:rsid w:val="00677401"/>
    <w:rsid w:val="00677A9E"/>
    <w:rsid w:val="00680E02"/>
    <w:rsid w:val="00693BE2"/>
    <w:rsid w:val="00697AFC"/>
    <w:rsid w:val="006B12E3"/>
    <w:rsid w:val="006E3222"/>
    <w:rsid w:val="007272F7"/>
    <w:rsid w:val="007339B8"/>
    <w:rsid w:val="0075015B"/>
    <w:rsid w:val="007703D9"/>
    <w:rsid w:val="007753D3"/>
    <w:rsid w:val="00776C9D"/>
    <w:rsid w:val="00795652"/>
    <w:rsid w:val="007B6B9C"/>
    <w:rsid w:val="007D52CB"/>
    <w:rsid w:val="007F6803"/>
    <w:rsid w:val="0080565D"/>
    <w:rsid w:val="00825F3D"/>
    <w:rsid w:val="00844761"/>
    <w:rsid w:val="0085126D"/>
    <w:rsid w:val="0085495A"/>
    <w:rsid w:val="00890278"/>
    <w:rsid w:val="008A2AC9"/>
    <w:rsid w:val="008B193D"/>
    <w:rsid w:val="008B3BC4"/>
    <w:rsid w:val="008B3FAB"/>
    <w:rsid w:val="009124A8"/>
    <w:rsid w:val="00947E04"/>
    <w:rsid w:val="009609A3"/>
    <w:rsid w:val="009674D8"/>
    <w:rsid w:val="009756BA"/>
    <w:rsid w:val="0098261A"/>
    <w:rsid w:val="009B7D8C"/>
    <w:rsid w:val="009C4556"/>
    <w:rsid w:val="009E0101"/>
    <w:rsid w:val="009E16CF"/>
    <w:rsid w:val="009E18CF"/>
    <w:rsid w:val="009E73A6"/>
    <w:rsid w:val="009F3B02"/>
    <w:rsid w:val="009F47D5"/>
    <w:rsid w:val="009F518B"/>
    <w:rsid w:val="009F7E27"/>
    <w:rsid w:val="00A02E2A"/>
    <w:rsid w:val="00A3141E"/>
    <w:rsid w:val="00A51F98"/>
    <w:rsid w:val="00A679A9"/>
    <w:rsid w:val="00A85656"/>
    <w:rsid w:val="00AA4AC4"/>
    <w:rsid w:val="00AB2DB0"/>
    <w:rsid w:val="00AB44AC"/>
    <w:rsid w:val="00AC195C"/>
    <w:rsid w:val="00AC743E"/>
    <w:rsid w:val="00AD4BBB"/>
    <w:rsid w:val="00B01FD2"/>
    <w:rsid w:val="00B07C70"/>
    <w:rsid w:val="00B37DB6"/>
    <w:rsid w:val="00B622AC"/>
    <w:rsid w:val="00B8173B"/>
    <w:rsid w:val="00B97D73"/>
    <w:rsid w:val="00BD775C"/>
    <w:rsid w:val="00C10EF6"/>
    <w:rsid w:val="00C17FBE"/>
    <w:rsid w:val="00C33584"/>
    <w:rsid w:val="00C76827"/>
    <w:rsid w:val="00C7782B"/>
    <w:rsid w:val="00C809B7"/>
    <w:rsid w:val="00CA62A5"/>
    <w:rsid w:val="00CA7FA3"/>
    <w:rsid w:val="00CB2005"/>
    <w:rsid w:val="00CC141C"/>
    <w:rsid w:val="00CC3934"/>
    <w:rsid w:val="00CD62CD"/>
    <w:rsid w:val="00CF18CD"/>
    <w:rsid w:val="00D1575A"/>
    <w:rsid w:val="00D648B6"/>
    <w:rsid w:val="00D758E0"/>
    <w:rsid w:val="00D81934"/>
    <w:rsid w:val="00DB2A7C"/>
    <w:rsid w:val="00DD47F0"/>
    <w:rsid w:val="00E17D8A"/>
    <w:rsid w:val="00E4787D"/>
    <w:rsid w:val="00E97E29"/>
    <w:rsid w:val="00EB71A8"/>
    <w:rsid w:val="00F03760"/>
    <w:rsid w:val="00F2663E"/>
    <w:rsid w:val="00F27CA5"/>
    <w:rsid w:val="00F33DBF"/>
    <w:rsid w:val="00F42085"/>
    <w:rsid w:val="00F50898"/>
    <w:rsid w:val="00F61F65"/>
    <w:rsid w:val="00FA0132"/>
    <w:rsid w:val="00FD15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eastAsia="Calibri" w:hAnsi="Calibri" w:ascii="Calibri"/>
      <w:sz w:val="22"/>
      <w:szCs w:val="22"/>
      <w:lang w:eastAsia="en-US"/>
    </w:rPr>
  </w:style>
  <w:style w:styleId="Odlomakpopisa" w:type="paragraph">
    <w:name w:val="List Paragraph"/>
    <w:basedOn w:val="Normal"/>
    <w:uiPriority w:val="34"/>
    <w:qFormat/>
    <w:rsid w:val="00185148"/>
    <w:pPr>
      <w:spacing w:lineRule="auto" w:line="276" w:after="200"/>
      <w:ind w:left="720"/>
      <w:contextualSpacing/>
    </w:pPr>
    <w:rPr>
      <w:rFonts w:eastAsia="Calibri" w:hAnsi="Calibri" w:ascii="Calibri"/>
      <w:sz w:val="22"/>
      <w:szCs w:val="22"/>
      <w:lang w:eastAsia="en-US"/>
    </w:rPr>
  </w:style>
  <w:style w:customStyle="true" w:styleId="PodnojeChar" w:type="character">
    <w:name w:val="Podnožje Char"/>
    <w:basedOn w:val="Zadanifontodlomka"/>
    <w:link w:val="Podnoje"/>
    <w:uiPriority w:val="99"/>
    <w:rsid w:val="009C4556"/>
    <w:rPr>
      <w:sz w:val="24"/>
      <w:szCs w:val="24"/>
    </w:rPr>
  </w:style>
  <w:style w:styleId="Tekstrezerviranogmjesta" w:type="character">
    <w:name w:val="Placeholder Text"/>
    <w:basedOn w:val="Zadanifontodlomka"/>
    <w:uiPriority w:val="99"/>
    <w:semiHidden/>
    <w:rsid w:val="009124A8"/>
    <w:rPr>
      <w:color w:val="808080"/>
      <w:bdr w:space="0" w:sz="0" w:color="auto" w:val="none"/>
      <w:shd w:fill="auto" w:color="auto" w:val="clear"/>
    </w:rPr>
  </w:style>
  <w:style w:customStyle="true" w:styleId="eSPISCCParagraphDefaultFont" w:type="character">
    <w:name w:val="eSPIS_CC_Paragraph Default Font"/>
    <w:basedOn w:val="Zadanifontodlomka"/>
    <w:rsid w:val="009124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24A8"/>
    <w:rPr>
      <w:bdr w:space="0" w:sz="0" w:color="auto" w:val="none"/>
      <w:shd w:fill="FFFFCC" w:color="auto" w:val="clear"/>
      <w:lang w:val="hr-HR"/>
    </w:rPr>
  </w:style>
  <w:style w:customStyle="true" w:styleId="PozadinaSvijetloCrvena" w:type="character">
    <w:name w:val="Pozadina_SvijetloCrvena"/>
    <w:basedOn w:val="eSPISCCParagraphDefaultFont"/>
    <w:rsid w:val="009124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24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ascii="Calibri" w:eastAsia="Calibri" w:hAnsi="Calibri"/>
      <w:sz w:val="22"/>
      <w:szCs w:val="22"/>
      <w:lang w:eastAsia="en-US"/>
    </w:rPr>
  </w:style>
  <w:style w:styleId="Odlomakpopisa" w:type="paragraph">
    <w:name w:val="List Paragraph"/>
    <w:basedOn w:val="Normal"/>
    <w:uiPriority w:val="34"/>
    <w:qFormat/>
    <w:rsid w:val="00185148"/>
    <w:pPr>
      <w:spacing w:after="200" w:line="276" w:lineRule="auto"/>
      <w:ind w:left="720"/>
      <w:contextualSpacing/>
    </w:pPr>
    <w:rPr>
      <w:rFonts w:ascii="Calibri" w:eastAsia="Calibri" w:hAnsi="Calibri"/>
      <w:sz w:val="22"/>
      <w:szCs w:val="22"/>
      <w:lang w:eastAsia="en-US"/>
    </w:rPr>
  </w:style>
  <w:style w:customStyle="1" w:styleId="PodnojeChar" w:type="character">
    <w:name w:val="Podnožje Char"/>
    <w:basedOn w:val="Zadanifontodlomka"/>
    <w:link w:val="Podnoje"/>
    <w:uiPriority w:val="99"/>
    <w:rsid w:val="009C4556"/>
    <w:rPr>
      <w:sz w:val="24"/>
      <w:szCs w:val="24"/>
    </w:rPr>
  </w:style>
  <w:style w:styleId="Tekstrezerviranogmjesta" w:type="character">
    <w:name w:val="Placeholder Text"/>
    <w:basedOn w:val="Zadanifontodlomka"/>
    <w:uiPriority w:val="99"/>
    <w:semiHidden/>
    <w:rsid w:val="009124A8"/>
    <w:rPr>
      <w:color w:val="808080"/>
      <w:bdr w:color="auto" w:space="0" w:sz="0" w:val="none"/>
      <w:shd w:color="auto" w:fill="auto" w:val="clear"/>
    </w:rPr>
  </w:style>
  <w:style w:customStyle="1" w:styleId="eSPISCCParagraphDefaultFont" w:type="character">
    <w:name w:val="eSPIS_CC_Paragraph Default Font"/>
    <w:basedOn w:val="Zadanifontodlomka"/>
    <w:rsid w:val="009124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24A8"/>
    <w:rPr>
      <w:bdr w:color="auto" w:space="0" w:sz="0" w:val="none"/>
      <w:shd w:color="auto" w:fill="FFFFCC" w:val="clear"/>
      <w:lang w:val="hr-HR"/>
    </w:rPr>
  </w:style>
  <w:style w:customStyle="1" w:styleId="PozadinaSvijetloCrvena" w:type="character">
    <w:name w:val="Pozadina_SvijetloCrvena"/>
    <w:basedOn w:val="eSPISCCParagraphDefaultFont"/>
    <w:rsid w:val="009124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24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2767856">
      <w:bodyDiv w:val="true"/>
      <w:marLeft w:val="0"/>
      <w:marRight w:val="0"/>
      <w:marTop w:val="0"/>
      <w:marBottom w:val="0"/>
      <w:divBdr>
        <w:top w:space="0" w:sz="0" w:color="auto" w:val="none"/>
        <w:left w:space="0" w:sz="0" w:color="auto" w:val="none"/>
        <w:bottom w:space="0" w:sz="0" w:color="auto" w:val="none"/>
        <w:right w:space="0" w:sz="0" w:color="auto" w:val="none"/>
      </w:divBdr>
      <w:divsChild>
        <w:div w:id="350842645">
          <w:marLeft w:val="0"/>
          <w:marRight w:val="0"/>
          <w:marTop w:val="0"/>
          <w:marBottom w:val="0"/>
          <w:divBdr>
            <w:top w:space="0" w:sz="0" w:color="auto" w:val="none"/>
            <w:left w:space="0" w:sz="0" w:color="auto" w:val="none"/>
            <w:bottom w:space="0" w:sz="0" w:color="auto" w:val="none"/>
            <w:right w:space="0" w:sz="0" w:color="auto" w:val="none"/>
          </w:divBdr>
          <w:divsChild>
            <w:div w:id="1235968498">
              <w:marLeft w:val="0"/>
              <w:marRight w:val="0"/>
              <w:marTop w:val="0"/>
              <w:marBottom w:val="0"/>
              <w:divBdr>
                <w:top w:space="0" w:sz="6" w:color="DDDDDD" w:val="single"/>
                <w:left w:space="0" w:sz="6" w:color="DDDDDD" w:val="single"/>
                <w:bottom w:space="0" w:sz="6" w:color="DDDDDD" w:val="single"/>
                <w:right w:space="0" w:sz="6" w:color="DDDDDD" w:val="single"/>
              </w:divBdr>
              <w:divsChild>
                <w:div w:id="1214656984">
                  <w:marLeft w:val="150"/>
                  <w:marRight w:val="150"/>
                  <w:marTop w:val="0"/>
                  <w:marBottom w:val="150"/>
                  <w:divBdr>
                    <w:top w:space="0" w:sz="0" w:color="auto" w:val="none"/>
                    <w:left w:space="0" w:sz="0" w:color="auto" w:val="none"/>
                    <w:bottom w:space="0" w:sz="0" w:color="auto" w:val="none"/>
                    <w:right w:space="0" w:sz="0" w:color="auto" w:val="none"/>
                  </w:divBdr>
                  <w:divsChild>
                    <w:div w:id="1543246711">
                      <w:marLeft w:val="0"/>
                      <w:marRight w:val="0"/>
                      <w:marTop w:val="0"/>
                      <w:marBottom w:val="0"/>
                      <w:divBdr>
                        <w:top w:space="0" w:sz="0" w:color="auto" w:val="none"/>
                        <w:left w:space="0" w:sz="0" w:color="auto" w:val="none"/>
                        <w:bottom w:space="0" w:sz="0" w:color="auto" w:val="none"/>
                        <w:right w:space="0" w:sz="0" w:color="auto" w:val="none"/>
                      </w:divBdr>
                      <w:divsChild>
                        <w:div w:id="1808039817">
                          <w:marLeft w:val="0"/>
                          <w:marRight w:val="0"/>
                          <w:marTop w:val="0"/>
                          <w:marBottom w:val="0"/>
                          <w:divBdr>
                            <w:top w:space="0" w:sz="0" w:color="auto" w:val="none"/>
                            <w:left w:space="0" w:sz="0" w:color="auto" w:val="none"/>
                            <w:bottom w:space="0" w:sz="0" w:color="auto" w:val="none"/>
                            <w:right w:space="0" w:sz="0" w:color="auto" w:val="none"/>
                          </w:divBdr>
                          <w:divsChild>
                            <w:div w:id="1804427317">
                              <w:marLeft w:val="0"/>
                              <w:marRight w:val="0"/>
                              <w:marTop w:val="0"/>
                              <w:marBottom w:val="0"/>
                              <w:divBdr>
                                <w:top w:space="0" w:sz="0" w:color="auto" w:val="none"/>
                                <w:left w:space="0" w:sz="0" w:color="auto" w:val="none"/>
                                <w:bottom w:space="0" w:sz="0" w:color="auto" w:val="none"/>
                                <w:right w:space="0" w:sz="0" w:color="auto" w:val="none"/>
                              </w:divBdr>
                              <w:divsChild>
                                <w:div w:id="1727490745">
                                  <w:marLeft w:val="0"/>
                                  <w:marRight w:val="0"/>
                                  <w:marTop w:val="0"/>
                                  <w:marBottom w:val="0"/>
                                  <w:divBdr>
                                    <w:top w:space="0" w:sz="0" w:color="auto" w:val="none"/>
                                    <w:left w:space="0" w:sz="0" w:color="auto" w:val="none"/>
                                    <w:bottom w:space="0" w:sz="0" w:color="auto" w:val="none"/>
                                    <w:right w:space="0" w:sz="0" w:color="auto" w:val="none"/>
                                  </w:divBdr>
                                  <w:divsChild>
                                    <w:div w:id="1640458320">
                                      <w:marLeft w:val="0"/>
                                      <w:marRight w:val="0"/>
                                      <w:marTop w:val="0"/>
                                      <w:marBottom w:val="0"/>
                                      <w:divBdr>
                                        <w:top w:space="0" w:sz="0" w:color="auto" w:val="none"/>
                                        <w:left w:space="0" w:sz="0" w:color="auto" w:val="none"/>
                                        <w:bottom w:space="0" w:sz="0" w:color="auto" w:val="none"/>
                                        <w:right w:space="0" w:sz="0" w:color="auto" w:val="none"/>
                                      </w:divBdr>
                                      <w:divsChild>
                                        <w:div w:id="5098329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16077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8336423">
          <w:marLeft w:val="0"/>
          <w:marRight w:val="0"/>
          <w:marTop w:val="60"/>
          <w:marBottom w:val="0"/>
          <w:divBdr>
            <w:top w:space="0" w:sz="0" w:color="auto" w:val="none"/>
            <w:left w:space="0" w:sz="0" w:color="auto" w:val="none"/>
            <w:bottom w:space="0" w:sz="0" w:color="auto" w:val="none"/>
            <w:right w:space="0" w:sz="0" w:color="auto" w:val="none"/>
          </w:divBdr>
          <w:divsChild>
            <w:div w:id="443501495">
              <w:marLeft w:val="0"/>
              <w:marRight w:val="0"/>
              <w:marTop w:val="0"/>
              <w:marBottom w:val="0"/>
              <w:divBdr>
                <w:top w:space="0" w:sz="0" w:color="auto" w:val="none"/>
                <w:left w:space="0" w:sz="0" w:color="auto" w:val="none"/>
                <w:bottom w:space="0" w:sz="0" w:color="auto" w:val="none"/>
                <w:right w:space="0" w:sz="0" w:color="auto" w:val="none"/>
              </w:divBdr>
              <w:divsChild>
                <w:div w:id="798693538">
                  <w:marLeft w:val="3750"/>
                  <w:marRight w:val="0"/>
                  <w:marTop w:val="0"/>
                  <w:marBottom w:val="300"/>
                  <w:divBdr>
                    <w:top w:space="0" w:sz="0" w:color="auto" w:val="none"/>
                    <w:left w:space="0" w:sz="0" w:color="auto" w:val="none"/>
                    <w:bottom w:space="0" w:sz="0" w:color="auto" w:val="none"/>
                    <w:right w:space="0" w:sz="0" w:color="auto" w:val="none"/>
                  </w:divBdr>
                  <w:divsChild>
                    <w:div w:id="1053575468">
                      <w:marLeft w:val="0"/>
                      <w:marRight w:val="0"/>
                      <w:marTop w:val="0"/>
                      <w:marBottom w:val="0"/>
                      <w:divBdr>
                        <w:top w:space="0" w:sz="0" w:color="auto" w:val="none"/>
                        <w:left w:space="0" w:sz="0" w:color="auto" w:val="none"/>
                        <w:bottom w:space="0" w:sz="0" w:color="auto" w:val="none"/>
                        <w:right w:space="0" w:sz="0" w:color="auto" w:val="none"/>
                      </w:divBdr>
                      <w:divsChild>
                        <w:div w:id="529800329">
                          <w:marLeft w:val="0"/>
                          <w:marRight w:val="0"/>
                          <w:marTop w:val="0"/>
                          <w:marBottom w:val="0"/>
                          <w:divBdr>
                            <w:top w:space="0" w:sz="0" w:color="auto" w:val="none"/>
                            <w:left w:space="0" w:sz="0" w:color="auto" w:val="none"/>
                            <w:bottom w:space="0" w:sz="0" w:color="auto" w:val="none"/>
                            <w:right w:space="0" w:sz="0" w:color="auto" w:val="none"/>
                          </w:divBdr>
                          <w:divsChild>
                            <w:div w:id="1445538082">
                              <w:marLeft w:val="0"/>
                              <w:marRight w:val="0"/>
                              <w:marTop w:val="0"/>
                              <w:marBottom w:val="0"/>
                              <w:divBdr>
                                <w:top w:space="0" w:sz="0" w:color="auto" w:val="none"/>
                                <w:left w:space="0" w:sz="0" w:color="auto" w:val="none"/>
                                <w:bottom w:space="0" w:sz="0" w:color="auto" w:val="none"/>
                                <w:right w:space="0" w:sz="0" w:color="auto" w:val="none"/>
                              </w:divBdr>
                              <w:divsChild>
                                <w:div w:id="385229008">
                                  <w:marLeft w:val="0"/>
                                  <w:marRight w:val="0"/>
                                  <w:marTop w:val="0"/>
                                  <w:marBottom w:val="0"/>
                                  <w:divBdr>
                                    <w:top w:space="0" w:sz="0" w:color="auto" w:val="none"/>
                                    <w:left w:space="0" w:sz="0" w:color="auto" w:val="none"/>
                                    <w:bottom w:space="0" w:sz="0" w:color="auto" w:val="none"/>
                                    <w:right w:space="0" w:sz="0" w:color="auto" w:val="none"/>
                                  </w:divBdr>
                                  <w:divsChild>
                                    <w:div w:id="1329820567">
                                      <w:marLeft w:val="0"/>
                                      <w:marRight w:val="0"/>
                                      <w:marTop w:val="0"/>
                                      <w:marBottom w:val="0"/>
                                      <w:divBdr>
                                        <w:top w:space="0" w:sz="0" w:color="auto" w:val="none"/>
                                        <w:left w:space="0" w:sz="0" w:color="auto" w:val="none"/>
                                        <w:bottom w:space="0" w:sz="0" w:color="auto" w:val="none"/>
                                        <w:right w:space="0" w:sz="0" w:color="auto" w:val="none"/>
                                      </w:divBdr>
                                      <w:divsChild>
                                        <w:div w:id="623343973">
                                          <w:marLeft w:val="0"/>
                                          <w:marRight w:val="0"/>
                                          <w:marTop w:val="0"/>
                                          <w:marBottom w:val="0"/>
                                          <w:divBdr>
                                            <w:top w:space="0" w:sz="0" w:color="auto" w:val="none"/>
                                            <w:left w:space="0" w:sz="0" w:color="auto" w:val="none"/>
                                            <w:bottom w:space="0" w:sz="0" w:color="auto" w:val="none"/>
                                            <w:right w:space="0" w:sz="0" w:color="auto" w:val="none"/>
                                          </w:divBdr>
                                          <w:divsChild>
                                            <w:div w:id="731344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7388042">
      <w:bodyDiv w:val="true"/>
      <w:marLeft w:val="0"/>
      <w:marRight w:val="0"/>
      <w:marTop w:val="0"/>
      <w:marBottom w:val="0"/>
      <w:divBdr>
        <w:top w:space="0" w:sz="0" w:color="auto" w:val="none"/>
        <w:left w:space="0" w:sz="0" w:color="auto" w:val="none"/>
        <w:bottom w:space="0" w:sz="0" w:color="auto" w:val="none"/>
        <w:right w:space="0" w:sz="0" w:color="auto" w:val="none"/>
      </w:divBdr>
      <w:divsChild>
        <w:div w:id="1528103883">
          <w:marLeft w:val="0"/>
          <w:marRight w:val="0"/>
          <w:marTop w:val="0"/>
          <w:marBottom w:val="0"/>
          <w:divBdr>
            <w:top w:space="0" w:sz="0" w:color="auto" w:val="none"/>
            <w:left w:space="0" w:sz="0" w:color="auto" w:val="none"/>
            <w:bottom w:space="0" w:sz="0" w:color="auto" w:val="none"/>
            <w:right w:space="0" w:sz="0" w:color="auto" w:val="none"/>
          </w:divBdr>
          <w:divsChild>
            <w:div w:id="1950501338">
              <w:marLeft w:val="0"/>
              <w:marRight w:val="0"/>
              <w:marTop w:val="0"/>
              <w:marBottom w:val="0"/>
              <w:divBdr>
                <w:top w:space="0" w:sz="6" w:color="DDDDDD" w:val="single"/>
                <w:left w:space="0" w:sz="6" w:color="DDDDDD" w:val="single"/>
                <w:bottom w:space="0" w:sz="6" w:color="DDDDDD" w:val="single"/>
                <w:right w:space="0" w:sz="6" w:color="DDDDDD" w:val="single"/>
              </w:divBdr>
              <w:divsChild>
                <w:div w:id="132255695">
                  <w:marLeft w:val="150"/>
                  <w:marRight w:val="150"/>
                  <w:marTop w:val="0"/>
                  <w:marBottom w:val="150"/>
                  <w:divBdr>
                    <w:top w:space="0" w:sz="0" w:color="auto" w:val="none"/>
                    <w:left w:space="0" w:sz="0" w:color="auto" w:val="none"/>
                    <w:bottom w:space="0" w:sz="0" w:color="auto" w:val="none"/>
                    <w:right w:space="0" w:sz="0" w:color="auto" w:val="none"/>
                  </w:divBdr>
                  <w:divsChild>
                    <w:div w:id="1635327415">
                      <w:marLeft w:val="0"/>
                      <w:marRight w:val="0"/>
                      <w:marTop w:val="0"/>
                      <w:marBottom w:val="0"/>
                      <w:divBdr>
                        <w:top w:space="0" w:sz="0" w:color="auto" w:val="none"/>
                        <w:left w:space="0" w:sz="0" w:color="auto" w:val="none"/>
                        <w:bottom w:space="0" w:sz="0" w:color="auto" w:val="none"/>
                        <w:right w:space="0" w:sz="0" w:color="auto" w:val="none"/>
                      </w:divBdr>
                      <w:divsChild>
                        <w:div w:id="225261111">
                          <w:marLeft w:val="0"/>
                          <w:marRight w:val="0"/>
                          <w:marTop w:val="0"/>
                          <w:marBottom w:val="0"/>
                          <w:divBdr>
                            <w:top w:space="0" w:sz="0" w:color="auto" w:val="none"/>
                            <w:left w:space="0" w:sz="0" w:color="auto" w:val="none"/>
                            <w:bottom w:space="0" w:sz="0" w:color="auto" w:val="none"/>
                            <w:right w:space="0" w:sz="0" w:color="auto" w:val="none"/>
                          </w:divBdr>
                          <w:divsChild>
                            <w:div w:id="1335373377">
                              <w:marLeft w:val="0"/>
                              <w:marRight w:val="0"/>
                              <w:marTop w:val="0"/>
                              <w:marBottom w:val="0"/>
                              <w:divBdr>
                                <w:top w:space="0" w:sz="0" w:color="auto" w:val="none"/>
                                <w:left w:space="0" w:sz="0" w:color="auto" w:val="none"/>
                                <w:bottom w:space="0" w:sz="0" w:color="auto" w:val="none"/>
                                <w:right w:space="0" w:sz="0" w:color="auto" w:val="none"/>
                              </w:divBdr>
                              <w:divsChild>
                                <w:div w:id="1185442252">
                                  <w:marLeft w:val="0"/>
                                  <w:marRight w:val="0"/>
                                  <w:marTop w:val="0"/>
                                  <w:marBottom w:val="0"/>
                                  <w:divBdr>
                                    <w:top w:space="0" w:sz="0" w:color="auto" w:val="none"/>
                                    <w:left w:space="0" w:sz="0" w:color="auto" w:val="none"/>
                                    <w:bottom w:space="0" w:sz="0" w:color="auto" w:val="none"/>
                                    <w:right w:space="0" w:sz="0" w:color="auto" w:val="none"/>
                                  </w:divBdr>
                                  <w:divsChild>
                                    <w:div w:id="251090848">
                                      <w:marLeft w:val="0"/>
                                      <w:marRight w:val="0"/>
                                      <w:marTop w:val="0"/>
                                      <w:marBottom w:val="0"/>
                                      <w:divBdr>
                                        <w:top w:space="0" w:sz="0" w:color="auto" w:val="none"/>
                                        <w:left w:space="0" w:sz="0" w:color="auto" w:val="none"/>
                                        <w:bottom w:space="0" w:sz="0" w:color="auto" w:val="none"/>
                                        <w:right w:space="0" w:sz="0" w:color="auto" w:val="none"/>
                                      </w:divBdr>
                                      <w:divsChild>
                                        <w:div w:id="7910920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B14509-B0EB-4265-B2BB-C50C711068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638</properties:Words>
  <properties:Characters>3377</properties:Characters>
  <properties:Lines>94</properties:Lines>
  <properties:Paragraphs>32</properties:Paragraphs>
  <properties:TotalTime>187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4038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2016-06-06T11:34:00Z</dcterms:created>
  <dc:creator>Trgovački sud Split</dc:creator>
  <cp:lastModifiedBy>Katarina Mikulić</cp:lastModifiedBy>
  <cp:lastPrinted>2017-07-10T11:34:00Z</cp:lastPrinted>
  <dcterms:modified xmlns:xsi="http://www.w3.org/2001/XMLSchema-instance" xsi:type="dcterms:W3CDTF">2017-07-10T11:36:00Z</dcterms:modified>
  <cp:revision>29</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