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6bf1" w14:paraId="5ed6bf1" w:rsidRDefault="008C15FB" w:rsidP="008C15FB" w:rsidR="008C15FB">
      <w:pPr>
        <w:pStyle w:val="Bezproreda"/>
        <w:jc w:val="center"/>
        <w15:collapsed w:val="false"/>
        <w:rPr>
          <w:rFonts w:hAnsi="Century Gothic" w:ascii="Century Gothic"/>
          <w:noProof/>
        </w:rPr>
      </w:pPr>
      <w:bookmarkStart w:name="_GoBack" w:id="0"/>
      <w:bookmarkEnd w:id="0"/>
      <w:r>
        <w:rPr>
          <w:rFonts w:hAnsi="Century Gothic" w:ascii="Century Gothic"/>
        </w:rPr>
        <w:t>MEDI TORANJ društvo s ograničenom odgovornošću</w:t>
      </w:r>
      <w:r>
        <w:rPr>
          <w:rFonts w:hAnsi="Century Gothic" w:ascii="Century Gothic"/>
          <w:noProof/>
        </w:rPr>
        <w:t xml:space="preserve"> za medicinsku djelatnost, </w:t>
      </w:r>
    </w:p>
    <w:p w:rsidRDefault="008C15FB" w:rsidP="008C15FB" w:rsidR="008C15FB">
      <w:pPr>
        <w:pStyle w:val="Bezproreda"/>
        <w:jc w:val="center"/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usluge i trgovinu u stečaju, Zagreb, Ksaverska cesta 59</w:t>
      </w:r>
    </w:p>
    <w:p w:rsidRDefault="008C15FB" w:rsidP="008C15FB" w:rsidR="008C15FB">
      <w:pPr>
        <w:pStyle w:val="Bezproreda"/>
        <w:jc w:val="center"/>
        <w:rPr>
          <w:rFonts w:hAnsi="Century Gothic" w:ascii="Century Gothic"/>
          <w:color w:themeShade="BF" w:themeColor="accent2" w:val="943634"/>
        </w:rPr>
      </w:pPr>
      <w:r>
        <w:rPr>
          <w:rFonts w:hAnsi="Century Gothic" w:ascii="Century Gothic"/>
        </w:rPr>
        <w:t xml:space="preserve">OIB: </w:t>
      </w:r>
      <w:r>
        <w:rPr>
          <w:rFonts w:hAnsi="Century Gothic" w:ascii="Century Gothic"/>
          <w:noProof/>
        </w:rPr>
        <w:t>29683817092</w:t>
      </w:r>
      <w:r>
        <w:rPr>
          <w:rFonts w:hAnsi="Century Gothic" w:ascii="Century Gothic"/>
        </w:rPr>
        <w:t xml:space="preserve">,  MBS: </w:t>
      </w:r>
      <w:r>
        <w:rPr>
          <w:rFonts w:hAnsi="Century Gothic" w:ascii="Century Gothic"/>
          <w:lang w:val="pl-PL"/>
        </w:rPr>
        <w:t>080753391,  1</w:t>
      </w:r>
      <w:r>
        <w:rPr>
          <w:rFonts w:hAnsi="Century Gothic" w:ascii="Century Gothic"/>
        </w:rPr>
        <w:t xml:space="preserve"> St-389/2017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  <w:color w:themeShade="BF" w:themeColor="accent2" w:val="943634"/>
          <w:u w:val="double"/>
        </w:rPr>
      </w:pPr>
      <w:r>
        <w:rPr>
          <w:rFonts w:hAnsi="Century Gothic" w:ascii="Century Gothic"/>
          <w:color w:themeShade="BF" w:themeColor="accent2" w:val="943634"/>
          <w:u w:val="double"/>
        </w:rPr>
        <w:t>_______________________________________________________________________________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  <w:color w:themeShade="BF" w:themeColor="accent2" w:val="943634"/>
        </w:rPr>
      </w:pPr>
    </w:p>
    <w:p w:rsidRDefault="008C15FB" w:rsidP="008C15FB" w:rsidR="008C15FB">
      <w:pPr>
        <w:pStyle w:val="Bezproreda"/>
        <w:jc w:val="both"/>
        <w:rPr>
          <w:rFonts w:cs="Tahoma" w:eastAsia="SimSun" w:hAnsi="Century Gothic" w:ascii="Century Gothic"/>
          <w:kern w:val="3"/>
          <w:lang w:bidi="hi-IN" w:eastAsia="zh-CN"/>
        </w:rPr>
      </w:pPr>
      <w:r>
        <w:rPr>
          <w:rFonts w:cs="Tahoma" w:eastAsia="SimSun" w:hAnsi="Century Gothic" w:ascii="Century Gothic"/>
          <w:kern w:val="3"/>
          <w:lang w:bidi="hi-IN" w:eastAsia="zh-CN" w:val="pl-PL"/>
        </w:rPr>
        <w:t>Nadle</w:t>
      </w:r>
      <w:r>
        <w:rPr>
          <w:rFonts w:cs="Tahoma" w:eastAsia="SimSun" w:hAnsi="Century Gothic" w:ascii="Century Gothic"/>
          <w:kern w:val="3"/>
          <w:lang w:bidi="hi-IN" w:eastAsia="zh-CN"/>
        </w:rPr>
        <w:t>ž</w:t>
      </w:r>
      <w:r>
        <w:rPr>
          <w:rFonts w:cs="Tahoma" w:eastAsia="SimSun" w:hAnsi="Century Gothic" w:ascii="Century Gothic"/>
          <w:kern w:val="3"/>
          <w:lang w:bidi="hi-IN" w:eastAsia="zh-CN" w:val="pl-PL"/>
        </w:rPr>
        <w:t>ni trgova</w:t>
      </w:r>
      <w:r>
        <w:rPr>
          <w:rFonts w:cs="Tahoma" w:eastAsia="SimSun" w:hAnsi="Century Gothic" w:ascii="Century Gothic"/>
          <w:kern w:val="3"/>
          <w:lang w:bidi="hi-IN" w:eastAsia="zh-CN"/>
        </w:rPr>
        <w:t>č</w:t>
      </w:r>
      <w:r>
        <w:rPr>
          <w:rFonts w:cs="Tahoma" w:eastAsia="SimSun" w:hAnsi="Century Gothic" w:ascii="Century Gothic"/>
          <w:kern w:val="3"/>
          <w:lang w:bidi="hi-IN" w:eastAsia="zh-CN" w:val="pl-PL"/>
        </w:rPr>
        <w:t>ki sud:</w:t>
      </w:r>
      <w:r>
        <w:rPr>
          <w:rFonts w:cs="Tahoma" w:eastAsia="SimSun" w:hAnsi="Century Gothic" w:ascii="Century Gothic"/>
          <w:kern w:val="3"/>
          <w:lang w:bidi="hi-IN" w:eastAsia="zh-CN"/>
        </w:rPr>
        <w:tab/>
        <w:t>Trgovački sud u Bjelovaru</w:t>
      </w:r>
    </w:p>
    <w:p w:rsidRDefault="008C15FB" w:rsidP="008C15FB" w:rsidR="008C15FB">
      <w:pPr>
        <w:pStyle w:val="Bezproreda"/>
        <w:jc w:val="both"/>
        <w:rPr>
          <w:rFonts w:cs="Tahoma" w:eastAsia="SimSun" w:hAnsi="Century Gothic" w:ascii="Century Gothic"/>
          <w:kern w:val="3"/>
          <w:lang w:bidi="hi-IN" w:eastAsia="zh-CN"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  <w:r>
        <w:rPr>
          <w:rFonts w:cs="Tahoma" w:eastAsia="SimSun" w:hAnsi="Century Gothic" w:ascii="Century Gothic"/>
          <w:kern w:val="3"/>
          <w:lang w:bidi="hi-IN" w:eastAsia="zh-CN" w:val="pl-PL"/>
        </w:rPr>
        <w:t>Poslovni broj spisa:</w:t>
      </w:r>
      <w:r>
        <w:rPr>
          <w:rFonts w:cs="Tahoma" w:eastAsia="SimSun" w:hAnsi="Century Gothic" w:ascii="Century Gothic"/>
          <w:kern w:val="3"/>
          <w:lang w:bidi="hi-IN" w:eastAsia="zh-CN" w:val="pl-PL"/>
        </w:rPr>
        <w:tab/>
      </w:r>
      <w:r>
        <w:rPr>
          <w:rFonts w:cs="Tahoma" w:eastAsia="SimSun" w:hAnsi="Century Gothic" w:ascii="Century Gothic"/>
          <w:kern w:val="3"/>
          <w:lang w:bidi="hi-IN" w:eastAsia="zh-CN" w:val="pl-PL"/>
        </w:rPr>
        <w:tab/>
        <w:t>1 St-</w:t>
      </w:r>
      <w:r>
        <w:rPr>
          <w:rFonts w:hAnsi="Century Gothic" w:ascii="Century Gothic"/>
        </w:rPr>
        <w:t>389/2017</w:t>
      </w:r>
    </w:p>
    <w:p w:rsidRDefault="008C15FB" w:rsidP="008C15FB" w:rsidR="008C15FB">
      <w:pPr>
        <w:pStyle w:val="Bezproreda"/>
        <w:jc w:val="both"/>
        <w:rPr>
          <w:rFonts w:cs="Tahoma" w:eastAsia="SimSun" w:hAnsi="Century Gothic" w:ascii="Century Gothic"/>
          <w:kern w:val="3"/>
          <w:lang w:bidi="hi-IN" w:eastAsia="zh-CN"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  <w:noProof/>
        </w:rPr>
      </w:pPr>
      <w:r>
        <w:rPr>
          <w:rFonts w:cs="Tahoma" w:eastAsia="SimSun" w:hAnsi="Century Gothic" w:ascii="Century Gothic"/>
          <w:kern w:val="3"/>
          <w:lang w:bidi="hi-IN" w:eastAsia="zh-CN" w:val="pl-PL"/>
        </w:rPr>
        <w:t>Dužnik:</w:t>
      </w:r>
      <w:r>
        <w:rPr>
          <w:rFonts w:cs="Tahoma" w:eastAsia="SimSun" w:hAnsi="Century Gothic" w:ascii="Century Gothic"/>
          <w:kern w:val="3"/>
          <w:lang w:bidi="hi-IN" w:eastAsia="zh-CN" w:val="pl-PL"/>
        </w:rPr>
        <w:tab/>
      </w:r>
      <w:r>
        <w:rPr>
          <w:rFonts w:hAnsi="Century Gothic" w:ascii="Century Gothic"/>
        </w:rPr>
        <w:t xml:space="preserve">       </w:t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  <w:t>MEDI TORANJ društvo s ograničenom odgovornošću</w:t>
      </w:r>
      <w:r>
        <w:rPr>
          <w:rFonts w:hAnsi="Century Gothic" w:ascii="Century Gothic"/>
          <w:noProof/>
        </w:rPr>
        <w:t xml:space="preserve"> za 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ab/>
      </w:r>
      <w:r>
        <w:rPr>
          <w:rFonts w:hAnsi="Century Gothic" w:ascii="Century Gothic"/>
          <w:noProof/>
        </w:rPr>
        <w:tab/>
      </w:r>
      <w:r>
        <w:rPr>
          <w:rFonts w:hAnsi="Century Gothic" w:ascii="Century Gothic"/>
          <w:noProof/>
        </w:rPr>
        <w:tab/>
      </w:r>
      <w:r>
        <w:rPr>
          <w:rFonts w:hAnsi="Century Gothic" w:ascii="Century Gothic"/>
          <w:noProof/>
        </w:rPr>
        <w:tab/>
        <w:t xml:space="preserve">medicinsku djelatnost, usluge i trgovinu u stečaju, Zagreb, 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ab/>
      </w:r>
      <w:r>
        <w:rPr>
          <w:rFonts w:hAnsi="Century Gothic" w:ascii="Century Gothic"/>
          <w:noProof/>
        </w:rPr>
        <w:tab/>
      </w:r>
      <w:r>
        <w:rPr>
          <w:rFonts w:hAnsi="Century Gothic" w:ascii="Century Gothic"/>
          <w:noProof/>
        </w:rPr>
        <w:tab/>
      </w:r>
      <w:r>
        <w:rPr>
          <w:rFonts w:hAnsi="Century Gothic" w:ascii="Century Gothic"/>
          <w:noProof/>
        </w:rPr>
        <w:tab/>
        <w:t xml:space="preserve">Ksaverska cesta 59, </w:t>
      </w:r>
      <w:r>
        <w:rPr>
          <w:rFonts w:hAnsi="Century Gothic" w:ascii="Century Gothic"/>
        </w:rPr>
        <w:t xml:space="preserve">OIB: </w:t>
      </w:r>
      <w:r>
        <w:rPr>
          <w:rFonts w:hAnsi="Century Gothic" w:ascii="Century Gothic"/>
          <w:noProof/>
        </w:rPr>
        <w:t>29683817092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  <w:noProof/>
        </w:rPr>
      </w:pPr>
      <w:r>
        <w:rPr>
          <w:rFonts w:hAnsi="Century Gothic" w:ascii="Century Gothic"/>
        </w:rPr>
        <w:t xml:space="preserve">Na osnovu članka 227. Stečajnog zakona te Rješenja Trgovačkog suda u Bjelovaru, posl. broj </w:t>
      </w:r>
      <w:r>
        <w:rPr>
          <w:rFonts w:cs="Tahoma" w:eastAsia="SimSun" w:hAnsi="Century Gothic" w:ascii="Century Gothic"/>
          <w:kern w:val="3"/>
          <w:lang w:bidi="hi-IN" w:eastAsia="zh-CN" w:val="pl-PL"/>
        </w:rPr>
        <w:t>1 St-</w:t>
      </w:r>
      <w:r>
        <w:rPr>
          <w:rFonts w:hAnsi="Century Gothic" w:ascii="Century Gothic"/>
        </w:rPr>
        <w:t>389/2017</w:t>
      </w:r>
      <w:r>
        <w:rPr>
          <w:rFonts w:cs="Tahoma" w:eastAsia="SimSun" w:hAnsi="Century Gothic" w:ascii="Century Gothic"/>
          <w:kern w:val="3"/>
          <w:lang w:bidi="hi-IN" w:eastAsia="zh-CN"/>
        </w:rPr>
        <w:t xml:space="preserve"> </w:t>
      </w:r>
      <w:r>
        <w:rPr>
          <w:rFonts w:hAnsi="Century Gothic" w:ascii="Century Gothic"/>
        </w:rPr>
        <w:t>od 19. listopada 2017. godine, stečajni upravitelj dužnika MEDI TORANJ društvo s ograničenom odgovornošću</w:t>
      </w:r>
      <w:r>
        <w:rPr>
          <w:rFonts w:hAnsi="Century Gothic" w:ascii="Century Gothic"/>
          <w:noProof/>
        </w:rPr>
        <w:t xml:space="preserve"> za medicinsku djelatnost, usluge i trgovinu u stečaju, Zagreb, Ksaverska cesta 59, </w:t>
      </w:r>
      <w:r>
        <w:rPr>
          <w:rFonts w:hAnsi="Century Gothic" w:ascii="Century Gothic"/>
        </w:rPr>
        <w:t xml:space="preserve">OIB: </w:t>
      </w:r>
      <w:r>
        <w:rPr>
          <w:rFonts w:hAnsi="Century Gothic" w:ascii="Century Gothic"/>
          <w:noProof/>
        </w:rPr>
        <w:t>29683817092</w:t>
      </w:r>
      <w:r>
        <w:rPr>
          <w:rFonts w:hAnsi="Century Gothic" w:ascii="Century Gothic"/>
        </w:rPr>
        <w:t xml:space="preserve">, podnosi 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  <w:color w:themeShade="BF" w:themeColor="accent2" w:val="943634"/>
        </w:rPr>
      </w:pPr>
    </w:p>
    <w:p w:rsidRDefault="008C15FB" w:rsidP="008C15FB" w:rsidR="008C15FB">
      <w:pPr>
        <w:pStyle w:val="Bezproreda"/>
        <w:jc w:val="center"/>
        <w:rPr>
          <w:rFonts w:hAnsi="Century Gothic" w:ascii="Century Gothic"/>
          <w:sz w:val="24"/>
          <w:szCs w:val="24"/>
        </w:rPr>
      </w:pPr>
      <w:r>
        <w:rPr>
          <w:rFonts w:hAnsi="Century Gothic" w:ascii="Century Gothic"/>
          <w:sz w:val="24"/>
          <w:szCs w:val="24"/>
        </w:rPr>
        <w:t>IZVJEŠĆE O GOSPODARSKOM POLOŽAJU DUŽNIKA</w:t>
      </w:r>
    </w:p>
    <w:p w:rsidRDefault="008C15FB" w:rsidP="008C15FB" w:rsidR="008C15FB">
      <w:pPr>
        <w:pStyle w:val="Bezproreda"/>
        <w:jc w:val="center"/>
        <w:rPr>
          <w:rFonts w:hAnsi="Century Gothic" w:ascii="Century Gothic"/>
        </w:rPr>
      </w:pPr>
      <w:r>
        <w:rPr>
          <w:rFonts w:hAnsi="Century Gothic" w:ascii="Century Gothic"/>
          <w:sz w:val="24"/>
          <w:szCs w:val="24"/>
        </w:rPr>
        <w:t>I NJEGOVIM UZROCIMA</w:t>
      </w:r>
    </w:p>
    <w:p w:rsidRDefault="008C15FB" w:rsidP="008C15FB" w:rsidR="008C15FB">
      <w:pPr>
        <w:pStyle w:val="Bezproreda"/>
        <w:jc w:val="center"/>
        <w:rPr>
          <w:rFonts w:hAnsi="Century Gothic" w:ascii="Century Gothic"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  <w:color w:themeShade="BF" w:themeColor="accent2" w:val="943634"/>
        </w:rPr>
      </w:pPr>
    </w:p>
    <w:p w:rsidRDefault="008C15FB" w:rsidP="008C15FB" w:rsidR="008C15FB">
      <w:pPr>
        <w:numPr>
          <w:ilvl w:val="0"/>
          <w:numId w:val="1"/>
        </w:numPr>
        <w:tabs>
          <w:tab w:pos="851" w:val="left"/>
        </w:tabs>
        <w:spacing w:lineRule="auto" w:line="240" w:after="0"/>
        <w:ind w:hanging="851" w:left="851"/>
        <w:jc w:val="both"/>
        <w:rPr>
          <w:rFonts w:cs="Times New Roman" w:eastAsia="Times New Roman" w:hAnsi="Century Gothic" w:ascii="Century Gothic"/>
          <w:lang w:eastAsia="ar-SA"/>
        </w:rPr>
      </w:pPr>
      <w:r>
        <w:rPr>
          <w:rFonts w:cs="Times New Roman" w:eastAsia="Times New Roman" w:hAnsi="Century Gothic" w:ascii="Century Gothic"/>
          <w:lang w:eastAsia="ar-SA"/>
        </w:rPr>
        <w:t>UVODNE NAPOMENE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  <w:color w:themeShade="BF" w:themeColor="accent2" w:val="943634"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Društvo je osnovano dana </w:t>
      </w:r>
      <w:r>
        <w:rPr>
          <w:rFonts w:cs="Times New Roman" w:eastAsia="Times New Roman" w:hAnsi="Century Gothic" w:ascii="Century Gothic"/>
          <w:lang w:eastAsia="hr-HR"/>
        </w:rPr>
        <w:t xml:space="preserve">17. siječnja 2011. godine Društvenim ugovorom o osnivanju </w:t>
      </w:r>
      <w:r>
        <w:rPr>
          <w:rFonts w:hAnsi="Century Gothic" w:ascii="Century Gothic"/>
        </w:rPr>
        <w:t xml:space="preserve">te je upisano u sudski registar Trgovačkog suda u Zagrebu pod matičnim brojem subjekta </w:t>
      </w:r>
      <w:r>
        <w:rPr>
          <w:rFonts w:hAnsi="Century Gothic" w:ascii="Century Gothic"/>
          <w:lang w:val="pl-PL"/>
        </w:rPr>
        <w:t>080753391</w:t>
      </w:r>
      <w:r>
        <w:rPr>
          <w:rFonts w:hAnsi="Century Gothic" w:ascii="Century Gothic"/>
        </w:rPr>
        <w:t xml:space="preserve">. 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hAnsi="Century Gothic" w:ascii="Century Gothic"/>
        </w:rPr>
        <w:t>Državni zavod za statistiku razvrstao je društvo pod jedinstvenim matičnim brojem 02727668,</w:t>
      </w:r>
      <w:r>
        <w:rPr>
          <w:rFonts w:hAnsi="Century Gothic" w:ascii="Century Gothic"/>
          <w:color w:val="0070C0"/>
        </w:rPr>
        <w:t xml:space="preserve"> </w:t>
      </w:r>
      <w:r>
        <w:rPr>
          <w:rFonts w:hAnsi="Century Gothic" w:ascii="Century Gothic"/>
        </w:rPr>
        <w:t>a šifra djelatnosti za statističku evidenciju je 4120 (</w:t>
      </w:r>
      <w:r>
        <w:rPr>
          <w:rFonts w:cs="Times New Roman" w:eastAsia="Times New Roman" w:hAnsi="Century Gothic" w:ascii="Century Gothic"/>
          <w:lang w:eastAsia="hr-HR"/>
        </w:rPr>
        <w:t xml:space="preserve">gradnja stambenih i nestambenih zgrada).  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  <w:color w:val="0070C0"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Temeljni kapital društva iznosi 20.000,00 kuna. 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Osnivači/članovi društva:</w:t>
      </w:r>
    </w:p>
    <w:p w:rsidRDefault="008C15FB" w:rsidP="008C15FB" w:rsidR="008C15FB">
      <w:pPr>
        <w:pStyle w:val="Bezproreda"/>
        <w:tabs>
          <w:tab w:pos="1134" w:val="left"/>
        </w:tabs>
        <w:ind w:firstLine="708"/>
        <w:jc w:val="both"/>
        <w:rPr>
          <w:rFonts w:hAnsi="Century Gothic" w:ascii="Century Gothic"/>
          <w:noProof/>
        </w:rPr>
      </w:pPr>
      <w:r>
        <w:rPr>
          <w:rFonts w:hAnsi="Century Gothic" w:ascii="Century Gothic"/>
        </w:rPr>
        <w:t xml:space="preserve">–   PORIN 19 d.o.o. za proizvodnju i trgovinu, OIB: 91126004562, upisan kod Trgovačkog suda  u Zagrebu pod MBS: 080002495, </w:t>
      </w:r>
      <w:r>
        <w:rPr>
          <w:rFonts w:hAnsi="Century Gothic" w:ascii="Century Gothic"/>
          <w:noProof/>
        </w:rPr>
        <w:t>Zagreb, Ksaverska cesta 59, član društva;</w:t>
      </w:r>
    </w:p>
    <w:p w:rsidRDefault="008C15FB" w:rsidP="008C15FB" w:rsidR="008C15FB">
      <w:pPr>
        <w:pStyle w:val="Bezproreda"/>
        <w:numPr>
          <w:ilvl w:val="0"/>
          <w:numId w:val="2"/>
        </w:numPr>
        <w:jc w:val="both"/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ANĐELKO JOVANOVIĆ, OIB: 84566935591, Zagreb, Zagorska 12, član društva.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  <w:noProof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Osoba ovlaštena za zastupanje do otvaranja stečajnog postupka bio je Alan Vlatko Ivanišević, OIB: 93465924400, iz Zagreba, Ulica Pavla Hatza 23/6, kao direktor koji  zastupa društvo pojedinačno i samostalno. 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 </w:t>
      </w:r>
    </w:p>
    <w:p w:rsidRDefault="008C15FB" w:rsidP="008C15FB" w:rsidR="008C15FB">
      <w:pPr>
        <w:pStyle w:val="Odlomakpopisa"/>
        <w:numPr>
          <w:ilvl w:val="0"/>
          <w:numId w:val="1"/>
        </w:numPr>
        <w:spacing w:lineRule="auto" w:line="288" w:after="0"/>
        <w:ind w:hanging="851" w:left="851"/>
        <w:rPr>
          <w:rFonts w:cs="Tahoma" w:hAnsi="Century Gothic" w:ascii="Century Gothic"/>
          <w:sz w:val="22"/>
          <w:szCs w:val="22"/>
          <w:lang w:val="pl-PL"/>
        </w:rPr>
      </w:pPr>
      <w:r>
        <w:rPr>
          <w:rFonts w:cs="Tahoma" w:hAnsi="Century Gothic" w:ascii="Century Gothic"/>
          <w:sz w:val="22"/>
          <w:szCs w:val="22"/>
          <w:lang w:val="pl-PL"/>
        </w:rPr>
        <w:t xml:space="preserve">OPĆI PODACI O STEČAJNOM DUŽNIKU 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  <w:noProof/>
        </w:rPr>
      </w:pPr>
      <w:r>
        <w:rPr>
          <w:rFonts w:hAnsi="Century Gothic" w:ascii="Century Gothic"/>
        </w:rPr>
        <w:t>Stečajni dužnik je registrirao u sudskom registru kao predmet poslovanja slijedeće djelatnosti:</w:t>
      </w:r>
      <w:r>
        <w:rPr>
          <w:rFonts w:hAnsi="Century Gothic" w:ascii="Century Gothic"/>
          <w:noProof/>
        </w:rPr>
        <w:tab/>
      </w:r>
    </w:p>
    <w:p w:rsidRDefault="008C15FB" w:rsidP="008C15FB" w:rsidR="008C15FB">
      <w:pPr>
        <w:pStyle w:val="Bezproreda"/>
        <w:ind w:firstLine="708"/>
        <w:jc w:val="both"/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proizvodnja medicinskog proizvoda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noProof/>
        </w:rPr>
        <w:lastRenderedPageBreak/>
        <w:t>*</w:t>
      </w:r>
      <w:r>
        <w:rPr>
          <w:noProof/>
        </w:rPr>
        <w:tab/>
      </w:r>
      <w:r>
        <w:rPr>
          <w:rFonts w:hAnsi="Century Gothic" w:ascii="Century Gothic"/>
          <w:noProof/>
        </w:rPr>
        <w:t>promet na veliko medicinskim proizvodima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uvoz/izvoz medicinskih proizvoda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djelatnosti posredovanja vezano uz klinička ispitivanja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djelatnost ispitivanja lijeka i homeopatskog proizvoda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djelatnost proizvodnje lijeka i homeopatskog proizvoda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djelatnost prometa lijeka i homeopatskog proizvoda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djelatnost provjere kakvoće lijeka i homeopatskog proizvoda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kupnja i prodaja robe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obavljanje trgovačkog posredovanja na domaćem i inozemnom tržištu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zastupanje inozemnih tvrtki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pružanje usluga informacijskog društva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promidžba (reklama i propaganda)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istraživanje tržišta i ispitivanje javnoga mnijenja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savjetovanje u vezi s poslovanjem i upravljanjem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računalno programiranje, savjetovanje i djelatnosti povezane s njima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umnožavanje snimljenih zapisa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organiziranje seminara, sajmova, tečajeva i poduka i drugih sličnih događanja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poslovanje nekretninama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posredovanje u prometu nekretnina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stručni poslovi prostornog uređenja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projektiranje, građenje, uporaba i uklanjanje građevina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nadzor nad gradnjom</w:t>
      </w:r>
    </w:p>
    <w:p w:rsidRDefault="008C15FB" w:rsidP="008C15FB" w:rsidR="008C15FB">
      <w:pPr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poslovi upravljanja nekretninom i održavanje nekretnina</w:t>
      </w:r>
    </w:p>
    <w:p w:rsidRDefault="008C15FB" w:rsidP="008C15FB" w:rsidR="008C15FB">
      <w:pPr>
        <w:rPr>
          <w:rFonts w:hAnsi="Century Gothic" w:ascii="Century Gothic"/>
          <w:color w:val="0070C0"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</w:rPr>
        <w:tab/>
        <w:t>turističke usluge u ostalim oblicima turističke ponude</w:t>
      </w:r>
      <w:r>
        <w:rPr>
          <w:rFonts w:hAnsi="Century Gothic" w:ascii="Century Gothic"/>
          <w:noProof/>
        </w:rPr>
        <w:tab/>
      </w:r>
      <w:r>
        <w:rPr>
          <w:rFonts w:hAnsi="Century Gothic" w:ascii="Century Gothic"/>
          <w:noProof/>
        </w:rPr>
        <w:tab/>
      </w:r>
      <w:r>
        <w:rPr>
          <w:rFonts w:hAnsi="Century Gothic" w:ascii="Century Gothic"/>
          <w:noProof/>
        </w:rPr>
        <w:tab/>
      </w:r>
    </w:p>
    <w:p w:rsidRDefault="008C15FB" w:rsidP="008C15FB" w:rsidR="008C15FB">
      <w:pPr>
        <w:rPr>
          <w:rFonts w:hAnsi="Century Gothic" w:ascii="Century Gothic"/>
          <w:color w:val="0070C0"/>
        </w:rPr>
      </w:pPr>
      <w:r>
        <w:rPr>
          <w:rFonts w:hAnsi="Century Gothic" w:ascii="Century Gothic"/>
          <w:color w:val="0070C0"/>
        </w:rPr>
        <w:t xml:space="preserve"> </w:t>
      </w:r>
    </w:p>
    <w:p w:rsidRDefault="008C15FB" w:rsidP="008C15FB" w:rsidR="008C15FB">
      <w:pPr>
        <w:rPr>
          <w:rFonts w:hAnsi="Century Gothic" w:ascii="Century Gothic"/>
        </w:rPr>
      </w:pPr>
      <w:r>
        <w:rPr>
          <w:rFonts w:hAnsi="Century Gothic" w:ascii="Century Gothic"/>
        </w:rPr>
        <w:t xml:space="preserve">Dužnik je financijsko poslovanje obavljao putem transakcijskog računa :  </w:t>
      </w:r>
    </w:p>
    <w:p w:rsidRDefault="008C15FB" w:rsidP="008C15FB" w:rsidR="008C15FB">
      <w:pPr>
        <w:jc w:val="both"/>
        <w:rPr>
          <w:rFonts w:cs="Helvetica" w:eastAsia="Times New Roman" w:hAnsi="Century Gothic" w:ascii="Century Gothic"/>
          <w:lang w:eastAsia="hr-HR"/>
        </w:rPr>
      </w:pPr>
      <w:r>
        <w:rPr>
          <w:rFonts w:hAnsi="Century Gothic" w:ascii="Century Gothic"/>
        </w:rPr>
        <w:t xml:space="preserve">- HR6524880011100121082 otvoren kod </w:t>
      </w:r>
      <w:r>
        <w:rPr>
          <w:rFonts w:cs="Helvetica" w:eastAsia="Times New Roman" w:hAnsi="Century Gothic" w:ascii="Century Gothic"/>
          <w:lang w:eastAsia="hr-HR"/>
        </w:rPr>
        <w:t>BKS BANK AG, Glavna podružnica Hrvatska,</w:t>
      </w:r>
    </w:p>
    <w:p w:rsidRDefault="008C15FB" w:rsidP="008C15FB" w:rsidR="008C15FB">
      <w:pPr>
        <w:rPr>
          <w:rFonts w:cs="Helvetica" w:eastAsia="Times New Roman" w:hAnsi="Century Gothic" w:ascii="Century Gothic"/>
          <w:lang w:eastAsia="hr-HR"/>
        </w:rPr>
      </w:pPr>
      <w:r>
        <w:rPr>
          <w:rFonts w:cs="Helvetica" w:eastAsia="Times New Roman" w:hAnsi="Century Gothic" w:ascii="Century Gothic"/>
          <w:lang w:eastAsia="hr-HR"/>
        </w:rPr>
        <w:t xml:space="preserve">- HR4124840081106370650 </w:t>
      </w:r>
      <w:r>
        <w:rPr>
          <w:rFonts w:hAnsi="Century Gothic" w:ascii="Century Gothic"/>
        </w:rPr>
        <w:t xml:space="preserve">otvoren kod RAIFFEISENBANK AUSTRIA d.d.  </w:t>
      </w:r>
    </w:p>
    <w:p w:rsidRDefault="008C15FB" w:rsidP="008C15FB" w:rsidR="008C15FB">
      <w:pPr>
        <w:rPr>
          <w:rFonts w:hAnsi="Century Gothic" w:ascii="Century Gothic"/>
        </w:rPr>
      </w:pPr>
      <w:r>
        <w:rPr>
          <w:rFonts w:hAnsi="Century Gothic" w:ascii="Century Gothic"/>
        </w:rPr>
        <w:t xml:space="preserve">Računi su zatvoreni.  </w:t>
      </w:r>
    </w:p>
    <w:p w:rsidRDefault="008C15FB" w:rsidP="008C15FB" w:rsidR="008C15FB">
      <w:pPr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Trgovački sud u Bjelovaru, u skraćenom stečajnom postupku nad stečajnim dužnikom MEDI TORANJ d.o.o. Zagreb za medicinsku djelatnost, usluge i trgovinu, Ksaverska </w:t>
      </w:r>
      <w:r>
        <w:rPr>
          <w:rFonts w:cs="Times New Roman" w:eastAsia="Times New Roman" w:hAnsi="Century Gothic" w:ascii="Century Gothic"/>
          <w:lang w:eastAsia="hr-HR"/>
        </w:rPr>
        <w:lastRenderedPageBreak/>
        <w:t xml:space="preserve">cesta 59, MBS: 080753391, OIB: 29683817092, koji je vođen temeljem odredbe čl.430., 431. i 434. Stečajnog zakona, objavio je da na dan 19. rujna 2016. dužnik u Očevidniku redoslijeda osnova za plaćanje ima evidentirane neizvršene osnove za plaćanje u ukupnom iznosu od 8.780,49 kuna, u koji iznos je uračunata kamata i naknada Financijske agencije za provedbu ovrhe na novčanim sredstvima.  </w:t>
      </w:r>
    </w:p>
    <w:p w:rsidRDefault="008C15FB" w:rsidP="008C15FB" w:rsidR="008C15FB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FINA RC Zagreb, Podružnica Zagreb  podnio   je dana 22.  rujna  2016. godine   prijedlog za otvaranje stečajnog postupka nad dužnikom MEDI TORANJ d.o.o. za medicinsku djelatnost, usluge i trgovinu ZAGREB, Ksaverska cesta 59, OIB: 29683817092.</w:t>
      </w:r>
    </w:p>
    <w:p w:rsidRDefault="008C15FB" w:rsidP="008C15FB" w:rsidR="008C15FB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Kako je  predlagatelj  učinio  vjerojatnim postojanje svoje tražbine u skladu s odredbom članka  109. stavak 2. Stečajnog zakona te postojanje stečajnog razloga predviđenog odredbom članka 6. Stečajnog zakona, donijeto je rješenje o pokretanju prethodnog postupka radi utvrđivanja uvjeta za otvaranje stečajnog postupka nad dužnikom dana 11.  kolovoza  2017. godine.</w:t>
      </w:r>
    </w:p>
    <w:p w:rsidRDefault="008C15FB" w:rsidP="008C15FB" w:rsidR="008C15FB">
      <w:pPr>
        <w:rPr>
          <w:rFonts w:hAnsi="Century Gothic" w:ascii="Century Gothic"/>
        </w:rPr>
      </w:pPr>
      <w:r>
        <w:rPr>
          <w:rFonts w:hAnsi="Century Gothic" w:ascii="Century Gothic"/>
        </w:rPr>
        <w:t xml:space="preserve">Rješenjem suda od 19. listopada 2017. godine otvoren je stečajni postupak.  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  <w:color w:val="0070C0"/>
        </w:rPr>
      </w:pPr>
      <w:r>
        <w:rPr>
          <w:rFonts w:hAnsi="Century Gothic" w:ascii="Century Gothic"/>
          <w:color w:val="0070C0"/>
        </w:rPr>
        <w:t xml:space="preserve"> </w:t>
      </w:r>
    </w:p>
    <w:p w:rsidRDefault="008C15FB" w:rsidP="008C15FB" w:rsidR="008C15FB">
      <w:pPr>
        <w:tabs>
          <w:tab w:pos="851" w:val="left"/>
        </w:tabs>
        <w:spacing w:lineRule="auto" w:line="240" w:after="0"/>
        <w:rPr>
          <w:rFonts w:eastAsiaTheme="minorEastAsia" w:cs="Arial" w:hAnsi="Century Gothic" w:ascii="Century Gothic"/>
        </w:rPr>
      </w:pPr>
      <w:r>
        <w:rPr>
          <w:rFonts w:eastAsiaTheme="minorEastAsia" w:hAnsi="Century Gothic" w:ascii="Century Gothic"/>
        </w:rPr>
        <w:t>III</w:t>
      </w:r>
      <w:r>
        <w:rPr>
          <w:rFonts w:eastAsiaTheme="minorEastAsia" w:hAnsi="Century Gothic" w:ascii="Century Gothic"/>
        </w:rPr>
        <w:tab/>
      </w:r>
      <w:r>
        <w:rPr>
          <w:rFonts w:eastAsiaTheme="minorEastAsia" w:hAnsi="Century Gothic" w:ascii="Century Gothic"/>
          <w:color w:val="FF0000"/>
        </w:rPr>
        <w:t xml:space="preserve"> </w:t>
      </w:r>
      <w:r>
        <w:rPr>
          <w:rFonts w:eastAsiaTheme="minorEastAsia" w:cs="Arial" w:hAnsi="Century Gothic" w:ascii="Century Gothic"/>
        </w:rPr>
        <w:t>IZVJEŠĆE O DOSADAŠNJEM TIJEKU STEČAJNOG POSTUPKA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  <w:r>
        <w:rPr>
          <w:rFonts w:eastAsiaTheme="minorEastAsia" w:hAnsi="Century Gothic" w:ascii="Century Gothic"/>
          <w:lang w:val="pl-PL"/>
        </w:rPr>
        <w:t xml:space="preserve">Dužnost  sam preuzeo danom donošenja Rješenja o </w:t>
      </w:r>
      <w:r>
        <w:rPr>
          <w:rFonts w:eastAsiaTheme="minorEastAsia" w:hAnsi="Century Gothic" w:ascii="Century Gothic"/>
        </w:rPr>
        <w:t>otvaranju</w:t>
      </w:r>
      <w:r>
        <w:rPr>
          <w:rFonts w:eastAsiaTheme="minorEastAsia" w:hAnsi="Century Gothic" w:ascii="Century Gothic"/>
          <w:lang w:val="pl-PL"/>
        </w:rPr>
        <w:t xml:space="preserve"> stečajnog  postupka te sam preporučenom poštanskom pošiljkom na adresu osobe zakonskog zastupnika </w:t>
      </w:r>
      <w:r>
        <w:rPr>
          <w:rFonts w:hAnsi="Century Gothic" w:ascii="Century Gothic"/>
        </w:rPr>
        <w:t>iz sudskog registra, dva puta zatražio podatke o financijsko-gospodarskom stanju stečajnog dužnika i raspoloživu dokumentaciju. Pošiljke nisu preuzete niti sam na bilo koji način uspio stupiti u kontakt s bivšim zakonskim zastupnikom stečajnog dužnika.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</w:p>
    <w:p w:rsidRDefault="008C15FB" w:rsidP="008C15FB" w:rsidR="008C15FB">
      <w:pPr>
        <w:spacing w:lineRule="auto" w:line="276"/>
        <w:jc w:val="both"/>
        <w:rPr>
          <w:rFonts w:eastAsiaTheme="minorEastAsia" w:hAnsi="Century Gothic" w:ascii="Century Gothic"/>
          <w:lang w:val="pl-PL"/>
        </w:rPr>
      </w:pPr>
      <w:r>
        <w:rPr>
          <w:rFonts w:hAnsi="Century Gothic" w:ascii="Century Gothic"/>
        </w:rPr>
        <w:t>U dosadašnjem tijeku postupka</w:t>
      </w:r>
      <w:r>
        <w:rPr>
          <w:rFonts w:eastAsiaTheme="minorEastAsia" w:hAnsi="Century Gothic" w:ascii="Century Gothic"/>
          <w:lang w:val="pl-PL"/>
        </w:rPr>
        <w:t xml:space="preserve"> poduzete su slijedeće radnje:</w:t>
      </w:r>
    </w:p>
    <w:p w:rsidRDefault="008C15FB" w:rsidP="008C15FB" w:rsidR="008C15FB">
      <w:pPr>
        <w:numPr>
          <w:ilvl w:val="0"/>
          <w:numId w:val="3"/>
        </w:numPr>
        <w:spacing w:lineRule="auto" w:line="276"/>
        <w:jc w:val="both"/>
        <w:rPr>
          <w:rFonts w:eastAsiaTheme="minorEastAsia" w:hAnsi="Century Gothic" w:ascii="Century Gothic"/>
          <w:lang w:val="pl-PL"/>
        </w:rPr>
      </w:pPr>
      <w:r>
        <w:rPr>
          <w:rFonts w:eastAsiaTheme="minorEastAsia" w:hAnsi="Century Gothic" w:ascii="Century Gothic"/>
          <w:lang w:val="pl-PL"/>
        </w:rPr>
        <w:t xml:space="preserve">izrađen je novi pečat stečajnog dužnika s oznakom „u stečaju“, </w:t>
      </w:r>
    </w:p>
    <w:p w:rsidRDefault="008C15FB" w:rsidP="008C15FB" w:rsidR="008C15FB">
      <w:pPr>
        <w:numPr>
          <w:ilvl w:val="0"/>
          <w:numId w:val="3"/>
        </w:numPr>
        <w:spacing w:lineRule="auto" w:line="276"/>
        <w:jc w:val="both"/>
        <w:rPr>
          <w:rFonts w:eastAsiaTheme="minorEastAsia" w:hAnsi="Century Gothic" w:ascii="Century Gothic"/>
          <w:lang w:val="pl-PL"/>
        </w:rPr>
      </w:pPr>
      <w:r>
        <w:rPr>
          <w:rFonts w:eastAsiaTheme="minorEastAsia" w:cs="Arial" w:hAnsi="Century Gothic" w:ascii="Century Gothic"/>
        </w:rPr>
        <w:t>ishođena je obavijest</w:t>
      </w:r>
      <w:r>
        <w:rPr>
          <w:rFonts w:eastAsiaTheme="minorEastAsia" w:hAnsi="Century Gothic" w:ascii="Century Gothic"/>
          <w:lang w:val="pl-PL"/>
        </w:rPr>
        <w:t xml:space="preserve"> o razvrstavanju poslovnog subjekta kod Državnog zavoda za statistiku,</w:t>
      </w:r>
    </w:p>
    <w:p w:rsidRDefault="008C15FB" w:rsidP="008C15FB" w:rsidR="008C15FB">
      <w:pPr>
        <w:numPr>
          <w:ilvl w:val="0"/>
          <w:numId w:val="3"/>
        </w:numPr>
        <w:spacing w:lineRule="auto" w:line="276"/>
        <w:jc w:val="both"/>
        <w:rPr>
          <w:rFonts w:eastAsiaTheme="minorEastAsia" w:hAnsi="Century Gothic" w:ascii="Century Gothic"/>
          <w:strike/>
          <w:lang w:val="pl-PL"/>
        </w:rPr>
      </w:pPr>
      <w:r>
        <w:rPr>
          <w:rFonts w:eastAsiaTheme="minorEastAsia" w:hAnsi="Century Gothic" w:ascii="Century Gothic"/>
        </w:rPr>
        <w:t xml:space="preserve">zatvoreni su postojeći žiro-računi i otvoren novi žiro-račun Dužnika u stečaju     </w:t>
      </w:r>
      <w:r>
        <w:rPr>
          <w:rFonts w:eastAsiaTheme="minorEastAsia" w:cs="Arial" w:hAnsi="Century Gothic" w:ascii="Century Gothic"/>
          <w:bCs/>
          <w:strike/>
        </w:rPr>
        <w:t xml:space="preserve"> </w:t>
      </w:r>
      <w:r>
        <w:rPr>
          <w:rFonts w:eastAsiaTheme="minorEastAsia" w:hAnsi="Century Gothic" w:ascii="Century Gothic"/>
          <w:strike/>
        </w:rPr>
        <w:t xml:space="preserve">  </w:t>
      </w:r>
    </w:p>
    <w:p w:rsidRDefault="008C15FB" w:rsidP="008C15FB" w:rsidR="008C15FB">
      <w:pPr>
        <w:numPr>
          <w:ilvl w:val="0"/>
          <w:numId w:val="4"/>
        </w:numPr>
        <w:spacing w:lineRule="auto" w:line="276"/>
        <w:jc w:val="both"/>
        <w:rPr>
          <w:rFonts w:eastAsiaTheme="minorEastAsia" w:hAnsi="Century Gothic" w:ascii="Century Gothic"/>
          <w:bCs/>
        </w:rPr>
      </w:pPr>
      <w:r>
        <w:rPr>
          <w:rFonts w:hAnsi="Century Gothic" w:ascii="Century Gothic"/>
        </w:rPr>
        <w:t>zatraženi su podaci o zaposlenima u Hrvatskom zavodu za mirovinsko osiguranje,</w:t>
      </w:r>
    </w:p>
    <w:p w:rsidRDefault="008C15FB" w:rsidP="008C15FB" w:rsidR="008C15FB">
      <w:pPr>
        <w:numPr>
          <w:ilvl w:val="0"/>
          <w:numId w:val="4"/>
        </w:numPr>
        <w:spacing w:lineRule="auto" w:line="276"/>
        <w:jc w:val="both"/>
        <w:rPr>
          <w:rFonts w:eastAsiaTheme="minorEastAsia" w:hAnsi="Century Gothic" w:ascii="Century Gothic"/>
          <w:bCs/>
        </w:rPr>
      </w:pPr>
      <w:r>
        <w:rPr>
          <w:rFonts w:hAnsi="Century Gothic" w:ascii="Century Gothic"/>
        </w:rPr>
        <w:t>pribavljeno je uvjerenje Ministarstva unutarnjih poslova o službenoj evidenciji registracije cestovnih vozila,</w:t>
      </w:r>
    </w:p>
    <w:p w:rsidRDefault="008C15FB" w:rsidP="008C15FB" w:rsidR="008C15FB">
      <w:pPr>
        <w:numPr>
          <w:ilvl w:val="0"/>
          <w:numId w:val="4"/>
        </w:numPr>
        <w:spacing w:lineRule="auto" w:line="276"/>
        <w:jc w:val="both"/>
        <w:rPr>
          <w:rFonts w:eastAsiaTheme="minorEastAsia" w:hAnsi="Century Gothic" w:ascii="Century Gothic"/>
          <w:bCs/>
        </w:rPr>
      </w:pPr>
      <w:r>
        <w:rPr>
          <w:rFonts w:hAnsi="Century Gothic" w:ascii="Century Gothic"/>
        </w:rPr>
        <w:t>pribavljeno je uvjerenje Državne geodetske uprave o službenoj evidenciji nositelja prava na nekretninama,</w:t>
      </w:r>
    </w:p>
    <w:p w:rsidRDefault="008C15FB" w:rsidP="008C15FB" w:rsidR="008C15FB">
      <w:pPr>
        <w:numPr>
          <w:ilvl w:val="0"/>
          <w:numId w:val="4"/>
        </w:numPr>
        <w:spacing w:lineRule="auto" w:line="276"/>
        <w:jc w:val="both"/>
        <w:rPr>
          <w:rFonts w:eastAsiaTheme="minorEastAsia" w:hAnsi="Century Gothic" w:ascii="Century Gothic"/>
          <w:bCs/>
        </w:rPr>
      </w:pPr>
      <w:r>
        <w:rPr>
          <w:rFonts w:eastAsiaTheme="minorEastAsia" w:hAnsi="Century Gothic" w:ascii="Century Gothic"/>
          <w:bCs/>
        </w:rPr>
        <w:t xml:space="preserve">prema raspoloživim podacima iz javnih očevidnika sastavljen je popis  </w:t>
      </w:r>
      <w:r>
        <w:rPr>
          <w:rFonts w:eastAsiaTheme="minorEastAsia" w:hAnsi="Century Gothic" w:ascii="Century Gothic"/>
          <w:lang w:val="pl-PL"/>
        </w:rPr>
        <w:t>predmeta stečajne mase sukladno čl. 221. Stečajnog zakona i sačinjen pregled imovine i obveza sukladno čl. 223. Stečajnog zakona,</w:t>
      </w:r>
    </w:p>
    <w:p w:rsidRDefault="008C15FB" w:rsidP="008C15FB" w:rsidR="008C15FB">
      <w:pPr>
        <w:numPr>
          <w:ilvl w:val="0"/>
          <w:numId w:val="3"/>
        </w:numPr>
        <w:spacing w:lineRule="auto" w:line="276"/>
        <w:rPr>
          <w:rFonts w:eastAsiaTheme="minorEastAsia" w:hAnsi="Century Gothic" w:ascii="Century Gothic"/>
        </w:rPr>
      </w:pPr>
      <w:r>
        <w:rPr>
          <w:rFonts w:eastAsiaTheme="minorEastAsia" w:hAnsi="Century Gothic" w:ascii="Century Gothic"/>
        </w:rPr>
        <w:t>sastavljena je tablica prijavljenih tražbina, razlučnih i izlučnih prava,</w:t>
      </w:r>
    </w:p>
    <w:p w:rsidRDefault="008C15FB" w:rsidP="008C15FB" w:rsidR="008C15FB">
      <w:pPr>
        <w:spacing w:lineRule="auto" w:line="276"/>
        <w:jc w:val="both"/>
        <w:rPr>
          <w:rFonts w:eastAsiaTheme="minorEastAsia" w:hAnsi="Century Gothic" w:ascii="Century Gothic"/>
        </w:rPr>
      </w:pPr>
    </w:p>
    <w:p w:rsidRDefault="008C15FB" w:rsidP="008C15FB" w:rsidR="008C15FB">
      <w:pPr>
        <w:spacing w:lineRule="auto" w:line="288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hAnsi="Century Gothic" w:ascii="Century Gothic"/>
        </w:rPr>
        <w:lastRenderedPageBreak/>
        <w:t xml:space="preserve"> </w:t>
      </w:r>
      <w:r>
        <w:rPr>
          <w:rFonts w:eastAsiaTheme="minorEastAsia" w:cs="Tahoma" w:hAnsi="Century Gothic" w:ascii="Century Gothic"/>
          <w:bCs/>
        </w:rPr>
        <w:t>IV</w:t>
      </w:r>
      <w:r>
        <w:rPr>
          <w:rFonts w:eastAsiaTheme="minorEastAsia" w:cs="Tahoma" w:hAnsi="Century Gothic" w:ascii="Century Gothic"/>
          <w:bCs/>
        </w:rPr>
        <w:tab/>
        <w:t>POSLOVANJE DUŽNIKA</w:t>
      </w:r>
      <w:r>
        <w:rPr>
          <w:rFonts w:eastAsiaTheme="minorEastAsia" w:cs="Tahoma" w:hAnsi="Century Gothic" w:ascii="Century Gothic"/>
          <w:b/>
          <w:bCs/>
          <w:color w:val="0070C0"/>
          <w:sz w:val="21"/>
        </w:rPr>
        <w:t xml:space="preserve"> </w:t>
      </w:r>
      <w:r>
        <w:rPr>
          <w:rFonts w:eastAsiaTheme="minorEastAsia" w:cs="Tahoma" w:hAnsi="Century Gothic" w:ascii="Century Gothic"/>
          <w:bCs/>
        </w:rPr>
        <w:t>- UZROCI STEČAJA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  <w:color w:val="0070C0"/>
        </w:rPr>
      </w:pPr>
      <w:r>
        <w:rPr>
          <w:rFonts w:hAnsi="Century Gothic" w:ascii="Century Gothic"/>
        </w:rPr>
        <w:t>Prema dostupnoj dokumentaciji stečajni dužnik nije registriran kao obveznik u Hrvatskom zavodu za mirovinsko osiguranje jer nikada nije imao zaposlenih radnika</w:t>
      </w:r>
      <w:r>
        <w:rPr>
          <w:rFonts w:hAnsi="Century Gothic" w:ascii="Century Gothic"/>
          <w:color w:val="0070C0"/>
        </w:rPr>
        <w:t xml:space="preserve">.  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U periodu od 2012. do 2016. godine stečajni dužnik je ostvario ukupne prihode u iznosu od 10.300,00 kuna, što upućuje na zaključak da nije obavljao poslovne aktivnosti.  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U nastavku je sažetak osnovnih pokazatelja poslovanja stečajnog dužnika po godinama, nedostaje samo prikaz godine u kojoj je stečajni dužnik osnovan.  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noProof/>
          <w:lang w:eastAsia="hr-HR"/>
        </w:rPr>
        <w:drawing>
          <wp:inline distR="0" distL="0" distB="0" distT="0">
            <wp:extent cy="4067175" cx="5765165"/>
            <wp:effectExtent b="9525" r="6985" t="0" l="0"/>
            <wp:docPr descr="IMG_4138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G_4138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67175" cx="576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Na računima i novčanim sredstvima na dan 19. listopada 2017. godine evidentirano je 515 dana neprekidne blokade zbog nepodmirenih osnova za plaćanje evidentiranih u Očevidniku redoslijeda osnova za plaćanje. 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Nepodmirene obveze po evidentiranim a neizvršenim osnovama za plaćanje iznose 911.483,69 kn.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pStyle w:val="Bezproreda"/>
        <w:jc w:val="both"/>
        <w:rPr>
          <w:rFonts w:cs="Tahoma" w:hAnsi="Century Gothic" w:ascii="Century Gothic"/>
        </w:rPr>
      </w:pPr>
      <w:r>
        <w:rPr>
          <w:rFonts w:cs="Times New Roman" w:eastAsia="Times New Roman" w:hAnsi="Century Gothic" w:ascii="Century Gothic"/>
          <w:lang w:eastAsia="hr-HR"/>
        </w:rPr>
        <w:t xml:space="preserve">Detaljnijim pregledom podataka objavljenih na stranicama </w:t>
      </w:r>
      <w:r>
        <w:rPr>
          <w:rFonts w:cs="Tahoma" w:hAnsi="Century Gothic" w:ascii="Century Gothic"/>
        </w:rPr>
        <w:t>portala Poslovna Hrvatska te provjerom na stranicama sudskog registra Ministarstva pravosuđa, utvrđeno je da je jedan od osnivača/članova društva stečajnog dužnika PORIN 19 d.o.o. za proizvodnju i trgovinu iz Zagreba, Ksaverska cesta 59, brisan iz sudskog registra dana 27. srpnja 2012. godine rješenjem Trgovačkog suda u Zagrebu Tt-11/13782-1 od 03. srpnja 2012. godine.</w:t>
      </w:r>
    </w:p>
    <w:p w:rsidRDefault="008C15FB" w:rsidP="008C15FB" w:rsidR="008C15FB">
      <w:pPr>
        <w:pStyle w:val="Bezproreda"/>
        <w:jc w:val="both"/>
        <w:rPr>
          <w:rFonts w:cs="Tahoma" w:hAnsi="Century Gothic" w:ascii="Century Gothic"/>
        </w:rPr>
      </w:pPr>
    </w:p>
    <w:p w:rsidRDefault="008C15FB" w:rsidP="008C15FB" w:rsidR="008C15FB">
      <w:pPr>
        <w:pStyle w:val="Bezproreda"/>
        <w:jc w:val="both"/>
        <w:rPr>
          <w:rFonts w:cs="Tahoma" w:hAnsi="Century Gothic" w:ascii="Century Gothic"/>
        </w:rPr>
      </w:pPr>
      <w:r>
        <w:rPr>
          <w:rFonts w:cs="Tahoma" w:hAnsi="Century Gothic" w:ascii="Century Gothic"/>
        </w:rPr>
        <w:t>Daljnjim provjerama utvrđeno je da je zakonski zastupnik stečajnog dužnika, direktor Alan Vlatko Ivanišević preminuo dana 23. kolovoza 2016. godine.</w:t>
      </w:r>
    </w:p>
    <w:p w:rsidRDefault="008C15FB" w:rsidP="008C15FB" w:rsidR="008C15FB">
      <w:pPr>
        <w:pStyle w:val="Bezproreda"/>
        <w:jc w:val="both"/>
        <w:rPr>
          <w:rFonts w:cs="Tahoma" w:hAnsi="Century Gothic" w:ascii="Century Gothic"/>
        </w:rPr>
      </w:pPr>
    </w:p>
    <w:p w:rsidRDefault="008C15FB" w:rsidP="008C15FB" w:rsidR="008C15FB">
      <w:pPr>
        <w:pStyle w:val="Bezproreda"/>
        <w:jc w:val="both"/>
        <w:rPr>
          <w:rFonts w:cs="Tahoma" w:hAnsi="Century Gothic" w:ascii="Century Gothic"/>
        </w:rPr>
      </w:pPr>
    </w:p>
    <w:p w:rsidRDefault="008C15FB" w:rsidP="008C15FB" w:rsidR="008C15FB">
      <w:pPr>
        <w:pStyle w:val="Bezproreda"/>
        <w:jc w:val="both"/>
        <w:rPr>
          <w:rFonts w:cs="Tahoma" w:hAnsi="Century Gothic" w:ascii="Century Gothic"/>
        </w:rPr>
      </w:pP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ahoma" w:hAnsi="Century Gothic" w:ascii="Century Gothic"/>
        </w:rPr>
        <w:t xml:space="preserve">Sudbina drugog člana/osnivača društva, </w:t>
      </w:r>
      <w:r>
        <w:rPr>
          <w:rFonts w:hAnsi="Century Gothic" w:ascii="Century Gothic"/>
          <w:noProof/>
        </w:rPr>
        <w:t>Anđelka Jovanović iz Zagreba, Zagorska 12, OIB: 84566935591, nepoznata je.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Uvažavajući navedeno, upitno je tko je i s kojim ovlaštenjima i odgovornostima podnio financijska izvješća za 2016. godinu te koliko su točni podaci koji su u izvješćima objavljeni.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color w:themeShade="BF" w:themeColor="accent2" w:val="943634"/>
          <w:lang w:eastAsia="hr-HR"/>
        </w:rPr>
      </w:pPr>
    </w:p>
    <w:p w:rsidRDefault="008C15FB" w:rsidP="008C15FB" w:rsidR="008C15FB">
      <w:pPr>
        <w:spacing w:lineRule="auto" w:line="288"/>
        <w:jc w:val="both"/>
        <w:rPr>
          <w:rFonts w:eastAsiaTheme="minorEastAsia" w:cs="Tahoma" w:hAnsi="Century Gothic" w:ascii="Century Gothic"/>
          <w:lang w:val="pl-PL"/>
        </w:rPr>
      </w:pPr>
      <w:r>
        <w:rPr>
          <w:rFonts w:eastAsiaTheme="minorEastAsia" w:cs="Tahoma" w:hAnsi="Century Gothic" w:ascii="Century Gothic"/>
          <w:lang w:val="pl-PL"/>
        </w:rPr>
        <w:t>V</w:t>
      </w:r>
      <w:r>
        <w:rPr>
          <w:rFonts w:eastAsiaTheme="minorEastAsia" w:cs="Tahoma" w:hAnsi="Century Gothic" w:ascii="Century Gothic"/>
          <w:lang w:val="pl-PL"/>
        </w:rPr>
        <w:tab/>
        <w:t>STANJE STEČAJNE MASE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Stanje stečajne mase stečajni upravitelj je utvrdio uvidom u podatke iz Javne objave Financijske agencije, podatke portala Poslovna Hr., Zemljišnoknjižnog odjela Općinskog suda u Zadru, podacima MUP-a te Porezne uprave.  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  <w:color w:val="0070C0"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FINANCIJSKA IZVJEŠĆA  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 </w:t>
      </w:r>
    </w:p>
    <w:p w:rsidRDefault="008C15FB" w:rsidP="008C15FB" w:rsidR="008C15FB">
      <w:pPr>
        <w:spacing w:lineRule="auto" w:line="288"/>
        <w:jc w:val="both"/>
        <w:rPr>
          <w:rFonts w:hAnsi="Century Gothic" w:ascii="Century Gothic"/>
          <w:color w:val="0070C0"/>
        </w:rPr>
      </w:pPr>
      <w:r>
        <w:rPr>
          <w:rFonts w:hAnsi="Century Gothic" w:ascii="Century Gothic"/>
        </w:rPr>
        <w:t xml:space="preserve">Prema zadnjim financijskim izviješćima koja su predana Poreznoj upravi sa stanjem na dan od 31.12.2016. godine </w:t>
      </w:r>
      <w:r>
        <w:rPr>
          <w:rFonts w:cs="Times New Roman" w:eastAsia="Times New Roman" w:hAnsi="Century Gothic" w:ascii="Century Gothic"/>
          <w:lang w:eastAsia="hr-HR"/>
        </w:rPr>
        <w:t>iskazano je slijedeće stanje aktive i pasive: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</w:p>
    <w:tbl>
      <w:tblPr>
        <w:tblStyle w:val="TableGrid"/>
        <w:tblW w:type="dxa" w:w="9072"/>
        <w:tblInd w:type="dxa" w:w="-3"/>
        <w:tblCellMar>
          <w:top w:type="dxa" w:w="29"/>
          <w:left w:type="dxa" w:w="39"/>
          <w:right w:type="dxa" w:w="30"/>
        </w:tblCellMar>
        <w:tblLook w:val="04A0" w:noVBand="1" w:noHBand="0" w:lastColumn="0" w:firstColumn="1" w:lastRow="0" w:firstRow="1"/>
      </w:tblPr>
      <w:tblGrid>
        <w:gridCol w:w="851"/>
        <w:gridCol w:w="5346"/>
        <w:gridCol w:w="2875"/>
      </w:tblGrid>
      <w:tr w:rsidTr="008C15FB" w:rsidR="008C15FB">
        <w:trPr>
          <w:trHeight w:val="746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  <w:t>red.</w:t>
            </w:r>
          </w:p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  <w:t>br.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left="-36"/>
              <w:jc w:val="center"/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  <w:t>Knjigovodstvena vrijednost 31.12.2016.</w:t>
            </w:r>
          </w:p>
        </w:tc>
      </w:tr>
      <w:tr w:rsidTr="008C15FB" w:rsidR="008C15FB">
        <w:trPr>
          <w:trHeight w:val="374"/>
        </w:trPr>
        <w:tc>
          <w:tcPr>
            <w:tcW w:type="dxa" w:w="9072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            </w:t>
            </w:r>
            <w:r>
              <w:rPr>
                <w:rFonts w:cs="Times New Roman" w:eastAsia="Times New Roman" w:hAnsi="Century Gothic" w:ascii="Century Gothic"/>
                <w:b/>
                <w:lang w:eastAsia="hr-HR"/>
              </w:rPr>
              <w:t>dugotrajna imovina (u kn)</w:t>
            </w:r>
          </w:p>
        </w:tc>
      </w:tr>
      <w:tr w:rsidTr="008C15FB" w:rsidR="008C15FB">
        <w:trPr>
          <w:trHeight w:val="374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l.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zemljište  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tabs>
                <w:tab w:pos="2180" w:val="left"/>
              </w:tabs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       0,00</w:t>
            </w:r>
          </w:p>
        </w:tc>
      </w:tr>
      <w:tr w:rsidTr="008C15FB" w:rsidR="008C15FB">
        <w:trPr>
          <w:trHeight w:val="407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2.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građevinski objekti 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       0,00</w:t>
            </w:r>
          </w:p>
        </w:tc>
      </w:tr>
      <w:tr w:rsidTr="008C15FB" w:rsidR="008C15FB">
        <w:trPr>
          <w:trHeight w:val="374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3.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alati, pogonski inventar i transportna imovina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      0,00</w:t>
            </w:r>
          </w:p>
        </w:tc>
      </w:tr>
      <w:tr w:rsidTr="008C15FB" w:rsidR="008C15FB">
        <w:trPr>
          <w:trHeight w:val="374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4.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materijalna imovina u pripremi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      0,00</w:t>
            </w:r>
          </w:p>
        </w:tc>
      </w:tr>
      <w:tr w:rsidTr="008C15FB" w:rsidR="008C15FB">
        <w:trPr>
          <w:trHeight w:val="373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5.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potraživanja od povezanih poduzetnika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tabs>
                <w:tab w:pos="1982" w:val="left"/>
              </w:tabs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      0,00</w:t>
            </w:r>
          </w:p>
        </w:tc>
      </w:tr>
      <w:tr w:rsidTr="008C15FB" w:rsidR="008C15FB">
        <w:trPr>
          <w:trHeight w:val="374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6.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potraživanja od kupaca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tabs>
                <w:tab w:pos="1982" w:val="left"/>
              </w:tabs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       0,00</w:t>
            </w:r>
          </w:p>
        </w:tc>
      </w:tr>
      <w:tr w:rsidTr="008C15FB" w:rsidR="008C15FB">
        <w:trPr>
          <w:trHeight w:val="607"/>
        </w:trPr>
        <w:tc>
          <w:tcPr>
            <w:tcW w:type="dxa" w:w="9072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            </w:t>
            </w:r>
          </w:p>
          <w:p w:rsidRDefault="008C15FB" w:rsidR="008C15FB">
            <w:pPr>
              <w:pStyle w:val="Bezproreda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b/>
                <w:lang w:eastAsia="hr-HR"/>
              </w:rPr>
              <w:t xml:space="preserve">                  kratkotrajna imovina (u kn)</w:t>
            </w:r>
          </w:p>
        </w:tc>
      </w:tr>
      <w:tr w:rsidTr="008C15FB" w:rsidR="008C15FB">
        <w:trPr>
          <w:trHeight w:val="473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7.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zalihe trgovačke robe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1.003.600,00</w:t>
            </w:r>
          </w:p>
        </w:tc>
      </w:tr>
      <w:tr w:rsidTr="008C15FB" w:rsidR="008C15FB">
        <w:trPr>
          <w:trHeight w:val="394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8.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noProof/>
                <w:lang w:eastAsia="hr-HR"/>
              </w:rPr>
              <w:t>potraživanja od države i drugih institucija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 2.100,00</w:t>
            </w:r>
          </w:p>
        </w:tc>
      </w:tr>
      <w:tr w:rsidTr="008C15FB" w:rsidR="008C15FB">
        <w:trPr>
          <w:trHeight w:val="375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9.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ostala potraživanja 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 8.500,00</w:t>
            </w:r>
          </w:p>
        </w:tc>
      </w:tr>
      <w:tr w:rsidTr="008C15FB" w:rsidR="008C15FB">
        <w:trPr>
          <w:trHeight w:val="373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jc w:val="both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b/>
                <w:lang w:eastAsia="hr-HR"/>
              </w:rPr>
              <w:t>IMOVINA (r.br. 1+2+3+4+5+6+7+8+9)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tabs>
                <w:tab w:pos="1790" w:val="left"/>
              </w:tabs>
              <w:jc w:val="center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b/>
                <w:lang w:eastAsia="hr-HR"/>
              </w:rPr>
              <w:t>1.014.200,00</w:t>
            </w:r>
          </w:p>
        </w:tc>
      </w:tr>
      <w:tr w:rsidTr="008C15FB" w:rsidR="008C15FB">
        <w:trPr>
          <w:trHeight w:val="379"/>
        </w:trPr>
        <w:tc>
          <w:tcPr>
            <w:tcW w:type="dxa" w:w="9072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b/>
                <w:lang w:eastAsia="hr-HR"/>
              </w:rPr>
              <w:t xml:space="preserve">                  dugoročne obveze (u kn)</w:t>
            </w:r>
          </w:p>
        </w:tc>
      </w:tr>
      <w:tr w:rsidTr="008C15FB" w:rsidR="008C15FB">
        <w:trPr>
          <w:trHeight w:val="379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1.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obveze za zajmove, depozite i slično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85.700,00</w:t>
            </w:r>
          </w:p>
        </w:tc>
      </w:tr>
      <w:tr w:rsidTr="008C15FB" w:rsidR="008C15FB">
        <w:trPr>
          <w:trHeight w:val="380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2.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 w:left="-44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obveze prema bankama i drugim financijskim</w:t>
            </w:r>
          </w:p>
          <w:p w:rsidRDefault="008C15FB" w:rsidR="008C15FB">
            <w:pPr>
              <w:pStyle w:val="Bezproreda"/>
              <w:ind w:firstLine="288" w:left="-44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lastRenderedPageBreak/>
              <w:t xml:space="preserve"> institucijama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lastRenderedPageBreak/>
              <w:t xml:space="preserve">             0,00</w:t>
            </w:r>
          </w:p>
        </w:tc>
      </w:tr>
      <w:tr w:rsidTr="008C15FB" w:rsidR="008C15FB">
        <w:trPr>
          <w:trHeight w:val="380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 w:left="-44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obveze za predujmove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tabs>
                <w:tab w:pos="2030" w:val="left"/>
              </w:tabs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       0,00</w:t>
            </w:r>
          </w:p>
        </w:tc>
      </w:tr>
      <w:tr w:rsidTr="008C15FB" w:rsidR="008C15FB">
        <w:trPr>
          <w:trHeight w:val="382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3.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noProof/>
                <w:lang w:eastAsia="hr-HR"/>
              </w:rPr>
              <w:t>obveze prema dobavljačima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tabs>
                <w:tab w:pos="2020" w:val="left"/>
              </w:tabs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       0,00</w:t>
            </w:r>
          </w:p>
        </w:tc>
      </w:tr>
      <w:tr w:rsidTr="008C15FB" w:rsidR="008C15FB">
        <w:trPr>
          <w:trHeight w:val="382"/>
        </w:trPr>
        <w:tc>
          <w:tcPr>
            <w:tcW w:type="dxa" w:w="9072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b/>
                <w:lang w:eastAsia="hr-HR"/>
              </w:rPr>
              <w:t xml:space="preserve">                  kratkoročne obveze (u kn)</w:t>
            </w:r>
          </w:p>
        </w:tc>
      </w:tr>
      <w:tr w:rsidTr="008C15FB" w:rsidR="008C15FB">
        <w:trPr>
          <w:trHeight w:val="382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4.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obveze za zajmove, depozite i slično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tabs>
                <w:tab w:pos="2030" w:val="left"/>
              </w:tabs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220.500,00</w:t>
            </w:r>
          </w:p>
        </w:tc>
      </w:tr>
      <w:tr w:rsidTr="008C15FB" w:rsidR="008C15FB">
        <w:trPr>
          <w:trHeight w:val="382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5.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88" w:left="-44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obveze prema bankama i drugim financijskim</w:t>
            </w:r>
          </w:p>
          <w:p w:rsidRDefault="008C15FB" w:rsidR="008C15FB">
            <w:pPr>
              <w:pStyle w:val="Bezproreda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institucijama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851.800,00</w:t>
            </w:r>
          </w:p>
        </w:tc>
      </w:tr>
      <w:tr w:rsidTr="008C15FB" w:rsidR="008C15FB">
        <w:trPr>
          <w:trHeight w:val="382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6.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obveze prema zaposlenicima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       0,00</w:t>
            </w:r>
          </w:p>
        </w:tc>
      </w:tr>
      <w:tr w:rsidTr="008C15FB" w:rsidR="008C15FB">
        <w:trPr>
          <w:trHeight w:val="370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7.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obveze za poreze, doprinose i slična davanja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4.500,00</w:t>
            </w:r>
          </w:p>
        </w:tc>
      </w:tr>
      <w:tr w:rsidTr="008C15FB" w:rsidR="008C15FB">
        <w:trPr>
          <w:trHeight w:val="379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center"/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8.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ostale kratkoročne obveze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tabs>
                <w:tab w:pos="2010" w:val="left"/>
              </w:tabs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18.800,00</w:t>
            </w:r>
          </w:p>
        </w:tc>
      </w:tr>
      <w:tr w:rsidTr="008C15FB" w:rsidR="008C15FB">
        <w:trPr>
          <w:trHeight w:val="379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center"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jc w:val="both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b/>
                <w:lang w:eastAsia="hr-HR"/>
              </w:rPr>
              <w:t>OBVEZE ( r.br. 1+2+3+4+5+6+7+8)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b/>
                <w:lang w:eastAsia="hr-HR"/>
              </w:rPr>
              <w:t>1.181.300,00</w:t>
            </w:r>
          </w:p>
        </w:tc>
      </w:tr>
      <w:tr w:rsidTr="008C15FB" w:rsidR="008C15FB">
        <w:trPr>
          <w:trHeight w:val="377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8C15FB" w:rsidR="008C15FB">
            <w:pPr>
              <w:pStyle w:val="Bezproreda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jc w:val="both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b/>
                <w:noProof/>
                <w:lang w:eastAsia="hr-HR"/>
              </w:rPr>
              <w:t>RAZLIKA IMOVINE I OBVEZA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b/>
                <w:lang w:eastAsia="hr-HR"/>
              </w:rPr>
              <w:t xml:space="preserve">     167.100,00</w:t>
            </w:r>
          </w:p>
        </w:tc>
      </w:tr>
    </w:tbl>
    <w:p w:rsidRDefault="008C15FB" w:rsidP="008C15FB" w:rsidR="008C15FB">
      <w:pPr>
        <w:spacing w:lineRule="auto" w:line="288"/>
        <w:jc w:val="both"/>
        <w:rPr>
          <w:rFonts w:hAnsi="Century Gothic" w:ascii="Century Gothic"/>
          <w:color w:val="0070C0"/>
        </w:rPr>
      </w:pPr>
    </w:p>
    <w:p w:rsidRDefault="008C15FB" w:rsidP="008C15FB" w:rsidR="008C15FB">
      <w:pPr>
        <w:jc w:val="both"/>
        <w:rPr>
          <w:rFonts w:cs="Calibri" w:eastAsia="Times New Roman" w:hAnsi="Century Gothic" w:ascii="Century Gothic"/>
          <w:lang w:eastAsia="hr-HR"/>
        </w:rPr>
      </w:pPr>
      <w:r>
        <w:rPr>
          <w:rFonts w:hAnsi="Century Gothic" w:ascii="Century Gothic"/>
        </w:rPr>
        <w:t xml:space="preserve">Društvo je na dan 31.12.2016. godine poslovalo s gubitkom  poslovne godine  u iznosu -   </w:t>
      </w:r>
      <w:r>
        <w:rPr>
          <w:rFonts w:cs="Calibri" w:eastAsia="Times New Roman" w:hAnsi="Century Gothic" w:ascii="Century Gothic"/>
          <w:lang w:eastAsia="hr-HR"/>
        </w:rPr>
        <w:t xml:space="preserve">60.700,00 </w:t>
      </w:r>
      <w:r>
        <w:rPr>
          <w:rFonts w:hAnsi="Century Gothic" w:ascii="Century Gothic"/>
        </w:rPr>
        <w:t xml:space="preserve">kn, dok je preneseni gubitak -152.200,00 kuna.  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Po izvršenoj analizi prikupljene dokumentacije te evidentiranog stanja imovine i obveza, prijavljenih tražbina vjerovnika, utvrđenog popisa vjerovnika i potraživanja te izvršene procjene mogućnosti naplate potraživanja, izrađen je popis imovine i obveza kako slijedi:</w:t>
      </w:r>
    </w:p>
    <w:p w:rsidRDefault="008C15FB" w:rsidP="008C15FB" w:rsidR="008C15FB">
      <w:pPr>
        <w:pStyle w:val="Bezproreda"/>
        <w:rPr>
          <w:rFonts w:hAnsi="Century Gothic" w:ascii="Century Gothic"/>
        </w:rPr>
      </w:pPr>
    </w:p>
    <w:p w:rsidRDefault="008C15FB" w:rsidP="008C15FB" w:rsidR="008C15FB">
      <w:pPr>
        <w:pStyle w:val="Bezproreda"/>
        <w:rPr>
          <w:rFonts w:hAnsi="Century Gothic" w:ascii="Century Gothic"/>
        </w:rPr>
      </w:pPr>
      <w:r>
        <w:rPr>
          <w:rFonts w:hAnsi="Century Gothic" w:ascii="Century Gothic"/>
        </w:rPr>
        <w:t>POPIS IMOVINE I OBVEZA</w:t>
      </w:r>
    </w:p>
    <w:p w:rsidRDefault="008C15FB" w:rsidP="008C15FB" w:rsidR="008C15FB">
      <w:pPr>
        <w:pStyle w:val="Bezproreda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pStyle w:val="Bezproreda"/>
        <w:numPr>
          <w:ilvl w:val="0"/>
          <w:numId w:val="5"/>
        </w:numPr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IMOVINA DUŽNIKA</w:t>
      </w:r>
    </w:p>
    <w:p w:rsidRDefault="008C15FB" w:rsidP="008C15FB" w:rsidR="008C15FB">
      <w:pPr>
        <w:pStyle w:val="Bezproreda"/>
        <w:rPr>
          <w:rFonts w:cs="Times New Roman" w:eastAsia="Times New Roman" w:hAnsi="Century Gothic" w:ascii="Century Gothic"/>
          <w:color w:themeShade="BF" w:themeColor="accent2" w:val="943634"/>
          <w:lang w:eastAsia="hr-HR"/>
        </w:rPr>
      </w:pP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Imovina dužnika iskazana u bilanci sa stanjem na 31. prosinca 2016. godine odnosi se na:</w:t>
      </w:r>
    </w:p>
    <w:p w:rsidRDefault="008C15FB" w:rsidP="008C15FB" w:rsidR="008C15FB">
      <w:pPr>
        <w:pStyle w:val="Bezproreda"/>
        <w:numPr>
          <w:ilvl w:val="0"/>
          <w:numId w:val="6"/>
        </w:numPr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potraživanja u iznosu od 10.600,00 kuna, </w:t>
      </w:r>
    </w:p>
    <w:p w:rsidRDefault="008C15FB" w:rsidP="008C15FB" w:rsidR="008C15FB">
      <w:pPr>
        <w:pStyle w:val="Bezproreda"/>
        <w:numPr>
          <w:ilvl w:val="0"/>
          <w:numId w:val="6"/>
        </w:numPr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zalihe trgovačke robe na pozicijama kratkotrajne imovine u vrijednosti </w:t>
      </w:r>
      <w:r>
        <w:rPr>
          <w:rFonts w:cs="Times New Roman" w:eastAsia="Times New Roman" w:hAnsi="Century Gothic" w:ascii="Century Gothic"/>
        </w:rPr>
        <w:t xml:space="preserve">1.003.600,00 kuna.  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  <w:color w:val="0070C0"/>
        </w:rPr>
      </w:pP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Zbog naprijed iznesenih razloga, stečajni upravitelj ne raspolaže podacima o  osnovanosti potraživanja, dužnicima ni mogućnosti naplate.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  <w:noProof/>
        </w:rPr>
      </w:pPr>
      <w:r>
        <w:rPr>
          <w:rFonts w:cs="Times New Roman" w:eastAsia="Times New Roman" w:hAnsi="Century Gothic" w:ascii="Century Gothic"/>
          <w:lang w:eastAsia="hr-HR"/>
        </w:rPr>
        <w:t xml:space="preserve">Glede zaliha trgovačke robe, uvažavajući činjenicu da je </w:t>
      </w:r>
      <w:r>
        <w:rPr>
          <w:rFonts w:hAnsi="Century Gothic" w:ascii="Century Gothic"/>
        </w:rPr>
        <w:t xml:space="preserve">Državni zavod za statistiku razvrstao društvo pod šifrom djelatnosti koja označava </w:t>
      </w:r>
      <w:r>
        <w:rPr>
          <w:rFonts w:cs="Times New Roman" w:eastAsia="Times New Roman" w:hAnsi="Century Gothic" w:ascii="Century Gothic"/>
          <w:lang w:eastAsia="hr-HR"/>
        </w:rPr>
        <w:t>gradnju stambenih i nestambenih zgrada, za pretpostaviti je da se zalihe trgovačke robe odnose na</w:t>
      </w:r>
      <w:r>
        <w:rPr>
          <w:rFonts w:hAnsi="Century Gothic" w:ascii="Century Gothic"/>
          <w:noProof/>
        </w:rPr>
        <w:t xml:space="preserve"> djelatnosti vezane za poslovanje nekretninama i/ili posredovanje u prometu nekretnina.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  <w:noProof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Prema Uvjerenju Državne geodetske uprave o službenoj evidenciji nositelja prava na nekretninama koja se odnosi na područje Republike Hrvatske Klasa: 932-01/17-02/16687, Urbroj: 541-04-05-01/4-17-2 od 13.11.2017. godine stečajni dužnik je upisan u katastarski operat u pl.br. 2636, k.o. ZADAR, MBR.335193, odnosno  </w:t>
      </w:r>
      <w:r>
        <w:rPr>
          <w:rFonts w:cs="Times New Roman" w:eastAsia="Times New Roman" w:hAnsi="Century Gothic" w:ascii="Century Gothic"/>
          <w:lang w:eastAsia="hr-HR"/>
        </w:rPr>
        <w:t xml:space="preserve">zemljišne knjige koje vodi Općinski sud u  Zadru, Zemljišno knjižni odjel, u zk. ul. br. 7395 k.o. Zadar, </w:t>
      </w:r>
      <w:r>
        <w:rPr>
          <w:rFonts w:cs="Times New Roman" w:eastAsia="Times New Roman" w:hAnsi="Century Gothic" w:ascii="Century Gothic"/>
          <w:lang w:eastAsia="hr-HR"/>
        </w:rPr>
        <w:lastRenderedPageBreak/>
        <w:t>čkbr. 1803/2 kuća, garaža i dvor 522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dvor 349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kuća 138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zemljišta pod zgradom 35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kao vlasnik nekretnine u cijelosti, a koje vlasništvo je neodvojivo povezano s vlasništvom posebnih dijelova nekretnine</w:t>
      </w:r>
      <w:r>
        <w:rPr>
          <w:rFonts w:hAnsi="Century Gothic" w:ascii="Century Gothic"/>
        </w:rPr>
        <w:t xml:space="preserve"> kako slijedi:  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</w:p>
    <w:p w:rsidRDefault="008C15FB" w:rsidP="008C15FB" w:rsidR="008C15FB">
      <w:pPr>
        <w:pStyle w:val="Bezproreda"/>
        <w:ind w:firstLine="708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- 5. suvlasnički dio: 291/1000 etažno vlasništvo (E-1) etažna jedinica oznake "S1"-stambeni prostor koji se nalazi u suterenu a sastoji se od ulaznog prostora, kuhinje s blagovaonicom i dnevnim boravkom, kupaonice i dvije spavaće sobe ukupne korisne površine 102,97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a korisne vrijednosti površine 102,97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. Sporedni dio stana "S1" je spremište korisne površine 2,55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 a korisne vrijednosti površine 0,89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. Ukupna korisna površina stambenog prostora "S1" i sporednog dijela je 105,52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a ukupna korisna vrijednost površina je 103,86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u grafičkom dijelu elaborata označeno crvenom bojom;</w:t>
      </w:r>
    </w:p>
    <w:p w:rsidRDefault="008C15FB" w:rsidP="008C15FB" w:rsidR="008C15FB">
      <w:pPr>
        <w:pStyle w:val="Bezproreda"/>
        <w:ind w:firstLine="708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 </w:t>
      </w:r>
    </w:p>
    <w:p w:rsidRDefault="008C15FB" w:rsidP="008C15FB" w:rsidR="008C15FB">
      <w:pPr>
        <w:pStyle w:val="Bezproreda"/>
        <w:ind w:firstLine="708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- 6. suvlasnički dio: 300/1000 etažno vlasništvo (E-2) etažna jedinica oznake "S2"-stambeni prostor koji se nalazi u prizemlju i suterenu zgrade, a sastoji se u  prizemlju od ulaznog prostora s garderobom, kuhinjom s blagovaonicom i dnevnim boravkom, kupaonice i dvije spavaće sobe, korisne površine 81,44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a korisne vrijednosti površine 81,44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. Sporedni dio stana "S2" u suterenu je garaža, korisne površine 20,37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a korisne vrijednosti površine 10,19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u prizemlju natkriveni i nenatkriveni dio terase, korisne površine 46,58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a korisne vrijednosti površine 15,11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. Ukupna korisna površina stambenog prostora "S2" i sporednog dijela je 148,39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 xml:space="preserve"> a ukupna korisna vrijednost površina je 106,73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u grafičkom dijelu elaborata označeno zelenom bojom;</w:t>
      </w:r>
    </w:p>
    <w:p w:rsidRDefault="008C15FB" w:rsidP="008C15FB" w:rsidR="008C15FB">
      <w:pPr>
        <w:pStyle w:val="Bezproreda"/>
        <w:ind w:firstLine="708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pStyle w:val="Bezproreda"/>
        <w:ind w:firstLine="708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- 7. suvlasnički dio: 249/1000 etažno vlasništvo (E-3) etažno jedinica oznake "S3" –stambeni prostor koji se nalazi na prvom katu zgrade, a sastoji se od ulaznog prostora s garderobom, kuhinje s blagovaonicom i dnevnim boravkom, kupaonice i dvije spavaće sobe, korisne površine 81,44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a korisne vrijednosti površine 81,44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. Sporedni dio stana "S3" je natkrivena terasa, korisne površine 14,66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a korisne vrijednosti površine 7,33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. Ukupna korisna površina stambenog prostora "S3" i sporednog dijela je 96,10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a ukupna korisna vrijednost površina je 88,77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u grafičkom dijelu elaborata označeno plavom bojom;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pStyle w:val="Bezproreda"/>
        <w:ind w:firstLine="708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- 8. suvlasnički dio 160/1000 etažno vlasništvo (E-4) etažna jedinica oznake "S4" – stambeni prostor koji se nalazi na drugom katu, a sastoji se od kuhinje s  blagovaonicom i dnevnim boravkom, spavaće sobe, kupaonice, korisne površine 34,46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a korisne vrijednosti površine 34,20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. Sporedni dio stana "S4" su natkriveni i nenatkriveni dijelovi terase, korisne površine 71,55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a korisne vrijednosti površine 22,80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. Ukupna korisna površina stambenog prostora "S4" i sporednog dijela je 106,01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a ukupna korisna vrijednost površina je 57,00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>, u grafičkom dijelu elaborata označeno narančastom bojom.</w:t>
      </w:r>
    </w:p>
    <w:p w:rsidRDefault="008C15FB" w:rsidP="008C15FB" w:rsidR="008C15FB">
      <w:pPr>
        <w:pStyle w:val="Bezproreda"/>
        <w:ind w:firstLine="708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 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  <w:lang w:eastAsia="hr-HR"/>
        </w:rPr>
      </w:pPr>
      <w:r>
        <w:rPr>
          <w:rFonts w:hAnsi="Century Gothic" w:ascii="Century Gothic"/>
          <w:lang w:eastAsia="hr-HR"/>
        </w:rPr>
        <w:t>Uvidom u povijesni izvadak iz zemljišne knjige utvrđeno je da se radi o nekretnini     sagrađenoj temeljem Rješenja o odobrenju za građenje izdanog kod Odjela za komunalne poslove, urbanizam i građevinarstvo Skupštine općine Zadar dana 13. veljače 1968. g. broj UP/I-266/1968 i ima uporabnu dozvolu.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  <w:lang w:eastAsia="hr-HR"/>
        </w:rPr>
      </w:pPr>
      <w:r>
        <w:rPr>
          <w:rFonts w:eastAsiaTheme="minorEastAsia" w:cs="Tahoma" w:hAnsi="Century Gothic" w:ascii="Century Gothic"/>
          <w:bCs/>
        </w:rPr>
        <w:t xml:space="preserve">Ukoliko su ove nekretnine knjižene na pozicijama zaliha trgovačke robe, mišljenja sam da je iznos od </w:t>
      </w:r>
      <w:r>
        <w:rPr>
          <w:rFonts w:hAnsi="Century Gothic" w:ascii="Century Gothic"/>
        </w:rPr>
        <w:t>1.003.600,00 kuna značajno niži od stvarne vrijednosti nekretnine jer se radi o ukupno 356 m</w:t>
      </w:r>
      <w:r>
        <w:rPr>
          <w:rFonts w:hAnsi="Century Gothic" w:ascii="Century Gothic"/>
          <w:vertAlign w:val="superscript"/>
        </w:rPr>
        <w:t xml:space="preserve">2 </w:t>
      </w:r>
      <w:r>
        <w:rPr>
          <w:rFonts w:hAnsi="Century Gothic" w:ascii="Century Gothic"/>
        </w:rPr>
        <w:t>korisne vrijednosti površina, a više od 456 m</w:t>
      </w:r>
      <w:r>
        <w:rPr>
          <w:rFonts w:hAnsi="Century Gothic" w:ascii="Century Gothic"/>
          <w:vertAlign w:val="superscript"/>
        </w:rPr>
        <w:t xml:space="preserve">2 </w:t>
      </w:r>
      <w:r>
        <w:rPr>
          <w:rFonts w:hAnsi="Century Gothic" w:ascii="Century Gothic"/>
        </w:rPr>
        <w:t xml:space="preserve">ukupne  </w:t>
      </w:r>
      <w:r>
        <w:rPr>
          <w:rFonts w:hAnsi="Century Gothic" w:ascii="Century Gothic"/>
          <w:lang w:eastAsia="hr-HR"/>
        </w:rPr>
        <w:t>korisne površine stambenog prostora  i sporednog dijela.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  <w:lang w:eastAsia="hr-HR"/>
        </w:rPr>
      </w:pPr>
    </w:p>
    <w:p w:rsidRDefault="008C15FB" w:rsidP="008C15FB" w:rsidR="008C15FB">
      <w:pPr>
        <w:pStyle w:val="Bezproreda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>Na svim suvlasničkim udjelima upisana su založna prava za korist:</w:t>
      </w:r>
    </w:p>
    <w:p w:rsidRDefault="008C15FB" w:rsidP="008C15FB" w:rsidR="008C15FB">
      <w:pPr>
        <w:pStyle w:val="Bezproreda"/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1.</w:t>
      </w:r>
      <w:r>
        <w:rPr>
          <w:rFonts w:hAnsi="Century Gothic" w:ascii="Century Gothic"/>
        </w:rPr>
        <w:tab/>
        <w:t>BKS BANK d.d. Rijeka, OIB: 61436608168, Rijeka, Mljekarski trg 3, radi osiguranja novčane tražbine u iznosu od iznosu od 824.630,00 HRK uvećano za ugovorene kamate, naknade, eventualne troškove i zatezne kamate za slučaj kašnjenja u plaćanju prema Aneksu broj 7 Ugovora o kratkoročnom kreditu broj:030-51001128 i Sporazuma radi osiguranja novčane tražbine zasnivanjem založnog prava (hipoteke) na nekretnini, zaključenog dana 18.12.2015.g.</w:t>
      </w:r>
      <w:r>
        <w:t xml:space="preserve"> </w:t>
      </w:r>
      <w:r>
        <w:rPr>
          <w:rFonts w:hAnsi="Century Gothic" w:ascii="Century Gothic"/>
        </w:rPr>
        <w:t>Zaprimljeno 21.12.2015.g. pod brojem Z-18971/2015. ;</w:t>
      </w:r>
    </w:p>
    <w:p w:rsidRDefault="008C15FB" w:rsidP="008C15FB" w:rsidR="008C15FB">
      <w:pPr>
        <w:pStyle w:val="Bezproreda"/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2.</w:t>
      </w:r>
      <w:r>
        <w:rPr>
          <w:rFonts w:hAnsi="Century Gothic" w:ascii="Century Gothic"/>
        </w:rPr>
        <w:tab/>
        <w:t>KNJIGOVODSTVANI URED VIDAK d.o.o. Zagreb, OIB: 93922724841, Virovska 2  radi osiguranja novčane tražbine u iznosu od 17.500,00 kuna i troškova ovršnog postupka u iznosu od 2.515,15 kuna sa zakonskim zateznim kamatama koje teku na navedene iznose temeljem pravomoćnog rješenja o ovrsi donesenog od strane javnog bilježnika Vlaste Zajec poslovni broj Ovrv-144/2017 od dana 10. veljače 2017. godine.</w:t>
      </w:r>
      <w:r>
        <w:t xml:space="preserve"> </w:t>
      </w:r>
      <w:r>
        <w:rPr>
          <w:rFonts w:hAnsi="Century Gothic" w:ascii="Century Gothic"/>
        </w:rPr>
        <w:t>Zaprimljeno 16.06.2017.g. pod brojem Z-13943/2017;</w:t>
      </w:r>
    </w:p>
    <w:p w:rsidRDefault="008C15FB" w:rsidP="008C15FB" w:rsidR="008C15FB">
      <w:pPr>
        <w:pStyle w:val="Bezproreda"/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3.</w:t>
      </w:r>
      <w:r>
        <w:rPr>
          <w:rFonts w:hAnsi="Century Gothic" w:ascii="Century Gothic"/>
        </w:rPr>
        <w:tab/>
        <w:t xml:space="preserve"> RH MINISTARSTVO FINANCIJA, POREZNA UPRAVA , PODRUČNI URED U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ZAGREBU, ISPOSTAVA MAKSIMIR radi osiguranja novčane tražbine u iznosu od 46.876,48 kn sa zakonskom zateznom kamatom te radi osiguranja troškova postupka u iznosu od 1.000,00 kn, temeljem Rješenja Općinskog suda u Zadru, pod poslovnim brojem 29 OVR-859/2017 od 23. svibnja 2017. godine.</w:t>
      </w:r>
      <w:r>
        <w:t xml:space="preserve"> </w:t>
      </w:r>
      <w:r>
        <w:rPr>
          <w:rFonts w:hAnsi="Century Gothic" w:ascii="Century Gothic"/>
        </w:rPr>
        <w:t>Zaprimljeno 24.05.2017.g. pod brojem Z-12063/2017;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ab/>
        <w:t>4.</w:t>
      </w:r>
      <w:r>
        <w:rPr>
          <w:rFonts w:hAnsi="Century Gothic" w:ascii="Century Gothic"/>
        </w:rPr>
        <w:tab/>
        <w:t>STOLIĆ MARIJA, OIB: 80796065378, Zadar, Ulica Ane Vidović 14 radi osiguranja novčane tražbine  u iznosu od 1.000.000,00 kn zajedno sa pripadajućim zakonskom zateznim kamatama koje na taj iznos teku od dana 01. siječnja 20178. godine pa do isplate, temeljem Rješenja Općinskog suda u Zadru pod poslovnim brojem 72 Ovr-1723/2016 od 12. lipnja 2017. godine i bjanko za zadužnice solemnizirane po Javnom bilježniku Suzani Hrabroj iz Zadra pod brojem OV-5759/16 dana 26. srpnja 206. godine.</w:t>
      </w:r>
      <w:r>
        <w:t xml:space="preserve"> </w:t>
      </w:r>
      <w:r>
        <w:rPr>
          <w:rFonts w:hAnsi="Century Gothic" w:ascii="Century Gothic"/>
        </w:rPr>
        <w:t>Zaprimljeno 14.06.2017.g. pod brojem Z-13906/2017.;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ab/>
        <w:t>5.</w:t>
      </w:r>
      <w:r>
        <w:rPr>
          <w:rFonts w:hAnsi="Century Gothic" w:ascii="Century Gothic"/>
        </w:rPr>
        <w:tab/>
        <w:t xml:space="preserve">  STOLIĆ MARIJA, OIB: 80796065378, Zadar, Ulica Ane Vidović 14 radi osiguranja novčane tražbine  u iznosu od 100.000,00 kn zajedno sa pripadajućim zakonskom zateznim kamatama koje na taj iznos teku od dana 01. siječnja 20178. godine pa do isplate, temeljem Rješenja Općinskog suda u Zadru pod poslovnim brojem 72 Ovr-1723/2016 od 12. lipnja 2017. godine i bjanko za zadužnice solemnizirane po Javnom bilježniku Suzani Hrabroj iz Zadra pod brojem OV-5756/16 dana 26. srpnja 206. godine.</w:t>
      </w:r>
      <w:r>
        <w:t xml:space="preserve"> </w:t>
      </w:r>
      <w:r>
        <w:rPr>
          <w:rFonts w:hAnsi="Century Gothic" w:ascii="Century Gothic"/>
        </w:rPr>
        <w:t>Zaprimljeno 14.06.2017.g. pod brojem Z-13906/2017.;</w:t>
      </w:r>
    </w:p>
    <w:p w:rsidRDefault="008C15FB" w:rsidP="008C15FB" w:rsidR="008C15FB">
      <w:pPr>
        <w:pStyle w:val="Bezproreda"/>
        <w:tabs>
          <w:tab w:pos="709" w:val="left"/>
        </w:tabs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ab/>
        <w:t>6.</w:t>
      </w:r>
      <w:r>
        <w:rPr>
          <w:rFonts w:hAnsi="Century Gothic" w:ascii="Century Gothic"/>
        </w:rPr>
        <w:tab/>
        <w:t xml:space="preserve"> STOLIĆ MARIJA, OIB: 80796065378, Zadar, Ulica Ane Vidović 14 radi osiguranja novčane tražbine  u iznosu od 100.000,00 kn zajedno sa pripadajućim zakonskom zateznim kamatama koje na taj iznos teku od dana 01. siječnja 20178. godine pa do isplate, temeljem Rješenja Općinskog suda u Zadru pod poslovnim brojem 72 Ovr-1723/2016 od 12. lipnja 2017. godine i bjanko za zadužnice solemnizirane po Javnom bilježniku Suzani Hrabroj iz Zadra pod brojem OV-5757/16 dana 26. srpnja 206. godine.</w:t>
      </w:r>
      <w:r>
        <w:t xml:space="preserve"> </w:t>
      </w:r>
      <w:r>
        <w:rPr>
          <w:rFonts w:hAnsi="Century Gothic" w:ascii="Century Gothic"/>
        </w:rPr>
        <w:t>Zaprimljeno 14.06.2017.g. pod brojem Z-13906/2017.</w:t>
      </w:r>
    </w:p>
    <w:p w:rsidRDefault="008C15FB" w:rsidP="008C15FB" w:rsidR="008C15FB">
      <w:pPr>
        <w:pStyle w:val="Bezproreda"/>
        <w:tabs>
          <w:tab w:pos="709" w:val="left"/>
        </w:tabs>
        <w:jc w:val="both"/>
        <w:rPr>
          <w:rFonts w:hAnsi="Century Gothic" w:ascii="Century Gothic"/>
        </w:rPr>
      </w:pPr>
    </w:p>
    <w:p w:rsidRDefault="008C15FB" w:rsidP="008C15FB" w:rsidR="008C15FB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Kako je FINA RC Zagreb, Podružnica Zagreb podnijela prijedlog za otvaranje stečajnog postupka nad dužnikom MEDI TORANJ d.o.o. za medicinsku djelatnost, usluge i trgovinu ZAGREB, Ksaverska cesta 59, OIB: 29683817092 dana 22. rujna 2016. godine, to su založna prava naznačena pod rednim brojem 2., 3. i 4-6. založnih vjerovnika: </w:t>
      </w:r>
    </w:p>
    <w:p w:rsidRDefault="008C15FB" w:rsidP="008C15FB" w:rsidR="008C15FB">
      <w:pPr>
        <w:pStyle w:val="Odlomakpopisa"/>
        <w:ind w:left="708"/>
        <w:rPr>
          <w:rFonts w:hAnsi="Century Gothic" w:ascii="Century Gothic"/>
          <w:sz w:val="22"/>
          <w:szCs w:val="22"/>
        </w:rPr>
      </w:pPr>
      <w:r>
        <w:rPr>
          <w:rFonts w:hAnsi="Century Gothic" w:ascii="Century Gothic"/>
          <w:sz w:val="22"/>
          <w:szCs w:val="22"/>
        </w:rPr>
        <w:t>KNJIGOVODSTVANI URED VIDAK d.o.o. Zagreb /red.br.2/,</w:t>
      </w:r>
    </w:p>
    <w:p w:rsidRDefault="008C15FB" w:rsidP="008C15FB" w:rsidR="008C15FB">
      <w:pPr>
        <w:pStyle w:val="Odlomakpopisa"/>
        <w:ind w:left="708"/>
        <w:rPr>
          <w:rFonts w:hAnsi="Century Gothic" w:ascii="Century Gothic"/>
          <w:sz w:val="22"/>
          <w:szCs w:val="22"/>
        </w:rPr>
      </w:pPr>
      <w:r>
        <w:rPr>
          <w:rFonts w:hAnsi="Century Gothic" w:ascii="Century Gothic"/>
          <w:sz w:val="22"/>
          <w:szCs w:val="22"/>
        </w:rPr>
        <w:lastRenderedPageBreak/>
        <w:t>RH MINISTARSTVO FINANCIJA, POREZNA UPRAVA, PODRUČNI URED U ZAGREBU, ISPOSTAVA MAKSIMIR /red.br.3/,</w:t>
      </w:r>
    </w:p>
    <w:p w:rsidRDefault="008C15FB" w:rsidP="008C15FB" w:rsidR="008C15FB">
      <w:pPr>
        <w:pStyle w:val="Odlomakpopisa"/>
        <w:ind w:left="708"/>
        <w:rPr>
          <w:rFonts w:hAnsi="Century Gothic" w:ascii="Century Gothic"/>
          <w:sz w:val="22"/>
          <w:szCs w:val="22"/>
        </w:rPr>
      </w:pPr>
      <w:r>
        <w:rPr>
          <w:rFonts w:hAnsi="Century Gothic" w:ascii="Century Gothic"/>
          <w:sz w:val="22"/>
          <w:szCs w:val="22"/>
        </w:rPr>
        <w:t>STOLIĆ MARIJA, OIB: 80796065378, Zadar, Ulica Ane Vidović 14 /red.br.4-6/,</w:t>
      </w:r>
    </w:p>
    <w:p w:rsidRDefault="008C15FB" w:rsidP="008C15FB" w:rsidR="008C15FB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zasnovana nakon podnošenja prijedloga za otvaranje stečajnog postupka  pa pravni učinci zabilježbi ovrhe i uknjižbi založnog/ razlučnog prava </w:t>
      </w:r>
      <w:r>
        <w:rPr>
          <w:rFonts w:hAnsi="Century Gothic" w:ascii="Century Gothic"/>
          <w:b/>
          <w:i/>
        </w:rPr>
        <w:t>prestaju</w:t>
      </w:r>
      <w:r>
        <w:rPr>
          <w:rFonts w:hAnsi="Century Gothic" w:ascii="Century Gothic"/>
        </w:rPr>
        <w:t xml:space="preserve"> po sili zakona i to temeljem izričite odredbe čl. 168. Stečajnog zakona.</w:t>
      </w:r>
    </w:p>
    <w:p w:rsidRDefault="008C15FB" w:rsidP="008C15FB" w:rsidR="008C15FB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Slijedom izloženog, na predmetnim nekretninama upisano je založno pravo razlučnog vjerovnika BKS BANK d.d. Rijeka, OIB: 61436608168, Rijeka, Mljekarski trg 3, radi osiguranja novčane tražbine u iznosu od 824.630,00 HRK.</w:t>
      </w:r>
    </w:p>
    <w:p w:rsidRDefault="008C15FB" w:rsidP="008C15FB" w:rsidR="008C15FB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Razlučno pravo prijavio je vjerovnik BKS BANK AG, OIB:95202348925,A-9020, Klagenfurt, St, Veiter Ring 43, Austria, prilažući dokumentaciju o osnovanosti tražbine i založnom pravu za korist BKS BANK d.d. Rijeka, OIB: 61436608168, Rijeka, Mljekarski trg 3,  bez bilo kakvog dokaza o prijenosu tražbine, pravnom sljedništvu ili drugom pravnom poslu temeljem kojeg bi prava prešla na BKS BANK AG, OIB:95202348925,A-9020, Klagenfurt, St, Veiter Ring 43, Austria.</w:t>
      </w:r>
      <w:r>
        <w:rPr>
          <w:rFonts w:hAnsi="Century Gothic" w:ascii="Century Gothic"/>
        </w:rPr>
        <w:tab/>
        <w:t xml:space="preserve"> </w:t>
      </w:r>
      <w:r>
        <w:rPr>
          <w:rFonts w:hAnsi="Century Gothic" w:ascii="Century Gothic"/>
        </w:rPr>
        <w:tab/>
      </w:r>
    </w:p>
    <w:p w:rsidRDefault="008C15FB" w:rsidP="008C15FB" w:rsidR="008C15FB">
      <w:pPr>
        <w:pStyle w:val="Bezproreda"/>
        <w:jc w:val="both"/>
        <w:rPr>
          <w:rFonts w:hAnsi="Century Gothic" w:ascii="Century Gothic"/>
          <w:color w:val="0070C0"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  <w:noProof/>
        </w:rPr>
      </w:pPr>
      <w:r>
        <w:rPr>
          <w:rFonts w:hAnsi="Century Gothic" w:ascii="Century Gothic"/>
        </w:rPr>
        <w:t xml:space="preserve">Prema uvjerenju Ministarstva unutarnjih poslova, Policijske uprave Zagrebačke, broj: 511-19-22/4-66-5860/2017 od 02.11.2017. godine o službenoj evidenciji registracije cestovnih vozila MEDI TORANJ d.o.o. </w:t>
      </w:r>
      <w:r>
        <w:rPr>
          <w:rFonts w:hAnsi="Century Gothic" w:ascii="Century Gothic"/>
          <w:noProof/>
        </w:rPr>
        <w:t xml:space="preserve">u stečaju, </w:t>
      </w:r>
      <w:r>
        <w:rPr>
          <w:rFonts w:hAnsi="Century Gothic" w:ascii="Century Gothic"/>
        </w:rPr>
        <w:t xml:space="preserve">OIB: </w:t>
      </w:r>
      <w:r>
        <w:rPr>
          <w:rFonts w:hAnsi="Century Gothic" w:ascii="Century Gothic"/>
          <w:noProof/>
        </w:rPr>
        <w:t>29683817092</w:t>
      </w:r>
      <w:r>
        <w:rPr>
          <w:rFonts w:hAnsi="Century Gothic" w:ascii="Century Gothic"/>
        </w:rPr>
        <w:t xml:space="preserve">, sa sjedištem u </w:t>
      </w:r>
      <w:r>
        <w:rPr>
          <w:rFonts w:hAnsi="Century Gothic" w:ascii="Century Gothic"/>
          <w:noProof/>
        </w:rPr>
        <w:t xml:space="preserve">Zagrebu, Ksaverska cesta 59, </w:t>
      </w:r>
      <w:r>
        <w:rPr>
          <w:rFonts w:hAnsi="Century Gothic" w:ascii="Century Gothic"/>
        </w:rPr>
        <w:t xml:space="preserve"> nije evidentiran kao vlasnik vozila.  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  <w:color w:val="0070C0"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  <w:color w:val="0070C0"/>
        </w:rPr>
      </w:pPr>
      <w:r>
        <w:rPr>
          <w:rFonts w:hAnsi="Century Gothic" w:ascii="Century Gothic"/>
        </w:rPr>
        <w:t>U privitku : Uvjerenje Ministarstva unutarnjih poslova, Policijske uprave Zagrebačke, broj: 511-19-22/4-66-5860/2017 od 02.11.2017. godine</w:t>
      </w:r>
      <w:r>
        <w:rPr>
          <w:rFonts w:hAnsi="Century Gothic" w:ascii="Century Gothic"/>
          <w:color w:val="0070C0"/>
        </w:rPr>
        <w:t xml:space="preserve"> </w:t>
      </w: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</w:p>
    <w:p w:rsidRDefault="008C15FB" w:rsidP="008C15FB" w:rsidR="008C15FB">
      <w:pPr>
        <w:pStyle w:val="Bezproreda"/>
        <w:jc w:val="both"/>
        <w:rPr>
          <w:rFonts w:cs="Arial" w:hAnsi="Century Gothic" w:ascii="Century Gothic"/>
          <w:i/>
        </w:rPr>
      </w:pPr>
      <w:r>
        <w:rPr>
          <w:rFonts w:hAnsi="Century Gothic" w:ascii="Century Gothic"/>
        </w:rPr>
        <w:t xml:space="preserve">Slijedom izloženog, vrijednost imovine stečajnog dužnika u poslovnim knjigama iskazana je u iznosu od 1.014.200,00 kn, a stvarnu vrijednost biti će moguće odrediti nakon procjene vrijednosti svakog suvlasničkog udjela po ovlaštenom sudskom vještaku.  </w:t>
      </w:r>
    </w:p>
    <w:p w:rsidRDefault="008C15FB" w:rsidP="008C15FB" w:rsidR="008C15FB">
      <w:pPr>
        <w:autoSpaceDE w:val="false"/>
        <w:autoSpaceDN w:val="false"/>
        <w:adjustRightInd w:val="false"/>
        <w:spacing w:lineRule="auto" w:line="288" w:after="0"/>
        <w:jc w:val="both"/>
        <w:rPr>
          <w:rFonts w:eastAsiaTheme="minorEastAsia" w:cs="Tahoma" w:hAnsi="Century Gothic" w:ascii="Century Gothic"/>
          <w:b/>
          <w:bCs/>
          <w:i/>
          <w:color w:val="0070C0"/>
          <w:sz w:val="21"/>
          <w:szCs w:val="21"/>
        </w:rPr>
      </w:pPr>
    </w:p>
    <w:p w:rsidRDefault="008C15FB" w:rsidP="008C15FB" w:rsidR="008C15FB">
      <w:pPr>
        <w:pStyle w:val="Odlomakpopisa"/>
        <w:numPr>
          <w:ilvl w:val="0"/>
          <w:numId w:val="5"/>
        </w:numPr>
        <w:tabs>
          <w:tab w:pos="284" w:val="left"/>
        </w:tabs>
        <w:autoSpaceDE w:val="false"/>
        <w:autoSpaceDN w:val="false"/>
        <w:adjustRightInd w:val="false"/>
        <w:spacing w:lineRule="auto" w:line="288" w:after="0"/>
        <w:jc w:val="both"/>
        <w:rPr>
          <w:rFonts w:cs="Tahoma" w:hAnsi="Century Gothic" w:ascii="Century Gothic"/>
          <w:bCs/>
          <w:sz w:val="22"/>
          <w:szCs w:val="22"/>
        </w:rPr>
      </w:pPr>
      <w:r>
        <w:rPr>
          <w:rFonts w:cs="Tahoma" w:hAnsi="Century Gothic" w:ascii="Century Gothic"/>
          <w:bCs/>
          <w:sz w:val="22"/>
          <w:szCs w:val="22"/>
        </w:rPr>
        <w:t xml:space="preserve">OBVEZE STEČAJNOG DUŽNIKA </w:t>
      </w:r>
    </w:p>
    <w:p w:rsidRDefault="008C15FB" w:rsidP="008C15FB" w:rsidR="008C15FB">
      <w:pPr>
        <w:autoSpaceDE w:val="false"/>
        <w:autoSpaceDN w:val="false"/>
        <w:adjustRightInd w:val="false"/>
        <w:spacing w:lineRule="auto" w:line="288" w:after="0"/>
        <w:jc w:val="both"/>
        <w:rPr>
          <w:rFonts w:eastAsiaTheme="minorEastAsia" w:cs="Tahoma" w:hAnsi="Century Gothic" w:ascii="Century Gothic"/>
          <w:bCs/>
          <w:i/>
        </w:rPr>
      </w:pPr>
    </w:p>
    <w:tbl>
      <w:tblPr>
        <w:tblStyle w:val="TableGrid"/>
        <w:tblW w:type="dxa" w:w="9072"/>
        <w:tblInd w:type="dxa" w:w="-3"/>
        <w:tblCellMar>
          <w:top w:type="dxa" w:w="29"/>
          <w:left w:type="dxa" w:w="39"/>
          <w:right w:type="dxa" w:w="30"/>
        </w:tblCellMar>
        <w:tblLook w:val="04A0" w:noVBand="1" w:noHBand="0" w:lastColumn="0" w:firstColumn="1" w:lastRow="0" w:firstRow="1"/>
      </w:tblPr>
      <w:tblGrid>
        <w:gridCol w:w="851"/>
        <w:gridCol w:w="5346"/>
        <w:gridCol w:w="2875"/>
      </w:tblGrid>
      <w:tr w:rsidTr="008C15FB" w:rsidR="008C15FB">
        <w:trPr>
          <w:trHeight w:val="373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  <w:t>red.</w:t>
            </w:r>
          </w:p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  <w:t>br.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left="-36"/>
              <w:jc w:val="center"/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  <w:t xml:space="preserve">Početna stečajna bilanca 19.10.2017. </w:t>
            </w:r>
          </w:p>
        </w:tc>
      </w:tr>
      <w:tr w:rsidTr="008C15FB" w:rsidR="008C15FB">
        <w:trPr>
          <w:trHeight w:val="379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l.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obveze za zajmove, depozite i slično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1.274.791,70</w:t>
            </w:r>
          </w:p>
        </w:tc>
      </w:tr>
      <w:tr w:rsidTr="008C15FB" w:rsidR="008C15FB">
        <w:trPr>
          <w:trHeight w:val="380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2.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88" w:left="-44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obveze prema bankama i drugim financijskim</w:t>
            </w:r>
          </w:p>
          <w:p w:rsidRDefault="008C15FB" w:rsidR="008C15FB">
            <w:pPr>
              <w:pStyle w:val="Bezproreda"/>
              <w:ind w:firstLine="246" w:left="-44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institucijama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920.823,04</w:t>
            </w:r>
          </w:p>
        </w:tc>
      </w:tr>
      <w:tr w:rsidTr="008C15FB" w:rsidR="008C15FB">
        <w:trPr>
          <w:trHeight w:val="382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3.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ostale kratkoročne obveze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  85.854,75 </w:t>
            </w:r>
          </w:p>
        </w:tc>
      </w:tr>
      <w:tr w:rsidTr="008C15FB" w:rsidR="008C15FB">
        <w:trPr>
          <w:trHeight w:val="379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center"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OBVEZE ( rbr.1+2+3)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C15FB" w:rsidR="008C15FB">
            <w:pPr>
              <w:pStyle w:val="Bezproreda"/>
              <w:jc w:val="center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b/>
                <w:lang w:eastAsia="hr-HR"/>
              </w:rPr>
              <w:t xml:space="preserve">   2.281.469,49   </w:t>
            </w:r>
          </w:p>
        </w:tc>
      </w:tr>
    </w:tbl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Do izrade ovog izvješća ukupno je zaprimljeno 6 tražbina stečajnih vjerovnika. </w:t>
      </w:r>
    </w:p>
    <w:p w:rsidRDefault="008C15FB" w:rsidP="008C15FB" w:rsidR="008C15FB">
      <w:pPr>
        <w:pStyle w:val="Bezproreda"/>
        <w:jc w:val="both"/>
        <w:rPr>
          <w:rFonts w:eastAsia="Arial" w:hAnsi="Century Gothic" w:ascii="Century Gothic"/>
          <w:bCs/>
        </w:rPr>
      </w:pPr>
      <w:r>
        <w:rPr>
          <w:rFonts w:hAnsi="Century Gothic" w:ascii="Century Gothic"/>
          <w:bCs/>
        </w:rPr>
        <w:t xml:space="preserve">Stečajni upravitelj  priznao je tražbine u iznosu od </w:t>
      </w:r>
      <w:r>
        <w:rPr>
          <w:rFonts w:cs="Arial" w:hAnsi="Century Gothic" w:ascii="Century Gothic"/>
        </w:rPr>
        <w:t xml:space="preserve">2.254.469,49 </w:t>
      </w:r>
      <w:r>
        <w:rPr>
          <w:rFonts w:hAnsi="Century Gothic" w:ascii="Century Gothic"/>
          <w:bCs/>
        </w:rPr>
        <w:t>kuna.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Priznate tražbine I. isplatnog reda </w:t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  <w:t xml:space="preserve">    0,00 kuna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Osporeno I. isplatni red </w:t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  <w:t xml:space="preserve">     0,00 kuna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Priznate tražbine II. isplatnog reda </w:t>
      </w:r>
      <w:r>
        <w:rPr>
          <w:rFonts w:cs="Times New Roman" w:eastAsia="Times New Roman" w:hAnsi="Century Gothic" w:ascii="Century Gothic"/>
          <w:lang w:eastAsia="hr-HR"/>
        </w:rPr>
        <w:tab/>
        <w:t xml:space="preserve">            </w:t>
      </w:r>
      <w:r>
        <w:rPr>
          <w:rFonts w:cs="Times New Roman" w:eastAsia="Times New Roman" w:hAnsi="Century Gothic" w:ascii="Century Gothic"/>
          <w:lang w:eastAsia="hr-HR"/>
        </w:rPr>
        <w:tab/>
        <w:t xml:space="preserve">   2.254.469,49 kuna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lastRenderedPageBreak/>
        <w:t xml:space="preserve">Osporeno II. isplatni red </w:t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  <w:t xml:space="preserve">     0,00 kuna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rPr>
          <w:rFonts w:hAnsi="Century Gothic" w:ascii="Century Gothic"/>
        </w:rPr>
      </w:pPr>
      <w:r>
        <w:rPr>
          <w:rFonts w:hAnsi="Century Gothic" w:ascii="Century Gothic"/>
        </w:rPr>
        <w:t>Obavijest o razlučnom pravu dostavili su vjerovnici:</w:t>
      </w:r>
    </w:p>
    <w:p w:rsidRDefault="008C15FB" w:rsidP="008C15FB" w:rsidR="008C15FB">
      <w:pPr>
        <w:pStyle w:val="Odlomakpopisa"/>
        <w:numPr>
          <w:ilvl w:val="0"/>
          <w:numId w:val="7"/>
        </w:numPr>
        <w:jc w:val="both"/>
        <w:rPr>
          <w:rFonts w:cs="Arial" w:hAnsi="Century Gothic" w:ascii="Century Gothic"/>
          <w:sz w:val="22"/>
          <w:szCs w:val="22"/>
        </w:rPr>
      </w:pPr>
      <w:r>
        <w:rPr>
          <w:rFonts w:hAnsi="Century Gothic" w:ascii="Century Gothic"/>
          <w:sz w:val="22"/>
          <w:szCs w:val="22"/>
        </w:rPr>
        <w:t>Ministarstvo financija, Porezna uprava,</w:t>
      </w:r>
      <w:r>
        <w:rPr>
          <w:sz w:val="22"/>
          <w:szCs w:val="22"/>
        </w:rPr>
        <w:t xml:space="preserve"> </w:t>
      </w:r>
      <w:r>
        <w:rPr>
          <w:rFonts w:hAnsi="Century Gothic" w:ascii="Century Gothic"/>
          <w:sz w:val="22"/>
          <w:szCs w:val="22"/>
        </w:rPr>
        <w:t>Područni ured u Zagrebu, radi osiguranja novčane tražbine u iznosu od 46.876,48 kn temeljem Rješenja o osiguranju Općinskog suda u Zadru, Zemljišnoknjižni odjel Zadar, poslovni broj: OVR-859/2017 od 23. svibnja 2017. godine;</w:t>
      </w:r>
    </w:p>
    <w:p w:rsidRDefault="008C15FB" w:rsidP="008C15FB" w:rsidR="008C15FB">
      <w:pPr>
        <w:pStyle w:val="Odlomakpopisa"/>
        <w:numPr>
          <w:ilvl w:val="0"/>
          <w:numId w:val="7"/>
        </w:numPr>
        <w:jc w:val="both"/>
        <w:rPr>
          <w:rFonts w:cs="Arial" w:hAnsi="Century Gothic" w:ascii="Century Gothic"/>
          <w:sz w:val="22"/>
          <w:szCs w:val="22"/>
        </w:rPr>
      </w:pPr>
      <w:r>
        <w:rPr>
          <w:rFonts w:hAnsi="Century Gothic" w:ascii="Century Gothic"/>
          <w:sz w:val="22"/>
          <w:szCs w:val="22"/>
        </w:rPr>
        <w:t xml:space="preserve">Knjigovodstveni ured Vidak d.o.o., OIB: 93922724841 iz Zagreba, Virovska 2, radi osiguranja novčane tražbine u iznosu od </w:t>
      </w:r>
      <w:r>
        <w:rPr>
          <w:rFonts w:cs="Arial" w:hAnsi="Century Gothic" w:ascii="Century Gothic"/>
          <w:sz w:val="22"/>
          <w:szCs w:val="22"/>
        </w:rPr>
        <w:t>22.110,25  kuna temeljem rješenja Općinskog suda u Zadru Ovr-915/2017 od 09. lipnja 2017. godine.</w:t>
      </w:r>
    </w:p>
    <w:p w:rsidRDefault="008C15FB" w:rsidP="008C15FB" w:rsidR="008C15FB">
      <w:pPr>
        <w:pStyle w:val="Odlomakpopisa"/>
        <w:numPr>
          <w:ilvl w:val="0"/>
          <w:numId w:val="7"/>
        </w:numPr>
        <w:jc w:val="both"/>
        <w:rPr>
          <w:rFonts w:hAnsi="Century Gothic" w:ascii="Century Gothic"/>
        </w:rPr>
      </w:pPr>
      <w:r>
        <w:rPr>
          <w:rFonts w:cs="Arial" w:hAnsi="Century Gothic" w:ascii="Century Gothic"/>
          <w:sz w:val="22"/>
          <w:szCs w:val="22"/>
        </w:rPr>
        <w:t>BKS BANK AG, IB: 952023489255 iz Klagenfurta, St. Veiter Ring 43,</w:t>
      </w:r>
      <w:r>
        <w:t xml:space="preserve"> </w:t>
      </w:r>
      <w:r>
        <w:rPr>
          <w:rFonts w:cs="Arial" w:hAnsi="Century Gothic" w:ascii="Century Gothic"/>
          <w:sz w:val="22"/>
          <w:szCs w:val="22"/>
        </w:rPr>
        <w:t xml:space="preserve">radi osiguranja novčane tražbine u iznosu od  824.630,00  kuna temeljem </w:t>
      </w:r>
      <w:r>
        <w:rPr>
          <w:rFonts w:hAnsi="Century Gothic" w:ascii="Century Gothic"/>
        </w:rPr>
        <w:t>Aneksa broj 7 Ugovora o kratkoročnom kreditu Broj kreditnog računa:030-51001128 i Sporazuma radi osiguranja novčane tražbine zasnivanjem založnog prava (hipoteke) na nekretnini sklopljenog u Zagrebu dana 18. prosinca 2015.god., potvrđenog po javnom bilježniku Vesni Pučar u Zagrebu pod posl.br. OV-22367/15-1. Zaprimljeno 21.12.2015.g. pod brojem Z-18971/2015. Razlučno pravo prijavio je vjerovnik BKS BANK AG, OIB:95202348925,A-9020, Klagenfurt, St, Veiter Ring 43, Austria, prilažući dokumentaciju koja se odnosi na BKS BANK d.d. Rijeka, OIB: 61436608168, Rijeka, Mljekarski trg 3,  bez bilo kakvog dokaza o prijenosu tražbine ili univerzalnom pravnom sljedništvu BKS BANK AG, OIB:95202348925,A-9020, Klagenfurt, St, Veiter Ring 43, Austria;</w:t>
      </w:r>
    </w:p>
    <w:p w:rsidRDefault="008C15FB" w:rsidP="008C15FB" w:rsidR="008C15FB">
      <w:pPr>
        <w:pStyle w:val="Odlomakpopisa"/>
        <w:numPr>
          <w:ilvl w:val="0"/>
          <w:numId w:val="7"/>
        </w:num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 MARIJA STOLIĆ, OIB: 80796065378</w:t>
      </w:r>
      <w:r>
        <w:rPr>
          <w:rFonts w:hAnsi="Century Gothic" w:ascii="Century Gothic"/>
        </w:rPr>
        <w:tab/>
        <w:t>, Ulica Ane Vidović 14, Zadar radi osiguranja novčane tražbine u iznosu od  1.247.791,70   kuna temeljem rješenja Općinskog suda u Zadru posl.br. Ovr-1723/2016 od 12. lipnja 2017.</w:t>
      </w:r>
    </w:p>
    <w:p w:rsidRDefault="008C15FB" w:rsidP="008C15FB" w:rsidR="008C15FB">
      <w:pPr>
        <w:pStyle w:val="Bezproreda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Obavijesti o izlučnom pravu nisu zaprimljene.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pStyle w:val="Bezproreda"/>
        <w:jc w:val="both"/>
        <w:rPr>
          <w:rFonts w:hAnsi="Century Gothic" w:ascii="Century Gothic"/>
          <w:lang w:val="en-AU"/>
        </w:rPr>
      </w:pPr>
      <w:r>
        <w:rPr>
          <w:rFonts w:hAnsi="Century Gothic" w:ascii="Century Gothic"/>
        </w:rPr>
        <w:t>Sve priznate tražbine odnose</w:t>
      </w:r>
      <w:r>
        <w:rPr>
          <w:rFonts w:hAnsi="Century Gothic" w:ascii="Century Gothic"/>
          <w:lang w:val="en-AU"/>
        </w:rPr>
        <w:t xml:space="preserve"> se na</w:t>
      </w:r>
      <w:r>
        <w:rPr>
          <w:rFonts w:hAnsi="Century Gothic" w:ascii="Century Gothic"/>
        </w:rPr>
        <w:t xml:space="preserve"> tražbine vjerovnika</w:t>
      </w:r>
      <w:r>
        <w:rPr>
          <w:rFonts w:hAnsi="Century Gothic" w:ascii="Century Gothic"/>
          <w:lang w:val="en-AU"/>
        </w:rPr>
        <w:t xml:space="preserve">  II</w:t>
      </w:r>
      <w:r>
        <w:rPr>
          <w:rFonts w:hAnsi="Century Gothic" w:ascii="Century Gothic"/>
        </w:rPr>
        <w:t xml:space="preserve"> višeg isplatnog reda</w:t>
      </w:r>
      <w:r>
        <w:rPr>
          <w:rFonts w:hAnsi="Century Gothic" w:ascii="Century Gothic"/>
          <w:lang w:val="en-AU"/>
        </w:rPr>
        <w:t xml:space="preserve">.    </w:t>
      </w:r>
    </w:p>
    <w:p w:rsidRDefault="008C15FB" w:rsidP="008C15FB" w:rsidR="008C15FB">
      <w:pPr>
        <w:pStyle w:val="Bezproreda"/>
        <w:jc w:val="both"/>
        <w:rPr>
          <w:rFonts w:cs="Arial" w:hAnsi="Century Gothic" w:ascii="Century Gothic"/>
        </w:rPr>
      </w:pPr>
      <w:r>
        <w:rPr>
          <w:rFonts w:hAnsi="Century Gothic" w:ascii="Century Gothic"/>
          <w:lang w:val="en-AU"/>
        </w:rPr>
        <w:t xml:space="preserve"> </w:t>
      </w:r>
    </w:p>
    <w:p w:rsidRDefault="008C15FB" w:rsidP="008C15FB" w:rsidR="008C15FB">
      <w:pPr>
        <w:spacing w:lineRule="auto" w:line="276"/>
        <w:jc w:val="both"/>
        <w:rPr>
          <w:rFonts w:eastAsiaTheme="minorEastAsia" w:cs="Arial" w:hAnsi="Century Gothic" w:ascii="Century Gothic"/>
          <w:i/>
        </w:rPr>
      </w:pPr>
    </w:p>
    <w:p w:rsidRDefault="008C15FB" w:rsidP="008C15FB" w:rsidR="008C15FB">
      <w:pPr>
        <w:tabs>
          <w:tab w:pos="4153" w:val="center"/>
          <w:tab w:pos="8306" w:val="right"/>
        </w:tabs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VI         POSTUPCI U TIJEKU</w:t>
      </w:r>
    </w:p>
    <w:p w:rsidRDefault="008C15FB" w:rsidP="008C15FB" w:rsidR="008C15FB">
      <w:pPr>
        <w:tabs>
          <w:tab w:pos="4153" w:val="center"/>
          <w:tab w:pos="8306" w:val="right"/>
        </w:tabs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8C15FB" w:rsidP="008C15FB" w:rsidR="008C15FB">
      <w:pPr>
        <w:tabs>
          <w:tab w:pos="4153" w:val="center"/>
          <w:tab w:pos="8306" w:val="right"/>
        </w:tabs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Stečajni upravitelj nema saznanja o sudskim, izvansudskim ili upravnim postupcima niti podacima o statusu ovršnih postupaka. </w:t>
      </w:r>
    </w:p>
    <w:p w:rsidRDefault="008C15FB" w:rsidP="008C15FB" w:rsidR="008C15FB">
      <w:pPr>
        <w:spacing w:lineRule="auto" w:line="276"/>
        <w:jc w:val="both"/>
        <w:rPr>
          <w:rFonts w:eastAsiaTheme="minorEastAsia" w:hAnsi="Century Gothic" w:ascii="Century Gothic"/>
          <w:sz w:val="24"/>
          <w:szCs w:val="24"/>
        </w:rPr>
      </w:pPr>
      <w:r>
        <w:rPr>
          <w:rFonts w:cs="Times New Roman" w:eastAsia="Times New Roman" w:hAnsi="Century Gothic" w:ascii="Century Gothic"/>
          <w:lang w:eastAsia="hr-HR"/>
        </w:rPr>
        <w:t xml:space="preserve"> </w:t>
      </w:r>
    </w:p>
    <w:p w:rsidRDefault="008C15FB" w:rsidP="008C15FB" w:rsidR="008C15FB">
      <w:pPr>
        <w:tabs>
          <w:tab w:pos="709" w:val="left"/>
        </w:tabs>
        <w:spacing w:lineRule="auto" w:line="288"/>
        <w:jc w:val="both"/>
        <w:rPr>
          <w:rFonts w:eastAsiaTheme="minorEastAsia" w:cs="Tahoma" w:hAnsi="Century Gothic" w:ascii="Century Gothic"/>
          <w:lang w:val="pl-PL"/>
        </w:rPr>
      </w:pPr>
      <w:r>
        <w:rPr>
          <w:rFonts w:eastAsiaTheme="minorEastAsia" w:cs="Tahoma" w:hAnsi="Century Gothic" w:ascii="Century Gothic"/>
          <w:bCs/>
        </w:rPr>
        <w:t xml:space="preserve"> </w:t>
      </w:r>
      <w:r>
        <w:rPr>
          <w:rFonts w:eastAsiaTheme="minorEastAsia" w:cs="Tahoma" w:hAnsi="Century Gothic" w:ascii="Century Gothic"/>
          <w:lang w:val="pl-PL"/>
        </w:rPr>
        <w:t>VII</w:t>
      </w:r>
      <w:r>
        <w:rPr>
          <w:rFonts w:eastAsiaTheme="minorEastAsia" w:cs="Tahoma" w:hAnsi="Century Gothic" w:ascii="Century Gothic"/>
          <w:lang w:val="pl-PL"/>
        </w:rPr>
        <w:tab/>
        <w:t>PRIJEDLOZI STEČAJNOG UPRAVITELJA</w:t>
      </w:r>
    </w:p>
    <w:p w:rsidRDefault="008C15FB" w:rsidP="008C15FB" w:rsidR="008C15FB">
      <w:pPr>
        <w:tabs>
          <w:tab w:pos="709" w:val="left"/>
        </w:tabs>
        <w:spacing w:lineRule="auto" w:line="288"/>
        <w:jc w:val="both"/>
        <w:rPr>
          <w:rFonts w:eastAsiaTheme="minorEastAsia" w:cs="Tahoma" w:hAnsi="Century Gothic" w:ascii="Century Gothic"/>
          <w:lang w:val="pl-PL"/>
        </w:rPr>
      </w:pPr>
    </w:p>
    <w:p w:rsidRDefault="008C15FB" w:rsidP="008C15FB" w:rsidR="008C15FB">
      <w:pPr>
        <w:autoSpaceDE w:val="false"/>
        <w:autoSpaceDN w:val="false"/>
        <w:adjustRightInd w:val="false"/>
        <w:spacing w:lineRule="auto" w:line="288"/>
        <w:jc w:val="both"/>
        <w:rPr>
          <w:rFonts w:eastAsiaTheme="minorEastAsia" w:cs="Arial" w:hAnsi="Century Gothic" w:ascii="Century Gothic"/>
        </w:rPr>
      </w:pPr>
      <w:r>
        <w:rPr>
          <w:rFonts w:eastAsiaTheme="minorEastAsia" w:cs="Tahoma" w:hAnsi="Century Gothic" w:ascii="Century Gothic"/>
        </w:rPr>
        <w:t xml:space="preserve">Slijedom gore navedenog, utvrđeno je da </w:t>
      </w:r>
      <w:r>
        <w:rPr>
          <w:rFonts w:eastAsiaTheme="minorEastAsia" w:cs="Arial" w:hAnsi="Century Gothic" w:ascii="Century Gothic"/>
        </w:rPr>
        <w:t xml:space="preserve"> MEDI TORANJ društvo s ograničenom odgovornošću za medicinsku djelatnost, usluge i trgovinu u stečaju </w:t>
      </w:r>
      <w:r>
        <w:rPr>
          <w:rFonts w:eastAsiaTheme="minorEastAsia" w:cs="Tahoma" w:hAnsi="Century Gothic" w:ascii="Century Gothic"/>
        </w:rPr>
        <w:t xml:space="preserve">nema uvjeta za nastavak poslovanja ni ponovno pokretanje istoga, pa stečajni upravitelj predlaže da vjerovnici </w:t>
      </w:r>
    </w:p>
    <w:p w:rsidRDefault="008C15FB" w:rsidP="008C15FB" w:rsidR="008C15FB">
      <w:pPr>
        <w:numPr>
          <w:ilvl w:val="0"/>
          <w:numId w:val="8"/>
        </w:numPr>
        <w:autoSpaceDE w:val="false"/>
        <w:autoSpaceDN w:val="false"/>
        <w:adjustRightInd w:val="false"/>
        <w:spacing w:lineRule="auto" w:line="288" w:after="0"/>
        <w:ind w:hanging="357" w:left="1077"/>
        <w:jc w:val="both"/>
        <w:rPr>
          <w:rFonts w:eastAsiaTheme="minorEastAsia" w:cs="Tahoma" w:hAnsi="Century Gothic" w:ascii="Century Gothic"/>
        </w:rPr>
      </w:pPr>
      <w:r>
        <w:rPr>
          <w:rFonts w:eastAsiaTheme="minorEastAsia" w:cs="Tahoma" w:hAnsi="Century Gothic" w:ascii="Century Gothic"/>
        </w:rPr>
        <w:lastRenderedPageBreak/>
        <w:t>prihvate ovo izvješće o gospodarskom položaju dužnika i njegovim uzrocima,</w:t>
      </w:r>
    </w:p>
    <w:p w:rsidRDefault="008C15FB" w:rsidP="008C15FB" w:rsidR="008C15FB">
      <w:pPr>
        <w:numPr>
          <w:ilvl w:val="0"/>
          <w:numId w:val="8"/>
        </w:numPr>
        <w:autoSpaceDE w:val="false"/>
        <w:autoSpaceDN w:val="false"/>
        <w:adjustRightInd w:val="false"/>
        <w:spacing w:lineRule="auto" w:line="288" w:after="0"/>
        <w:ind w:hanging="357" w:left="1077"/>
        <w:jc w:val="both"/>
        <w:rPr>
          <w:rFonts w:eastAsiaTheme="minorEastAsia" w:cs="Tahoma" w:hAnsi="Century Gothic" w:ascii="Century Gothic"/>
        </w:rPr>
      </w:pPr>
      <w:r>
        <w:rPr>
          <w:rFonts w:eastAsiaTheme="minorEastAsia" w:cs="Tahoma" w:hAnsi="Century Gothic" w:ascii="Century Gothic"/>
        </w:rPr>
        <w:t>prihvate do sada poduzete radnje stečajnog upravitelja,</w:t>
      </w:r>
    </w:p>
    <w:p w:rsidRDefault="008C15FB" w:rsidP="008C15FB" w:rsidR="008C15FB">
      <w:pPr>
        <w:numPr>
          <w:ilvl w:val="0"/>
          <w:numId w:val="8"/>
        </w:numPr>
        <w:autoSpaceDE w:val="false"/>
        <w:autoSpaceDN w:val="false"/>
        <w:adjustRightInd w:val="false"/>
        <w:spacing w:lineRule="auto" w:line="288" w:after="0"/>
        <w:ind w:hanging="357" w:left="1077"/>
        <w:jc w:val="both"/>
        <w:rPr>
          <w:rFonts w:eastAsiaTheme="minorEastAsia" w:cs="Tahoma" w:hAnsi="Century Gothic" w:ascii="Century Gothic"/>
        </w:rPr>
      </w:pPr>
      <w:r>
        <w:rPr>
          <w:rFonts w:cs="Tahoma" w:eastAsia="Calibri" w:hAnsi="Century Gothic" w:ascii="Century Gothic"/>
          <w:bdr w:frame="true" w:space="0" w:sz="0" w:color="auto" w:val="none"/>
          <w:lang w:eastAsia="hr-HR"/>
        </w:rPr>
        <w:t>donesu odluku o načinu unovčenja imovine stečajnog dužnika,</w:t>
      </w:r>
    </w:p>
    <w:p w:rsidRDefault="008C15FB" w:rsidP="008C15FB" w:rsidR="008C15FB">
      <w:pPr>
        <w:numPr>
          <w:ilvl w:val="0"/>
          <w:numId w:val="8"/>
        </w:numPr>
        <w:spacing w:lineRule="auto" w:line="288" w:after="0"/>
        <w:ind w:hanging="357" w:left="1077"/>
        <w:jc w:val="both"/>
        <w:rPr>
          <w:rFonts w:cs="Arial" w:eastAsia="Arial" w:hAnsi="Century Gothic" w:ascii="Century Gothic"/>
          <w:bdr w:frame="true" w:space="0" w:sz="0" w:color="auto" w:val="none"/>
          <w:lang w:eastAsia="hr-HR"/>
        </w:rPr>
      </w:pPr>
      <w:r>
        <w:rPr>
          <w:rFonts w:cs="Tahoma" w:eastAsia="Calibri" w:hAnsi="Century Gothic" w:ascii="Century Gothic"/>
          <w:bdr w:frame="true" w:space="0" w:sz="0" w:color="auto" w:val="none"/>
          <w:lang w:eastAsia="hr-HR"/>
        </w:rPr>
        <w:t>daju suglasnost stečajnom upravitelju da izda punomoć za zastupanje odvjetniku za eventualne postupke u tijeku, postupke koji će biti nastavljeni ili pokrenuti u korist stečajne mase.</w:t>
      </w:r>
    </w:p>
    <w:p w:rsidRDefault="008C15FB" w:rsidP="008C15FB" w:rsidR="008C15FB">
      <w:pPr>
        <w:spacing w:lineRule="auto" w:line="288" w:after="0"/>
        <w:ind w:left="720"/>
        <w:jc w:val="both"/>
        <w:rPr>
          <w:rFonts w:cs="Arial" w:eastAsia="Arial" w:hAnsi="Century Gothic" w:ascii="Century Gothic"/>
          <w:bdr w:frame="true" w:space="0" w:sz="0" w:color="auto" w:val="none"/>
          <w:lang w:eastAsia="hr-HR"/>
        </w:rPr>
      </w:pPr>
    </w:p>
    <w:p w:rsidRDefault="008C15FB" w:rsidP="008C15FB" w:rsidR="008C15FB">
      <w:pPr>
        <w:tabs>
          <w:tab w:pos="426" w:val="left"/>
        </w:tabs>
        <w:suppressAutoHyphens/>
        <w:spacing w:lineRule="auto" w:line="240" w:after="0"/>
        <w:jc w:val="both"/>
        <w:rPr>
          <w:rFonts w:cs="Times New Roman" w:eastAsia="Times New Roman" w:hAnsi="Century Gothic" w:ascii="Century Gothic"/>
          <w:lang w:eastAsia="ar-SA"/>
        </w:rPr>
      </w:pPr>
    </w:p>
    <w:p w:rsidRDefault="008C15FB" w:rsidP="008C15FB" w:rsidR="008C15FB">
      <w:pPr>
        <w:autoSpaceDE w:val="false"/>
        <w:autoSpaceDN w:val="false"/>
        <w:adjustRightInd w:val="false"/>
        <w:spacing w:lineRule="auto" w:line="288"/>
        <w:jc w:val="both"/>
        <w:rPr>
          <w:rFonts w:eastAsiaTheme="minorEastAsia" w:cs="Calibri" w:hAnsi="Century Gothic" w:ascii="Century Gothic"/>
        </w:rPr>
      </w:pPr>
      <w:r>
        <w:rPr>
          <w:rFonts w:eastAsiaTheme="minorEastAsia" w:cs="Calibri" w:hAnsi="Century Gothic" w:ascii="Century Gothic"/>
        </w:rPr>
        <w:t>U Križevcima, 28. prosinca 2017.</w:t>
      </w:r>
    </w:p>
    <w:p w:rsidRDefault="008C15FB" w:rsidP="008C15FB" w:rsidR="008C15FB">
      <w:pPr>
        <w:autoSpaceDE w:val="false"/>
        <w:autoSpaceDN w:val="false"/>
        <w:adjustRightInd w:val="false"/>
        <w:spacing w:lineRule="auto" w:line="288"/>
        <w:jc w:val="right"/>
        <w:rPr>
          <w:rFonts w:eastAsiaTheme="minorEastAsia" w:cs="Tahoma" w:hAnsi="Century Gothic" w:ascii="Century Gothic"/>
        </w:rPr>
      </w:pPr>
      <w:r>
        <w:rPr>
          <w:rFonts w:eastAsiaTheme="minorEastAsia" w:cs="Tahoma" w:hAnsi="Century Gothic" w:ascii="Century Gothic"/>
        </w:rPr>
        <w:t>Stečajni upravitelj</w:t>
      </w:r>
    </w:p>
    <w:p w:rsidRDefault="008C15FB" w:rsidP="008C15FB" w:rsidR="008C15FB">
      <w:pPr>
        <w:autoSpaceDE w:val="false"/>
        <w:autoSpaceDN w:val="false"/>
        <w:adjustRightInd w:val="false"/>
        <w:spacing w:lineRule="auto" w:line="288"/>
        <w:ind w:firstLine="708" w:left="6372"/>
        <w:jc w:val="center"/>
        <w:rPr>
          <w:rFonts w:eastAsiaTheme="minorEastAsia" w:cs="Tahoma" w:hAnsi="Century Gothic" w:ascii="Century Gothic"/>
        </w:rPr>
      </w:pPr>
      <w:r>
        <w:rPr>
          <w:rFonts w:eastAsiaTheme="minorEastAsia" w:cs="Tahoma" w:hAnsi="Century Gothic" w:ascii="Century Gothic"/>
        </w:rPr>
        <w:t>Darko Šket</w:t>
      </w:r>
    </w:p>
    <w:p w:rsidRDefault="008C15FB" w:rsidP="008C15FB" w:rsidR="008C15FB">
      <w:pPr>
        <w:autoSpaceDE w:val="false"/>
        <w:autoSpaceDN w:val="false"/>
        <w:adjustRightInd w:val="false"/>
        <w:spacing w:lineRule="auto" w:line="288"/>
        <w:ind w:firstLine="708" w:left="6372"/>
        <w:jc w:val="center"/>
        <w:rPr>
          <w:rFonts w:eastAsiaTheme="minorEastAsia" w:cs="Tahoma" w:hAnsi="Century Gothic" w:ascii="Century Gothic"/>
        </w:rPr>
      </w:pPr>
      <w:r>
        <w:rPr>
          <w:rFonts w:eastAsiaTheme="minorEastAsia" w:cs="Tahoma" w:hAnsi="Century Gothic" w:ascii="Century Gothic"/>
          <w:noProof/>
          <w:lang w:eastAsia="hr-HR"/>
        </w:rPr>
        <w:drawing>
          <wp:inline distR="0" distL="0" distB="0" distT="0">
            <wp:extent cy="1264920" cx="1496060"/>
            <wp:effectExtent b="0" r="8890" t="0" l="0"/>
            <wp:docPr descr="../IMG_3953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../IMG_3953.jp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64920" cx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Prilog: </w:t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ab/>
        <w:t xml:space="preserve"> 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1x Bilanca za poduzetnike  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     na dan 31.12.2016. g.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1x Račun dobiti i gubitka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     na dan 31.12.2016. g.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4x izvod iz zemljišnih knjiga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1x Uvjerenje MUP, PU zagrebačka, </w:t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     od 02.11.2017. godine</w:t>
      </w:r>
      <w:r>
        <w:rPr>
          <w:rFonts w:cs="Times New Roman" w:eastAsia="Times New Roman" w:hAnsi="Century Gothic" w:ascii="Century Gothic"/>
          <w:lang w:eastAsia="hr-HR"/>
        </w:rPr>
        <w:tab/>
      </w:r>
    </w:p>
    <w:p w:rsidRDefault="008C15FB" w:rsidP="008C15FB" w:rsidR="008C15FB">
      <w:pPr>
        <w:pStyle w:val="Bezproreda"/>
        <w:jc w:val="both"/>
        <w:rPr>
          <w:rFonts w:cs="Times New Roman" w:eastAsia="Times New Roman" w:hAnsi="Century Gothic" w:ascii="Century Gothic"/>
          <w:color w:themeShade="BF" w:themeColor="accent2" w:val="943634"/>
          <w:lang w:eastAsia="hr-HR"/>
        </w:rPr>
      </w:pPr>
      <w:r>
        <w:rPr>
          <w:rFonts w:cs="Times New Roman" w:eastAsia="Times New Roman" w:hAnsi="Century Gothic" w:ascii="Century Gothic"/>
          <w:color w:themeShade="BF" w:themeColor="accent2" w:val="943634"/>
          <w:lang w:eastAsia="hr-HR"/>
        </w:rPr>
        <w:t xml:space="preserve"> </w:t>
      </w:r>
    </w:p>
    <w:p w:rsidRDefault="007D28F4" w:rsidR="007D28F4"/>
    <w:sectPr w:rsidR="007D28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21113"/>
    <w:multiLevelType w:val="hybridMultilevel"/>
    <w:tmpl w:val="91BC7B64"/>
    <w:lvl w:tplc="041A000F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">
    <w:nsid w:val="0F7C4B94"/>
    <w:multiLevelType w:val="hybridMultilevel"/>
    <w:tmpl w:val="6262E080"/>
    <w:lvl w:tplc="812E3134" w:ilvl="0">
      <w:start w:val="1"/>
      <w:numFmt w:val="bullet"/>
      <w:lvlText w:val="-"/>
      <w:lvlJc w:val="left"/>
      <w:pPr>
        <w:ind w:hanging="360" w:left="840"/>
      </w:pPr>
      <w:rPr>
        <w:rFonts w:cstheme="minorBidi" w:eastAsiaTheme="minorHAnsi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2">
    <w:nsid w:val="11DF588E"/>
    <w:multiLevelType w:val="hybridMultilevel"/>
    <w:tmpl w:val="111CAD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3962E70"/>
    <w:multiLevelType w:val="hybridMultilevel"/>
    <w:tmpl w:val="611CD104"/>
    <w:lvl w:tplc="43A8FB66" w:ilvl="0">
      <w:start w:val="1"/>
      <w:numFmt w:val="lowerLetter"/>
      <w:lvlText w:val="%1)"/>
      <w:lvlJc w:val="left"/>
      <w:pPr>
        <w:ind w:hanging="360" w:left="720"/>
      </w:pPr>
      <w:rPr>
        <w:sz w:val="22"/>
        <w:szCs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1E3228"/>
    <w:multiLevelType w:val="hybridMultilevel"/>
    <w:tmpl w:val="885CD38E"/>
    <w:lvl w:tplc="C51C5850" w:ilvl="0">
      <w:start w:val="1"/>
      <w:numFmt w:val="bullet"/>
      <w:lvlText w:val="-"/>
      <w:lvlJc w:val="left"/>
      <w:pPr>
        <w:ind w:hanging="360" w:left="1095"/>
      </w:pPr>
      <w:rPr>
        <w:rFonts w:cstheme="minorBidi" w:eastAsiaTheme="minorHAnsi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8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3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5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9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1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55"/>
      </w:pPr>
      <w:rPr>
        <w:rFonts w:hAnsi="Wingdings" w:ascii="Wingdings" w:hint="default"/>
      </w:rPr>
    </w:lvl>
  </w:abstractNum>
  <w:abstractNum w:abstractNumId="5">
    <w:nsid w:val="38985206"/>
    <w:multiLevelType w:val="hybridMultilevel"/>
    <w:tmpl w:val="6E30A638"/>
    <w:lvl w:tplc="2FBED94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1961A3"/>
    <w:multiLevelType w:val="hybridMultilevel"/>
    <w:tmpl w:val="10D4FE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BA65614"/>
    <w:multiLevelType w:val="hybridMultilevel"/>
    <w:tmpl w:val="1E60AB60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15FB"/>
    <w:rsid w:val="007D28F4"/>
    <w:rsid w:val="008C15FB"/>
    <w:rsid w:val="0096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5FB"/>
    <w:pPr>
      <w:spacing w:lineRule="auto" w:line="256" w:after="16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C15FB"/>
    <w:pPr>
      <w:spacing w:lineRule="auto" w:line="240" w:after="0"/>
    </w:pPr>
  </w:style>
  <w:style w:styleId="Odlomakpopisa" w:type="paragraph">
    <w:name w:val="List Paragraph"/>
    <w:basedOn w:val="Normal"/>
    <w:qFormat/>
    <w:rsid w:val="008C15FB"/>
    <w:pPr>
      <w:spacing w:lineRule="auto" w:line="276"/>
      <w:ind w:left="720"/>
      <w:contextualSpacing/>
    </w:pPr>
    <w:rPr>
      <w:rFonts w:eastAsiaTheme="minorEastAsia"/>
      <w:sz w:val="21"/>
      <w:szCs w:val="21"/>
    </w:rPr>
  </w:style>
  <w:style w:customStyle="true" w:styleId="TableGrid" w:type="table">
    <w:name w:val="TableGrid"/>
    <w:rsid w:val="008C15FB"/>
    <w:pPr>
      <w:spacing w:lineRule="auto" w:line="240" w:after="0"/>
    </w:pPr>
    <w:rPr>
      <w:rFonts w:eastAsiaTheme="minorEastAsia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C15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15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8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8E5"/>
    <w:rPr>
      <w:rFonts w:hAnsi="Century Gothic" w:ascii="Century Gothic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8E5"/>
    <w:rPr>
      <w:rFonts w:cs="Times New Roman" w:hAnsi="Century Gothic" w:ascii="Century Gothic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8E5"/>
    <w:rPr>
      <w:rFonts w:cs="Times New Roman" w:hAnsi="Century Gothic" w:ascii="Century Gothic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5FB"/>
    <w:pPr>
      <w:spacing w:after="160" w:line="25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C15FB"/>
    <w:pPr>
      <w:spacing w:after="0" w:line="240" w:lineRule="auto"/>
    </w:pPr>
  </w:style>
  <w:style w:styleId="Odlomakpopisa" w:type="paragraph">
    <w:name w:val="List Paragraph"/>
    <w:basedOn w:val="Normal"/>
    <w:qFormat/>
    <w:rsid w:val="008C15FB"/>
    <w:pPr>
      <w:spacing w:line="276" w:lineRule="auto"/>
      <w:ind w:left="720"/>
      <w:contextualSpacing/>
    </w:pPr>
    <w:rPr>
      <w:rFonts w:eastAsiaTheme="minorEastAsia"/>
      <w:sz w:val="21"/>
      <w:szCs w:val="21"/>
    </w:rPr>
  </w:style>
  <w:style w:customStyle="1" w:styleId="TableGrid" w:type="table">
    <w:name w:val="TableGrid"/>
    <w:rsid w:val="008C15FB"/>
    <w:pPr>
      <w:spacing w:after="0" w:line="240" w:lineRule="auto"/>
    </w:pPr>
    <w:rPr>
      <w:rFonts w:eastAsiaTheme="minorEastAsia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C15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15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8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8E5"/>
    <w:rPr>
      <w:rFonts w:ascii="Century Gothic" w:hAnsi="Century Gothic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8E5"/>
    <w:rPr>
      <w:rFonts w:ascii="Century Gothic" w:cs="Times New Roman" w:hAnsi="Century Gothic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8E5"/>
    <w:rPr>
      <w:rFonts w:ascii="Century Gothic" w:cs="Times New Roman" w:hAnsi="Century Gothic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7290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St-389/2017-12</izvorni_sadrzaj>
    <derivirana_varijabla naziv="DomainObject.Oznaka_1">St-389/2017-12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 TORANJ društvo s ograničenom odgovornošću za medicinsku djelatnost, usluge i trgovinu</izvorni_sadrzaj>
    <derivirana_varijabla naziv="DomainObject.Predmet.ProtustrankaFormated_1">  MEDI TORANJ društvo s ograničenom odgovornošću za medicinsku djelatnost, usluge i trgovinu</derivirana_varijabla>
  </DomainObject.Predmet.ProtustrankaFormated>
  <DomainObject.Predmet.ProtustrankaFormatedOIB>
    <izvorni_sadrzaj>  MEDI TORANJ društvo s ograničenom odgovornošću za medicinsku djelatnost, usluge i trgovinu, OIB 29683817092</izvorni_sadrzaj>
    <derivirana_varijabla naziv="DomainObject.Predmet.ProtustrankaFormatedOIB_1">  MEDI TORANJ društvo s ograničenom odgovornošću za medicinsku djelatnost, usluge i trgovinu, OIB 29683817092</derivirana_varijabla>
  </DomainObject.Predmet.ProtustrankaFormatedOIB>
  <DomainObject.Predmet.ProtustrankaFormatedWithAdress>
    <izvorni_sadrzaj> MEDI TORANJ društvo s ograničenom odgovornošću za medicinsku djelatnost, usluge i trgovinu, Ksaverska cesta 59, 10000 Zagreb</izvorni_sadrzaj>
    <derivirana_varijabla naziv="DomainObject.Predmet.ProtustrankaFormatedWithAdress_1"> MEDI TORANJ društvo s ograničenom odgovornošću za medicinsku djelatnost, usluge i trgovinu, Ksaverska cesta 59, 10000 Zagreb</derivirana_varijabla>
  </DomainObject.Predmet.ProtustrankaFormatedWithAdress>
  <DomainObject.Predmet.ProtustrankaFormatedWithAdressOIB>
    <izvorni_sadrzaj> MEDI TORANJ društvo s ograničenom odgovornošću za medicinsku djelatnost, usluge i trgovinu, OIB 29683817092, Ksaverska cesta 59, 10000 Zagreb</izvorni_sadrzaj>
    <derivirana_varijabla naziv="DomainObject.Predmet.ProtustrankaFormatedWithAdressOIB_1"> MEDI TORANJ društvo s ograničenom odgovornošću za medicinsku djelatnost, usluge i trgovinu, OIB 29683817092, Ksaverska cesta 59, 10000 Zagreb</derivirana_varijabla>
  </DomainObject.Predmet.ProtustrankaFormatedWithAdressOIB>
  <DomainObject.Predmet.ProtustrankaWithAdress>
    <izvorni_sadrzaj>MEDI TORANJ društvo s ograničenom odgovornošću za medicinsku djelatnost, usluge i trgovinu Ksaverska cesta 59, 10000 Zagreb</izvorni_sadrzaj>
    <derivirana_varijabla naziv="DomainObject.Predmet.ProtustrankaWithAdress_1">MEDI TORANJ društvo s ograničenom odgovornošću za medicinsku djelatnost, usluge i trgovinu Ksaverska cesta 59, 10000 Zagreb</derivirana_varijabla>
  </DomainObject.Predmet.ProtustrankaWithAdress>
  <DomainObject.Predmet.ProtustrankaWithAdressOIB>
    <izvorni_sadrzaj>MEDI TORANJ društvo s ograničenom odgovornošću za medicinsku djelatnost, usluge i trgovinu, OIB 29683817092, Ksaverska cesta 59, 10000 Zagreb</izvorni_sadrzaj>
    <derivirana_varijabla naziv="DomainObject.Predmet.ProtustrankaWithAdressOIB_1">MEDI TORANJ društvo s ograničenom odgovornošću za medicinsku djelatnost, usluge i trgovinu, OIB 29683817092, Ksaverska cesta 59, 10000 Zagreb</derivirana_varijabla>
  </DomainObject.Predmet.ProtustrankaWithAdressOIB>
  <DomainObject.Predmet.ProtustrankaNazivFormated>
    <izvorni_sadrzaj>MEDI TORANJ društvo s ograničenom odgovornošću za medicinsku djelatnost, usluge i trgovinu</izvorni_sadrzaj>
    <derivirana_varijabla naziv="DomainObject.Predmet.ProtustrankaNazivFormated_1">MEDI TORANJ društvo s ograničenom odgovornošću za medicinsku djelatnost, usluge i trgovinu</derivirana_varijabla>
  </DomainObject.Predmet.ProtustrankaNazivFormated>
  <DomainObject.Predmet.ProtustrankaNazivFormatedOIB>
    <izvorni_sadrzaj>MEDI TORANJ društvo s ograničenom odgovornošću za medicinsku djelatnost, usluge i trgovinu, OIB 29683817092</izvorni_sadrzaj>
    <derivirana_varijabla naziv="DomainObject.Predmet.ProtustrankaNazivFormatedOIB_1">MEDI TORANJ društvo s ograničenom odgovornošću za medicinsku djelatnost, usluge i trgovinu, OIB 29683817092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MEDI TORANJ društvo s ograničenom odgovornošću za medicinsku djelatnost, usluge i trgovinu</item>
    </izvorni_sadrzaj>
    <derivirana_varijabla naziv="DomainObject.Predmet.ProtuStrankaListFormated_1">
      <item>MEDI TORANJ društvo s ograničenom odgovornošću za medicinsku djelatnost, usluge i trgovinu</item>
    </derivirana_varijabla>
  </DomainObject.Predmet.ProtuStrankaListFormated>
  <DomainObject.Predmet.ProtuStrankaListFormatedOIB>
    <izvorni_sadrzaj>
      <item>MEDI TORANJ društvo s ograničenom odgovornošću za medicinsku djelatnost, usluge i trgovinu, OIB 29683817092</item>
    </izvorni_sadrzaj>
    <derivirana_varijabla naziv="DomainObject.Predmet.ProtuStrankaListFormatedOIB_1">
      <item>MEDI TORANJ društvo s ograničenom odgovornošću za medicinsku djelatnost, usluge i trgovinu, OIB 29683817092</item>
    </derivirana_varijabla>
  </DomainObject.Predmet.ProtuStrankaListFormatedOIB>
  <DomainObject.Predmet.ProtuStrankaListFormatedWithAdress>
    <izvorni_sadrzaj>
      <item>MEDI TORANJ društvo s ograničenom odgovornošću za medicinsku djelatnost, usluge i trgovinu, Ksaverska cesta 59, 10000 Zagreb</item>
    </izvorni_sadrzaj>
    <derivirana_varijabla naziv="DomainObject.Predmet.ProtuStrankaListFormatedWithAdress_1">
      <item>MEDI TORANJ društvo s ograničenom odgovornošću za medicinsku djelatnost, usluge i trgovinu, Ksaverska cesta 59, 10000 Zagreb</item>
    </derivirana_varijabla>
  </DomainObject.Predmet.ProtuStrankaListFormatedWithAdress>
  <DomainObject.Predmet.ProtuStrankaListFormatedWithAdressOIB>
    <izvorni_sadrzaj>
      <item>MEDI TORANJ društvo s ograničenom odgovornošću za medicinsku djelatnost, usluge i trgovinu, OIB 29683817092, Ksaverska cesta 59, 10000 Zagreb</item>
    </izvorni_sadrzaj>
    <derivirana_varijabla naziv="DomainObject.Predmet.ProtuStrankaListFormatedWithAdressOIB_1">
      <item>MEDI TORANJ društvo s ograničenom odgovornošću za medicinsku djelatnost, usluge i trgovinu, OIB 29683817092, Ksaverska cesta 59, 10000 Zagreb</item>
    </derivirana_varijabla>
  </DomainObject.Predmet.ProtuStrankaListFormatedWithAdressOIB>
  <DomainObject.Predmet.ProtuStrankaListNazivFormated>
    <izvorni_sadrzaj>
      <item>MEDI TORANJ društvo s ograničenom odgovornošću za medicinsku djelatnost, usluge i trgovinu</item>
    </izvorni_sadrzaj>
    <derivirana_varijabla naziv="DomainObject.Predmet.ProtuStrankaListNazivFormated_1">
      <item>MEDI TORANJ društvo s ograničenom odgovornošću za medicinsku djelatnost, usluge i trgovinu</item>
    </derivirana_varijabla>
  </DomainObject.Predmet.ProtuStrankaListNazivFormated>
  <DomainObject.Predmet.ProtuStrankaListNazivFormatedOIB>
    <izvorni_sadrzaj>
      <item>MEDI TORANJ društvo s ograničenom odgovornošću za medicinsku djelatnost, usluge i trgovinu, OIB 29683817092</item>
    </izvorni_sadrzaj>
    <derivirana_varijabla naziv="DomainObject.Predmet.ProtuStrankaListNazivFormatedOIB_1">
      <item>MEDI TORANJ društvo s ograničenom odgovornošću za medicinsku djelatnost, usluge i trgovinu, OIB 29683817092</item>
    </derivirana_varijabla>
  </DomainObject.Predmet.ProtuStrankaListNazivFormatedOIB>
  <DomainObject.Predmet.OstaliListFormated>
    <izvorni_sadrzaj>
      <item>Alan Vlatko Ivanišević</item>
      <item>Županijsko državno odvjetništvo u Bjelovaru</item>
      <item>Općinski sud u Zadru, Zemljišnoknjižni odjel</item>
    </izvorni_sadrzaj>
    <derivirana_varijabla naziv="DomainObject.Predmet.OstaliListFormated_1">
      <item>Alan Vlatko Ivanišević</item>
      <item>Županijsko državno odvjetništvo u Bjelovaru</item>
      <item>Općinski sud u Zadru, Zemljišnoknjižni odjel</item>
    </derivirana_varijabla>
  </DomainObject.Predmet.OstaliListFormated>
  <DomainObject.Predmet.OstaliListFormatedOIB>
    <izvorni_sadrzaj>
      <item>Alan Vlatko Ivanišević, OIB 93465924400</item>
      <item>Županijsko državno odvjetništvo u Bjelovaru, OIB 86821435474</item>
      <item>Općinski sud u Zadru, Zemljišnoknjižni odjel</item>
    </izvorni_sadrzaj>
    <derivirana_varijabla naziv="DomainObject.Predmet.OstaliListFormatedOIB_1">
      <item>Alan Vlatko Ivanišević, OIB 93465924400</item>
      <item>Županijsko državno odvjetništvo u Bjelovaru, OIB 86821435474</item>
      <item>Općinski sud u Zadru, Zemljišnoknjižni odjel</item>
    </derivirana_varijabla>
  </DomainObject.Predmet.OstaliListFormatedOIB>
  <DomainObject.Predmet.OstaliListFormatedWithAdress>
    <izvorni_sadrzaj>
      <item>Alan Vlatko Ivanišević, Ulica Pavla Hatza 23/6, 10000 Zagreb</item>
      <item>Županijsko državno odvjetništvo u Bjelovaru</item>
      <item>Općinski sud u Zadru, Zemljišnoknjižni odjel, ., 23000 Zadar</item>
    </izvorni_sadrzaj>
    <derivirana_varijabla naziv="DomainObject.Predmet.OstaliListFormatedWithAdress_1">
      <item>Alan Vlatko Ivanišević, Ulica Pavla Hatza 23/6, 10000 Zagreb</item>
      <item>Županijsko državno odvjetništvo u Bjelovaru</item>
      <item>Općinski sud u Zadru, Zemljišnoknjižni odjel, ., 23000 Zadar</item>
    </derivirana_varijabla>
  </DomainObject.Predmet.OstaliListFormatedWithAdress>
  <DomainObject.Predmet.OstaliListFormatedWithAdressOIB>
    <izvorni_sadrzaj>
      <item>Alan Vlatko Ivanišević, OIB 93465924400, Ulica Pavla Hatza 23/6, 10000 Zagreb</item>
      <item>Županijsko državno odvjetništvo u Bjelovaru, OIB 86821435474</item>
      <item>Općinski sud u Zadru, Zemljišnoknjižni odjel, ., 23000 Zadar</item>
    </izvorni_sadrzaj>
    <derivirana_varijabla naziv="DomainObject.Predmet.OstaliListFormatedWithAdressOIB_1">
      <item>Alan Vlatko Ivanišević, OIB 93465924400, Ulica Pavla Hatza 23/6, 10000 Zagreb</item>
      <item>Županijsko državno odvjetništvo u Bjelovaru, OIB 86821435474</item>
      <item>Općinski sud u Zadru, Zemljišnoknjižni odjel, ., 23000 Zadar</item>
    </derivirana_varijabla>
  </DomainObject.Predmet.OstaliListFormatedWithAdressOIB>
  <DomainObject.Predmet.OstaliListNazivFormated>
    <izvorni_sadrzaj>
      <item>Alan Vlatko Ivanišević</item>
      <item>Županijsko državno odvjetništvo u Bjelovaru</item>
      <item>Općinski sud u Zadru, Zemljišnoknjižni odjel</item>
    </izvorni_sadrzaj>
    <derivirana_varijabla naziv="DomainObject.Predmet.OstaliListNazivFormated_1">
      <item>Alan Vlatko Ivanišević</item>
      <item>Županijsko državno odvjetništvo u Bjelovaru</item>
      <item>Općinski sud u Zadru, Zemljišnoknjižni odjel</item>
    </derivirana_varijabla>
  </DomainObject.Predmet.OstaliListNazivFormated>
  <DomainObject.Predmet.OstaliListNazivFormatedOIB>
    <izvorni_sadrzaj>
      <item>Alan Vlatko Ivanišević, OIB 93465924400</item>
      <item>Županijsko državno odvjetništvo u Bjelovaru, OIB 86821435474</item>
      <item>Općinski sud u Zadru, Zemljišnoknjižni odjel</item>
    </izvorni_sadrzaj>
    <derivirana_varijabla naziv="DomainObject.Predmet.OstaliListNazivFormatedOIB_1">
      <item>Alan Vlatko Ivanišević, OIB 93465924400</item>
      <item>Županijsko državno odvjetništvo u Bjelovaru, OIB 86821435474</item>
      <item>Općinski sud u Zadru,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MEDI TORANJ društvo s ograničenom odgovornošću za medicinsku djelatnost, usluge i trgovinu</izvorni_sadrzaj>
    <derivirana_varijabla naziv="DomainObject.Predmet.ProtustrankaIDrugi_1">MEDI TORANJ društvo s ograničenom odgovornošću za medicinsku djelatnost, usluge i trgovinu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MEDI TORANJ društvo s ograničenom odgovornošću za medicinsku djelatnost, usluge i trgovinu, OIB 29683817092, Ksaverska cesta 59, 10000 Zagreb</izvorni_sadrzaj>
    <derivirana_varijabla naziv="DomainObject.Predmet.ProtustrankaIDrugiAdressOIB_1">MEDI TORANJ društvo s ograničenom odgovornošću za medicinsku djelatnost, usluge i trgovinu, OIB 29683817092, Ksaverska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</izvorni_sadrzaj>
    <derivirana_varijabla naziv="DomainObject.Predmet.SudioniciListNaziv_1"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</derivirana_varijabla>
  </DomainObject.Predmet.SudioniciListNaziv>
  <DomainObject.Predmet.SudioniciListAdressOIB>
    <izvorni_sadrzaj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</izvorni_sadrzaj>
    <derivirana_varijabla naziv="DomainObject.Predmet.SudioniciListAdressOIB_1"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29683817092</item>
      <item>, OIB 93465924400</item>
      <item>, OIB 52634238587</item>
      <item>, OIB 86821435474</item>
      <item>, OIB null</item>
    </izvorni_sadrzaj>
    <derivirana_varijabla naziv="DomainObject.Predmet.SudioniciListNazivOIB_1">
      <item>, OIB 29683817092</item>
      <item>, OIB 93465924400</item>
      <item>, OIB 52634238587</item>
      <item>, OIB 86821435474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3167</properties:Words>
  <properties:Characters>19485</properties:Characters>
  <properties:Lines>501</properties:Lines>
  <properties:Paragraphs>232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2017-12-29T12:41:00Z</dcterms:created>
  <dc:creator>Vesna Dragišić</dc:creator>
  <cp:lastModifiedBy>Vesna Dragišić</cp:lastModifiedBy>
  <dcterms:modified xmlns:xsi="http://www.w3.org/2001/XMLSchema-instance" xsi:type="dcterms:W3CDTF">2017-12-29T12:49:00Z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St-389/2017-12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