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2512e" w14:paraId="572512e" w:rsidRDefault="002D4C04" w:rsidP="002D4C04" w:rsidR="002D4C04">
      <w:pPr>
        <w15:collapsed w:val="false"/>
      </w:pPr>
      <w:bookmarkStart w:name="_GoBack" w:id="0"/>
      <w:bookmarkEnd w:id="0"/>
      <w:r>
        <w:t xml:space="preserve">          </w:t>
      </w:r>
      <w:r>
        <w:rPr>
          <w:noProof/>
          <w:lang w:eastAsia="hr-HR"/>
        </w:rPr>
        <w:drawing>
          <wp:inline distR="0" distL="0" distB="0" distT="0">
            <wp:extent cy="723900" cx="539750"/>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39750"/>
                    </a:xfrm>
                    <a:prstGeom prst="rect">
                      <a:avLst/>
                    </a:prstGeom>
                    <a:noFill/>
                    <a:ln>
                      <a:noFill/>
                    </a:ln>
                  </pic:spPr>
                </pic:pic>
              </a:graphicData>
            </a:graphic>
          </wp:inline>
        </w:drawing>
      </w:r>
    </w:p>
    <w:p w:rsidRDefault="002D4C04" w:rsidP="002D4C04" w:rsidR="002D4C04">
      <w:r>
        <w:t>REPUBLIKA HRVATSKA</w:t>
      </w:r>
    </w:p>
    <w:p w:rsidRDefault="002D4C04" w:rsidP="002D4C04" w:rsidR="002D4C04">
      <w:r>
        <w:t>TRGOVAČKI SUD U OSIJEKU</w:t>
      </w:r>
    </w:p>
    <w:p w:rsidRDefault="002D4C04" w:rsidP="002D4C04" w:rsidR="002D4C04">
      <w:r>
        <w:t>STALNA SLUŽBA U SLAVONSKOM BRODU</w:t>
      </w:r>
    </w:p>
    <w:p w:rsidRDefault="002D4C04" w:rsidP="002D4C04" w:rsidR="002D4C04">
      <w:r>
        <w:t>Trg pobjede 13</w:t>
      </w:r>
    </w:p>
    <w:p w:rsidRDefault="002D4C04" w:rsidP="002D4C04" w:rsidR="002D4C04">
      <w:r>
        <w:t xml:space="preserve">35000 SLAVONSKI BROD                                                    </w:t>
      </w:r>
      <w:r w:rsidR="00CA05A4">
        <w:t xml:space="preserve">          Broj: 3/St-409/2012-97</w:t>
      </w:r>
    </w:p>
    <w:p w:rsidRDefault="002D4C04" w:rsidP="002D4C04" w:rsidR="002D4C04"/>
    <w:p w:rsidRDefault="002D4C04" w:rsidP="002D4C04" w:rsidR="002D4C04">
      <w:pPr>
        <w:spacing w:beforeAutospacing="true" w:before="100"/>
        <w:jc w:val="center"/>
        <w:rPr>
          <w:b/>
          <w:color w:val="222222"/>
        </w:rPr>
      </w:pPr>
      <w:r>
        <w:rPr>
          <w:b/>
          <w:color w:val="222222"/>
        </w:rPr>
        <w:t xml:space="preserve">Z A K L J U Č A K </w:t>
      </w:r>
    </w:p>
    <w:p w:rsidRDefault="002D4C04" w:rsidP="002D4C04" w:rsidR="002D4C04">
      <w:pPr>
        <w:ind w:firstLine="708"/>
        <w:jc w:val="both"/>
        <w:rPr>
          <w:color w:val="222222"/>
        </w:rPr>
      </w:pPr>
      <w:r>
        <w:rPr>
          <w:color w:val="222222"/>
        </w:rPr>
        <w:t xml:space="preserve">TRGOVAČKI SUD U OSIJEKU, STALNA SLUŽBA U SLAVONSKOM BRODU, Trg pobjede 13/III, po sutkinji Danieli Martini Maoduš, u stečajnom postupku nad dužnikom </w:t>
      </w:r>
      <w:r>
        <w:rPr>
          <w:b/>
        </w:rPr>
        <w:t>TRENTO PROMET d.o.o. u stečaju, Ivandol 58, Brestovac, OIB: 35238979687,</w:t>
      </w:r>
      <w:r>
        <w:t xml:space="preserve"> zastupano po stečajnom upravitelju Perici Medakoviću iz Daruvara</w:t>
      </w:r>
      <w:r>
        <w:rPr>
          <w:color w:val="222222"/>
        </w:rPr>
        <w:t xml:space="preserve">, </w:t>
      </w:r>
      <w:r w:rsidR="00CA05A4">
        <w:rPr>
          <w:color w:val="222222"/>
        </w:rPr>
        <w:t>5. travnja</w:t>
      </w:r>
      <w:r>
        <w:rPr>
          <w:color w:val="222222"/>
        </w:rPr>
        <w:t xml:space="preserve"> 2018.</w:t>
      </w:r>
    </w:p>
    <w:p w:rsidRDefault="002D4C04" w:rsidP="002D4C04" w:rsidR="002D4C04">
      <w:pPr>
        <w:jc w:val="center"/>
      </w:pPr>
      <w:r>
        <w:t>z a k l j u č i o   j e</w:t>
      </w:r>
    </w:p>
    <w:p w:rsidRDefault="00CA05A4" w:rsidP="002D4C04" w:rsidR="002D4C04">
      <w:pPr>
        <w:ind w:firstLine="708"/>
        <w:jc w:val="both"/>
      </w:pPr>
      <w:r>
        <w:t>Sud zastaje s postupkom prodaje pokretnina pod razlučnim</w:t>
      </w:r>
      <w:r w:rsidR="000B10F5">
        <w:t xml:space="preserve"> pravom</w:t>
      </w:r>
      <w:r>
        <w:t xml:space="preserve"> na rok od godinu dana.</w:t>
      </w:r>
    </w:p>
    <w:p w:rsidRDefault="00E57DB7" w:rsidP="00E57DB7" w:rsidR="00E57DB7">
      <w:pPr>
        <w:ind w:firstLine="708"/>
        <w:jc w:val="both"/>
      </w:pPr>
      <w:r>
        <w:t>Nalaže se steč. upravitelju: obavijestiti sud o preuzimanju u posjed pokretnina pod razlučnim pravom; provesti postupak prodaje pokretnina pod razlučnim pravom u razdoblju od godinu dana slobodnom pogodbom; obavještavati razlučnog vjerovnika o stanju stvari pod razlučnim pravom, odnosno dopustiti razlučnom vjerovniku razgledanje stvari na njegov zahtjev; prije nego steč. upravitelj – ponuditelj otuđi stvar slobodnom pogodbom, dužan je razlučnom vjerovniku H-ABDUCO d.o.o., Zagreb  priopćiti na koji način i za koju cijenu te kome namjerava otuđiti pokretnine pod razlučnim pravom te omogućiti istom razlučnom vjerovniku da u roku od osam dana od dostave obavijesti steč.upravitelja putem pošte, preporučeno predloži unovčenje predmeta koje bi za njega bilo povoljnije; ako prijedlog razlučnog vjerovnika bude podnesen u roku od osam dana ili pravodobno prije otuđenja, steč. upravitelj dužan je uzeti u obzir mogućnost povoljnijeg otuđenja koje je predložio vjerovnik.</w:t>
      </w:r>
    </w:p>
    <w:p w:rsidRDefault="00E57DB7" w:rsidP="00E57DB7" w:rsidR="00E57DB7">
      <w:pPr>
        <w:ind w:firstLine="708"/>
        <w:jc w:val="both"/>
      </w:pPr>
      <w:r>
        <w:t>Drugačija mogućnost unovčenja može biti u tome da vjerovnik sam preuzme predmet.</w:t>
      </w:r>
    </w:p>
    <w:p w:rsidRDefault="00E57DB7" w:rsidP="00E57DB7" w:rsidR="00E57DB7">
      <w:pPr>
        <w:ind w:firstLine="708"/>
        <w:jc w:val="both"/>
      </w:pPr>
      <w:r>
        <w:t>Povoljnijom se smatra i ona ponuda kojom se smanjuju troškovi.</w:t>
      </w:r>
    </w:p>
    <w:p w:rsidRDefault="00E57DB7" w:rsidP="00E57DB7" w:rsidR="00E57DB7">
      <w:pPr>
        <w:ind w:firstLine="708"/>
        <w:jc w:val="both"/>
      </w:pPr>
      <w:r>
        <w:t xml:space="preserve">Dok pokretnine koje je steč. upravitelj  ovlašten unovčiti slobodnom pogodbom ne budu unovčene vjerovnik ima pravo na kamate koje teku od izvještajnog ročišta. </w:t>
      </w:r>
    </w:p>
    <w:p w:rsidRDefault="00E57DB7" w:rsidP="00E57DB7" w:rsidR="00E57DB7">
      <w:pPr>
        <w:ind w:firstLine="708"/>
        <w:jc w:val="both"/>
      </w:pPr>
      <w:r>
        <w:lastRenderedPageBreak/>
        <w:t>Vjerovnik nema pravo na kamate koje teku od izvještajnog ročišta, ako se prema iznosu tražbine te vrijednosti drugih tereta na predmetu, vjerovnik ne bi mogao namiriti iz utrška. Nakon što steč. upravitelj unovči pokretnine pod razlučnim pravom iz utrška će se u stečajnu masu prije svega unijeti iznos potreba za naknadu troškova utvrđivanja tražbine ili unovčenja. Od preostalog iznosa će se namiriti razlučni vjerovnik.</w:t>
      </w:r>
    </w:p>
    <w:p w:rsidRDefault="00E57DB7" w:rsidP="00E57DB7" w:rsidR="00E57DB7">
      <w:pPr>
        <w:ind w:firstLine="708"/>
        <w:jc w:val="both"/>
      </w:pPr>
      <w:r>
        <w:t>Steč. upravitelj je dužan dostaviti sudu obračun troškova unovčenja predmeta na kojem postoji razlučno pravo u roku od osam dana od dana pravomoćnosti rješenja o dosudi.</w:t>
      </w:r>
    </w:p>
    <w:p w:rsidRDefault="00E57DB7" w:rsidP="00E57DB7" w:rsidR="00E57DB7">
      <w:pPr>
        <w:ind w:firstLine="708"/>
        <w:jc w:val="both"/>
      </w:pPr>
      <w:r>
        <w:t xml:space="preserve">Troškovi unovčenja obuhvaćaju stvarno nastale troškove i ostale obveze stečajne mase, ako je zbog unovčenja steč. masa opterećena porezom iznos toga poreza će se izračunati u troškove unovčenja. </w:t>
      </w:r>
    </w:p>
    <w:p w:rsidRDefault="00E57DB7" w:rsidP="00E57DB7" w:rsidR="00E57DB7">
      <w:pPr>
        <w:ind w:firstLine="708"/>
        <w:jc w:val="both"/>
      </w:pPr>
      <w:r>
        <w:t>Nakon isteka roka od godinu dana u kojem roku steč. upravitelj ima pravo na unovčenje predmetnih pokretnina slobodnom pogodbom, vjerovnik ima pravo unovčiti stvar ili tražbinu osim ukoliko se ne izjasni da želi da se pokretnina proda javnim dražbama putem Fine.</w:t>
      </w:r>
    </w:p>
    <w:p w:rsidRDefault="00E57DB7" w:rsidP="00E57DB7" w:rsidR="00E57DB7">
      <w:pPr>
        <w:ind w:firstLine="708"/>
        <w:jc w:val="both"/>
      </w:pPr>
      <w:r>
        <w:t>Ukoliko će razlučni vjerovnik po isteku roka od godinu dana, unovčavati predmetne pokretnine, sud će odrediti rok u kojem razlučni vjerovnik mora unovčiti predmetne pokretnine, a nakon isteka toga roka sud će dostaviti zaključak Fini da predmetne pokretnine  prodaje putem javnih dražbi.</w:t>
      </w:r>
    </w:p>
    <w:p w:rsidRDefault="000B10F5" w:rsidP="000B10F5" w:rsidR="000B10F5">
      <w:pPr>
        <w:tabs>
          <w:tab w:pos="708" w:val="left"/>
        </w:tabs>
        <w:spacing w:after="0"/>
        <w:contextualSpacing/>
        <w:rPr>
          <w:rStyle w:val="Naglaeno"/>
          <w:rFonts w:eastAsiaTheme="majorEastAsia"/>
        </w:rPr>
      </w:pPr>
      <w:r>
        <w:rPr>
          <w:rStyle w:val="Naglaeno"/>
          <w:rFonts w:eastAsiaTheme="majorEastAsia"/>
        </w:rPr>
        <w:tab/>
      </w:r>
      <w:r w:rsidRPr="000B10F5">
        <w:rPr>
          <w:rStyle w:val="Naglaeno"/>
          <w:rFonts w:eastAsiaTheme="majorEastAsia"/>
          <w:b w:val="false"/>
        </w:rPr>
        <w:t>Pokretnine se prodaju djelomično u grupama koje čine uporabne cjeline, a djelomično pojedinačno - naziv pokretnina i utvrđena vrijednost za svaku grupu pokretnina ili pojedinačne pokretnine:</w:t>
      </w:r>
    </w:p>
    <w:p w:rsidRDefault="000B10F5" w:rsidP="000B10F5" w:rsidR="000B10F5">
      <w:pPr>
        <w:tabs>
          <w:tab w:pos="708" w:val="left"/>
        </w:tabs>
        <w:spacing w:after="0"/>
        <w:contextualSpacing/>
        <w:rPr>
          <w:rStyle w:val="Naglaeno"/>
          <w:rFonts w:eastAsiaTheme="majorEastAsia"/>
          <w:b w:val="false"/>
        </w:rPr>
      </w:pPr>
      <w:r>
        <w:rPr>
          <w:rStyle w:val="Naglaeno"/>
          <w:rFonts w:eastAsiaTheme="majorEastAsia"/>
        </w:rPr>
        <w:t xml:space="preserve"> </w:t>
      </w:r>
    </w:p>
    <w:tbl>
      <w:tblPr>
        <w:tblW w:type="auto" w:w="0"/>
        <w:tblInd w:type="dxa" w:w="55"/>
        <w:tblLayout w:type="fixed"/>
        <w:tblCellMar>
          <w:top w:type="dxa" w:w="55"/>
          <w:left w:type="dxa" w:w="55"/>
          <w:bottom w:type="dxa" w:w="55"/>
          <w:right w:type="dxa" w:w="55"/>
        </w:tblCellMar>
        <w:tblLook w:val="04A0" w:noVBand="1" w:noHBand="0" w:lastColumn="0" w:firstColumn="1" w:lastRow="0" w:firstRow="1"/>
      </w:tblPr>
      <w:tblGrid>
        <w:gridCol w:w="450"/>
        <w:gridCol w:w="7380"/>
        <w:gridCol w:w="1815"/>
      </w:tblGrid>
      <w:tr w:rsidTr="000B10F5" w:rsidR="000B10F5">
        <w:tc>
          <w:tcPr>
            <w:tcW w:type="dxa" w:w="450"/>
            <w:tcBorders>
              <w:top w:space="0" w:sz="2" w:color="000000" w:val="single"/>
              <w:left w:space="0" w:sz="2" w:color="000000" w:val="single"/>
              <w:bottom w:space="0" w:sz="2" w:color="000000" w:val="single"/>
              <w:right w:val="nil"/>
            </w:tcBorders>
            <w:hideMark/>
          </w:tcPr>
          <w:p w:rsidRDefault="000B10F5" w:rsidR="000B10F5">
            <w:pPr>
              <w:pStyle w:val="Sadrajitablice"/>
              <w:spacing w:lineRule="auto" w:line="276"/>
              <w:jc w:val="center"/>
              <w:rPr>
                <w:rFonts w:hint="eastAsia"/>
                <w:lang w:val="en-US"/>
              </w:rPr>
            </w:pPr>
            <w:r>
              <w:rPr>
                <w:rFonts w:hAnsi="Times New Roman" w:ascii="Times New Roman"/>
                <w:b/>
                <w:bCs/>
                <w:sz w:val="22"/>
                <w:szCs w:val="22"/>
                <w:lang w:val="en-US"/>
              </w:rPr>
              <w:t>Rb</w:t>
            </w:r>
          </w:p>
        </w:tc>
        <w:tc>
          <w:tcPr>
            <w:tcW w:type="dxa" w:w="7380"/>
            <w:tcBorders>
              <w:top w:space="0" w:sz="2" w:color="000000" w:val="single"/>
              <w:left w:space="0" w:sz="2" w:color="000000" w:val="single"/>
              <w:bottom w:space="0" w:sz="2" w:color="000000" w:val="single"/>
              <w:right w:val="nil"/>
            </w:tcBorders>
            <w:hideMark/>
          </w:tcPr>
          <w:p w:rsidRDefault="000B10F5" w:rsidR="000B10F5">
            <w:pPr>
              <w:pStyle w:val="Sadrajitablice"/>
              <w:spacing w:lineRule="auto" w:line="276"/>
              <w:jc w:val="center"/>
              <w:rPr>
                <w:rFonts w:hint="eastAsia"/>
                <w:lang w:val="en-US"/>
              </w:rPr>
            </w:pPr>
            <w:r>
              <w:rPr>
                <w:rFonts w:hAnsi="Times New Roman" w:ascii="Times New Roman"/>
                <w:b/>
                <w:bCs/>
                <w:sz w:val="22"/>
                <w:szCs w:val="22"/>
                <w:lang w:val="en-US"/>
              </w:rPr>
              <w:t>Naziv opreme</w:t>
            </w:r>
          </w:p>
        </w:tc>
        <w:tc>
          <w:tcPr>
            <w:tcW w:type="dxa" w:w="1815"/>
            <w:tcBorders>
              <w:top w:space="0" w:sz="2" w:color="000000" w:val="single"/>
              <w:left w:space="0" w:sz="2" w:color="000000" w:val="single"/>
              <w:bottom w:space="0" w:sz="2" w:color="000000" w:val="single"/>
              <w:right w:space="0" w:sz="2" w:color="000000" w:val="single"/>
            </w:tcBorders>
            <w:hideMark/>
          </w:tcPr>
          <w:p w:rsidRDefault="000B10F5" w:rsidR="000B10F5">
            <w:pPr>
              <w:pStyle w:val="Sadrajitablice"/>
              <w:spacing w:lineRule="auto" w:line="276"/>
              <w:jc w:val="center"/>
              <w:rPr>
                <w:rFonts w:hint="eastAsia"/>
                <w:lang w:val="en-US"/>
              </w:rPr>
            </w:pPr>
            <w:r>
              <w:rPr>
                <w:rFonts w:hAnsi="Times New Roman" w:ascii="Times New Roman"/>
                <w:b/>
                <w:bCs/>
                <w:sz w:val="22"/>
                <w:szCs w:val="22"/>
                <w:lang w:val="en-US"/>
              </w:rPr>
              <w:t>Utvrđena</w:t>
            </w:r>
          </w:p>
          <w:p w:rsidRDefault="000B10F5" w:rsidR="000B10F5">
            <w:pPr>
              <w:pStyle w:val="Sadrajitablice"/>
              <w:spacing w:lineRule="auto" w:line="276"/>
              <w:jc w:val="center"/>
              <w:rPr>
                <w:rFonts w:hint="eastAsia"/>
                <w:lang w:val="en-US"/>
              </w:rPr>
            </w:pPr>
            <w:r>
              <w:rPr>
                <w:rFonts w:hAnsi="Times New Roman" w:ascii="Times New Roman"/>
                <w:b/>
                <w:bCs/>
                <w:sz w:val="22"/>
                <w:szCs w:val="22"/>
                <w:lang w:val="en-US"/>
              </w:rPr>
              <w:t>vrijednost</w:t>
            </w:r>
          </w:p>
        </w:tc>
      </w:tr>
      <w:tr w:rsidTr="000B10F5" w:rsidR="000B10F5">
        <w:tc>
          <w:tcPr>
            <w:tcW w:type="dxa" w:w="450"/>
            <w:tcBorders>
              <w:top w:val="nil"/>
              <w:left w:space="0" w:sz="2" w:color="000000" w:val="single"/>
              <w:bottom w:space="0" w:sz="2" w:color="000000" w:val="single"/>
              <w:right w:val="nil"/>
            </w:tcBorders>
            <w:hideMark/>
          </w:tcPr>
          <w:p w:rsidRDefault="000B10F5" w:rsidR="000B10F5">
            <w:pPr>
              <w:pStyle w:val="Sadrajitablice"/>
              <w:spacing w:lineRule="auto" w:line="276"/>
              <w:jc w:val="center"/>
              <w:rPr>
                <w:rFonts w:hint="eastAsia"/>
                <w:lang w:val="en-US"/>
              </w:rPr>
            </w:pPr>
            <w:r>
              <w:rPr>
                <w:rFonts w:hAnsi="Times New Roman" w:ascii="Times New Roman"/>
                <w:sz w:val="22"/>
                <w:szCs w:val="22"/>
                <w:lang w:val="en-US"/>
              </w:rPr>
              <w:t>1.</w:t>
            </w:r>
          </w:p>
        </w:tc>
        <w:tc>
          <w:tcPr>
            <w:tcW w:type="dxa" w:w="7380"/>
            <w:tcBorders>
              <w:top w:val="nil"/>
              <w:left w:space="0" w:sz="2" w:color="000000" w:val="single"/>
              <w:bottom w:space="0" w:sz="2" w:color="000000" w:val="single"/>
              <w:right w:val="nil"/>
            </w:tcBorders>
            <w:hideMark/>
          </w:tcPr>
          <w:p w:rsidRDefault="000B10F5" w:rsidR="000B10F5">
            <w:pPr>
              <w:suppressAutoHyphens/>
              <w:spacing w:after="240"/>
              <w:jc w:val="both"/>
              <w:rPr>
                <w:rFonts w:cs="Lucida Sans" w:eastAsia="SimSun" w:hAnsi="Liberation Serif" w:ascii="Liberation Serif" w:hint="eastAsia"/>
                <w:kern w:val="2"/>
                <w:lang w:bidi="hi-IN" w:eastAsia="zh-CN" w:val="en-US"/>
              </w:rPr>
            </w:pPr>
            <w:r>
              <w:rPr>
                <w:sz w:val="22"/>
                <w:szCs w:val="22"/>
                <w:lang w:val="en-US"/>
              </w:rPr>
              <w:t>Proizvodnja ozona, proizvođač SEVERN TRENT SERVICES, USA, model JPS-50GPM, kapacitet 50 gal per min = 2000 lit/h, serijski broj: 91297/J6541</w:t>
            </w:r>
          </w:p>
        </w:tc>
        <w:tc>
          <w:tcPr>
            <w:tcW w:type="dxa" w:w="1815"/>
            <w:tcBorders>
              <w:top w:val="nil"/>
              <w:left w:space="0" w:sz="2" w:color="000000" w:val="single"/>
              <w:bottom w:space="0" w:sz="2" w:color="000000" w:val="single"/>
              <w:right w:space="0" w:sz="2" w:color="000000" w:val="single"/>
            </w:tcBorders>
            <w:hideMark/>
          </w:tcPr>
          <w:p w:rsidRDefault="000B10F5" w:rsidR="000B10F5">
            <w:pPr>
              <w:pStyle w:val="Sadrajitablice"/>
              <w:spacing w:lineRule="auto" w:line="276"/>
              <w:jc w:val="right"/>
              <w:rPr>
                <w:rFonts w:hint="eastAsia"/>
                <w:lang w:val="en-US"/>
              </w:rPr>
            </w:pPr>
            <w:r>
              <w:rPr>
                <w:rFonts w:hAnsi="Times New Roman" w:ascii="Times New Roman"/>
                <w:sz w:val="22"/>
                <w:szCs w:val="22"/>
                <w:lang w:val="en-US"/>
              </w:rPr>
              <w:t>105.000,00 kn</w:t>
            </w:r>
          </w:p>
        </w:tc>
      </w:tr>
      <w:tr w:rsidTr="000B10F5" w:rsidR="000B10F5">
        <w:tc>
          <w:tcPr>
            <w:tcW w:type="dxa" w:w="450"/>
            <w:tcBorders>
              <w:top w:val="nil"/>
              <w:left w:space="0" w:sz="2" w:color="000000" w:val="single"/>
              <w:bottom w:space="0" w:sz="2" w:color="000000" w:val="single"/>
              <w:right w:val="nil"/>
            </w:tcBorders>
            <w:hideMark/>
          </w:tcPr>
          <w:p w:rsidRDefault="000B10F5" w:rsidR="000B10F5">
            <w:pPr>
              <w:pStyle w:val="Sadrajitablice"/>
              <w:spacing w:lineRule="auto" w:line="276"/>
              <w:jc w:val="center"/>
              <w:rPr>
                <w:rFonts w:hint="eastAsia"/>
                <w:lang w:val="en-US"/>
              </w:rPr>
            </w:pPr>
            <w:r>
              <w:rPr>
                <w:rFonts w:hAnsi="Times New Roman" w:ascii="Times New Roman"/>
                <w:sz w:val="22"/>
                <w:szCs w:val="22"/>
                <w:lang w:val="en-US"/>
              </w:rPr>
              <w:t>2.</w:t>
            </w:r>
          </w:p>
        </w:tc>
        <w:tc>
          <w:tcPr>
            <w:tcW w:type="dxa" w:w="7380"/>
            <w:tcBorders>
              <w:top w:val="nil"/>
              <w:left w:space="0" w:sz="2" w:color="000000" w:val="single"/>
              <w:bottom w:space="0" w:sz="2" w:color="000000" w:val="single"/>
              <w:right w:val="nil"/>
            </w:tcBorders>
            <w:hideMark/>
          </w:tcPr>
          <w:p w:rsidRDefault="000B10F5" w:rsidR="000B10F5">
            <w:pPr>
              <w:ind w:right="113"/>
              <w:jc w:val="both"/>
              <w:rPr>
                <w:rFonts w:cs="Lucida Sans" w:eastAsia="SimSun" w:hAnsi="Liberation Serif" w:ascii="Liberation Serif" w:hint="eastAsia"/>
                <w:kern w:val="2"/>
                <w:lang w:bidi="hi-IN" w:eastAsia="zh-CN" w:val="en-US"/>
              </w:rPr>
            </w:pPr>
            <w:r>
              <w:rPr>
                <w:sz w:val="22"/>
                <w:szCs w:val="22"/>
                <w:lang w:val="en-US"/>
              </w:rPr>
              <w:t>Linija za proizvodnju sokova i punjenje u staklene boce, proizvođač CRONES tip AD2000, koja se sastoji od:</w:t>
            </w:r>
          </w:p>
          <w:p w:rsidRDefault="000B10F5" w:rsidR="000B10F5">
            <w:pPr>
              <w:ind w:right="113"/>
              <w:jc w:val="both"/>
              <w:rPr>
                <w:rFonts w:cstheme="minorBidi"/>
                <w:lang w:val="en-US"/>
              </w:rPr>
            </w:pPr>
            <w:r>
              <w:rPr>
                <w:sz w:val="22"/>
                <w:szCs w:val="22"/>
                <w:lang w:val="en-US"/>
              </w:rPr>
              <w:t xml:space="preserve">-peračica boca, </w:t>
            </w:r>
          </w:p>
          <w:p w:rsidRDefault="000B10F5" w:rsidR="000B10F5">
            <w:pPr>
              <w:ind w:right="113"/>
              <w:jc w:val="both"/>
              <w:rPr>
                <w:lang w:val="en-US"/>
              </w:rPr>
            </w:pPr>
            <w:r>
              <w:rPr>
                <w:sz w:val="22"/>
                <w:szCs w:val="22"/>
                <w:lang w:val="en-US"/>
              </w:rPr>
              <w:t xml:space="preserve">-spremnik sirupa vol 500 l, </w:t>
            </w:r>
          </w:p>
          <w:p w:rsidRDefault="000B10F5" w:rsidR="000B10F5">
            <w:pPr>
              <w:ind w:right="113"/>
              <w:jc w:val="both"/>
              <w:rPr>
                <w:lang w:val="en-US"/>
              </w:rPr>
            </w:pPr>
            <w:r>
              <w:rPr>
                <w:sz w:val="22"/>
                <w:szCs w:val="22"/>
                <w:lang w:val="en-US"/>
              </w:rPr>
              <w:t>-čepilica boca sa 5 mjesta</w:t>
            </w:r>
          </w:p>
          <w:p w:rsidRDefault="000B10F5" w:rsidR="000B10F5">
            <w:pPr>
              <w:ind w:right="113"/>
              <w:jc w:val="both"/>
              <w:rPr>
                <w:lang w:val="en-US"/>
              </w:rPr>
            </w:pPr>
            <w:r>
              <w:rPr>
                <w:sz w:val="22"/>
                <w:szCs w:val="22"/>
                <w:lang w:val="en-US"/>
              </w:rPr>
              <w:t>-punilica boca sa 12 mjesta,</w:t>
            </w:r>
          </w:p>
          <w:p w:rsidRDefault="000B10F5" w:rsidR="000B10F5">
            <w:pPr>
              <w:ind w:right="113"/>
              <w:jc w:val="both"/>
              <w:rPr>
                <w:lang w:val="en-US"/>
              </w:rPr>
            </w:pPr>
            <w:r>
              <w:rPr>
                <w:sz w:val="22"/>
                <w:szCs w:val="22"/>
                <w:lang w:val="en-US"/>
              </w:rPr>
              <w:t>-etiketirka,</w:t>
            </w:r>
          </w:p>
          <w:p w:rsidRDefault="000B10F5" w:rsidR="000B10F5">
            <w:pPr>
              <w:suppressAutoHyphens/>
              <w:spacing w:after="240"/>
              <w:ind w:right="113"/>
              <w:jc w:val="both"/>
              <w:rPr>
                <w:rFonts w:cs="Lucida Sans" w:eastAsia="SimSun" w:hAnsi="Liberation Serif" w:ascii="Liberation Serif" w:hint="eastAsia"/>
                <w:kern w:val="2"/>
                <w:lang w:bidi="hi-IN" w:eastAsia="zh-CN" w:val="en-US"/>
              </w:rPr>
            </w:pPr>
            <w:r>
              <w:rPr>
                <w:sz w:val="22"/>
                <w:szCs w:val="22"/>
                <w:lang w:val="en-US"/>
              </w:rPr>
              <w:t>-stroj za miješanje (premix) tip PIRZER, serijski broj: 0097</w:t>
            </w:r>
          </w:p>
        </w:tc>
        <w:tc>
          <w:tcPr>
            <w:tcW w:type="dxa" w:w="1815"/>
            <w:tcBorders>
              <w:top w:val="nil"/>
              <w:left w:space="0" w:sz="2" w:color="000000" w:val="single"/>
              <w:bottom w:space="0" w:sz="2" w:color="000000" w:val="single"/>
              <w:right w:space="0" w:sz="2" w:color="000000" w:val="single"/>
            </w:tcBorders>
            <w:hideMark/>
          </w:tcPr>
          <w:p w:rsidRDefault="000B10F5" w:rsidR="000B10F5">
            <w:pPr>
              <w:pStyle w:val="Sadrajitablice"/>
              <w:spacing w:lineRule="auto" w:line="276"/>
              <w:jc w:val="right"/>
              <w:rPr>
                <w:rFonts w:hint="eastAsia"/>
                <w:lang w:val="en-US"/>
              </w:rPr>
            </w:pPr>
            <w:r>
              <w:rPr>
                <w:rFonts w:hAnsi="Times New Roman" w:ascii="Times New Roman"/>
                <w:sz w:val="22"/>
                <w:szCs w:val="22"/>
                <w:lang w:val="en-US"/>
              </w:rPr>
              <w:t>115.200,00 kn</w:t>
            </w:r>
          </w:p>
        </w:tc>
      </w:tr>
      <w:tr w:rsidTr="000B10F5" w:rsidR="000B10F5">
        <w:tc>
          <w:tcPr>
            <w:tcW w:type="dxa" w:w="450"/>
            <w:tcBorders>
              <w:top w:val="nil"/>
              <w:left w:space="0" w:sz="2" w:color="000000" w:val="single"/>
              <w:bottom w:space="0" w:sz="2" w:color="000000" w:val="single"/>
              <w:right w:val="nil"/>
            </w:tcBorders>
            <w:hideMark/>
          </w:tcPr>
          <w:p w:rsidRDefault="000B10F5" w:rsidR="000B10F5">
            <w:pPr>
              <w:pStyle w:val="Sadrajitablice"/>
              <w:spacing w:lineRule="auto" w:line="276"/>
              <w:jc w:val="center"/>
              <w:rPr>
                <w:rFonts w:hint="eastAsia"/>
                <w:lang w:val="en-US"/>
              </w:rPr>
            </w:pPr>
            <w:r>
              <w:rPr>
                <w:rFonts w:hAnsi="Times New Roman" w:ascii="Times New Roman"/>
                <w:sz w:val="22"/>
                <w:szCs w:val="22"/>
                <w:lang w:val="en-US"/>
              </w:rPr>
              <w:t>3.</w:t>
            </w:r>
          </w:p>
        </w:tc>
        <w:tc>
          <w:tcPr>
            <w:tcW w:type="dxa" w:w="7380"/>
            <w:tcBorders>
              <w:top w:val="nil"/>
              <w:left w:space="0" w:sz="2" w:color="000000" w:val="single"/>
              <w:bottom w:space="0" w:sz="2" w:color="000000" w:val="single"/>
              <w:right w:val="nil"/>
            </w:tcBorders>
            <w:hideMark/>
          </w:tcPr>
          <w:p w:rsidRDefault="000B10F5" w:rsidR="000B10F5">
            <w:pPr>
              <w:ind w:right="57"/>
              <w:jc w:val="both"/>
              <w:rPr>
                <w:rFonts w:cs="Lucida Sans" w:eastAsia="SimSun" w:hAnsi="Liberation Serif" w:ascii="Liberation Serif" w:hint="eastAsia"/>
                <w:kern w:val="2"/>
                <w:lang w:bidi="hi-IN" w:eastAsia="zh-CN" w:val="en-US"/>
              </w:rPr>
            </w:pPr>
            <w:r>
              <w:rPr>
                <w:sz w:val="22"/>
                <w:szCs w:val="22"/>
                <w:lang w:val="en-US"/>
              </w:rPr>
              <w:t xml:space="preserve">Linija za proizvodnju sokova i punjenje u pet boce, proizvođač VISITRON tip </w:t>
            </w:r>
            <w:r>
              <w:rPr>
                <w:sz w:val="22"/>
                <w:szCs w:val="22"/>
                <w:lang w:val="en-US"/>
              </w:rPr>
              <w:lastRenderedPageBreak/>
              <w:t>VK PET 12/20/4S, koja se sastoji od:</w:t>
            </w:r>
          </w:p>
          <w:p w:rsidRDefault="000B10F5" w:rsidR="000B10F5">
            <w:pPr>
              <w:ind w:right="57"/>
              <w:jc w:val="both"/>
              <w:rPr>
                <w:rFonts w:cstheme="minorBidi"/>
                <w:lang w:val="en-US"/>
              </w:rPr>
            </w:pPr>
            <w:r>
              <w:rPr>
                <w:sz w:val="22"/>
                <w:szCs w:val="22"/>
                <w:lang w:val="en-US"/>
              </w:rPr>
              <w:t xml:space="preserve">-punilica tip AIS 20/VK24/6S, </w:t>
            </w:r>
          </w:p>
          <w:p w:rsidRDefault="000B10F5" w:rsidR="000B10F5">
            <w:pPr>
              <w:ind w:right="57"/>
              <w:jc w:val="both"/>
              <w:rPr>
                <w:lang w:val="en-US"/>
              </w:rPr>
            </w:pPr>
            <w:r>
              <w:rPr>
                <w:sz w:val="22"/>
                <w:szCs w:val="22"/>
                <w:lang w:val="en-US"/>
              </w:rPr>
              <w:t xml:space="preserve">-etiketirka tip VIPEL-2, </w:t>
            </w:r>
          </w:p>
          <w:p w:rsidRDefault="000B10F5" w:rsidR="000B10F5">
            <w:pPr>
              <w:ind w:right="57"/>
              <w:jc w:val="both"/>
              <w:rPr>
                <w:lang w:val="en-US"/>
              </w:rPr>
            </w:pPr>
            <w:r>
              <w:rPr>
                <w:sz w:val="22"/>
                <w:szCs w:val="22"/>
                <w:lang w:val="en-US"/>
              </w:rPr>
              <w:t>-stroj za miješanje (premix) tip JAKU PM-E-S-60, tv. broj: 2167-(2xPM-E-S-30)</w:t>
            </w:r>
          </w:p>
          <w:p w:rsidRDefault="000B10F5" w:rsidR="000B10F5">
            <w:pPr>
              <w:ind w:right="57"/>
              <w:jc w:val="both"/>
              <w:rPr>
                <w:lang w:val="en-US"/>
              </w:rPr>
            </w:pPr>
            <w:r>
              <w:rPr>
                <w:sz w:val="22"/>
                <w:szCs w:val="22"/>
                <w:lang w:val="en-US"/>
              </w:rPr>
              <w:t xml:space="preserve">-transportna traka </w:t>
            </w:r>
          </w:p>
          <w:p w:rsidRDefault="000B10F5" w:rsidR="000B10F5">
            <w:pPr>
              <w:suppressAutoHyphens/>
              <w:spacing w:after="240"/>
              <w:ind w:right="57"/>
              <w:jc w:val="both"/>
              <w:rPr>
                <w:rFonts w:cs="Lucida Sans" w:eastAsia="SimSun" w:hAnsi="Liberation Serif" w:ascii="Liberation Serif" w:hint="eastAsia"/>
                <w:kern w:val="2"/>
                <w:lang w:bidi="hi-IN" w:eastAsia="zh-CN" w:val="en-US"/>
              </w:rPr>
            </w:pPr>
            <w:r>
              <w:rPr>
                <w:sz w:val="22"/>
                <w:szCs w:val="22"/>
                <w:lang w:val="en-US"/>
              </w:rPr>
              <w:t>-cip postrojenje tip CIP-VIPCIP-1</w:t>
            </w:r>
          </w:p>
        </w:tc>
        <w:tc>
          <w:tcPr>
            <w:tcW w:type="dxa" w:w="1815"/>
            <w:tcBorders>
              <w:top w:val="nil"/>
              <w:left w:space="0" w:sz="2" w:color="000000" w:val="single"/>
              <w:bottom w:space="0" w:sz="2" w:color="000000" w:val="single"/>
              <w:right w:space="0" w:sz="2" w:color="000000" w:val="single"/>
            </w:tcBorders>
            <w:hideMark/>
          </w:tcPr>
          <w:p w:rsidRDefault="000B10F5" w:rsidR="000B10F5">
            <w:pPr>
              <w:pStyle w:val="Sadrajitablice"/>
              <w:spacing w:lineRule="auto" w:line="276"/>
              <w:jc w:val="right"/>
              <w:rPr>
                <w:rFonts w:hint="eastAsia"/>
                <w:lang w:val="en-US"/>
              </w:rPr>
            </w:pPr>
            <w:r>
              <w:rPr>
                <w:rFonts w:hAnsi="Times New Roman" w:ascii="Times New Roman"/>
                <w:sz w:val="22"/>
                <w:szCs w:val="22"/>
                <w:lang w:val="en-US"/>
              </w:rPr>
              <w:lastRenderedPageBreak/>
              <w:t>51.000,00 kn</w:t>
            </w:r>
          </w:p>
        </w:tc>
      </w:tr>
      <w:tr w:rsidTr="000B10F5" w:rsidR="000B10F5">
        <w:tc>
          <w:tcPr>
            <w:tcW w:type="dxa" w:w="450"/>
            <w:tcBorders>
              <w:top w:val="nil"/>
              <w:left w:space="0" w:sz="2" w:color="000000" w:val="single"/>
              <w:bottom w:space="0" w:sz="2" w:color="000000" w:val="single"/>
              <w:right w:val="nil"/>
            </w:tcBorders>
            <w:hideMark/>
          </w:tcPr>
          <w:p w:rsidRDefault="000B10F5" w:rsidR="000B10F5">
            <w:pPr>
              <w:pStyle w:val="Sadrajitablice"/>
              <w:spacing w:lineRule="auto" w:line="276"/>
              <w:jc w:val="center"/>
              <w:rPr>
                <w:rFonts w:hint="eastAsia"/>
                <w:lang w:val="en-US"/>
              </w:rPr>
            </w:pPr>
            <w:r>
              <w:rPr>
                <w:rFonts w:hAnsi="Times New Roman" w:ascii="Times New Roman"/>
                <w:sz w:val="22"/>
                <w:szCs w:val="22"/>
                <w:lang w:val="en-US"/>
              </w:rPr>
              <w:lastRenderedPageBreak/>
              <w:t>4.</w:t>
            </w:r>
          </w:p>
        </w:tc>
        <w:tc>
          <w:tcPr>
            <w:tcW w:type="dxa" w:w="7380"/>
            <w:tcBorders>
              <w:top w:val="nil"/>
              <w:left w:space="0" w:sz="2" w:color="000000" w:val="single"/>
              <w:bottom w:space="0" w:sz="2" w:color="000000" w:val="single"/>
              <w:right w:val="nil"/>
            </w:tcBorders>
            <w:hideMark/>
          </w:tcPr>
          <w:p w:rsidRDefault="000B10F5" w:rsidR="000B10F5">
            <w:pPr>
              <w:suppressAutoHyphens/>
              <w:spacing w:after="240"/>
              <w:ind w:right="-113"/>
              <w:jc w:val="both"/>
              <w:rPr>
                <w:rFonts w:cs="Lucida Sans" w:eastAsia="SimSun" w:hAnsi="Liberation Serif" w:ascii="Liberation Serif" w:hint="eastAsia"/>
                <w:kern w:val="2"/>
                <w:lang w:bidi="hi-IN" w:eastAsia="zh-CN" w:val="en-US"/>
              </w:rPr>
            </w:pPr>
            <w:r>
              <w:rPr>
                <w:sz w:val="22"/>
                <w:szCs w:val="22"/>
                <w:lang w:val="en-US"/>
              </w:rPr>
              <w:t>Etiketirka ROLLINA tip 6-480 H</w:t>
            </w:r>
          </w:p>
        </w:tc>
        <w:tc>
          <w:tcPr>
            <w:tcW w:type="dxa" w:w="1815"/>
            <w:tcBorders>
              <w:top w:val="nil"/>
              <w:left w:space="0" w:sz="2" w:color="000000" w:val="single"/>
              <w:bottom w:space="0" w:sz="2" w:color="000000" w:val="single"/>
              <w:right w:space="0" w:sz="2" w:color="000000" w:val="single"/>
            </w:tcBorders>
            <w:hideMark/>
          </w:tcPr>
          <w:p w:rsidRDefault="000B10F5" w:rsidR="000B10F5">
            <w:pPr>
              <w:pStyle w:val="Sadrajitablice"/>
              <w:spacing w:lineRule="auto" w:line="276"/>
              <w:jc w:val="right"/>
              <w:rPr>
                <w:rFonts w:hint="eastAsia"/>
                <w:lang w:val="en-US"/>
              </w:rPr>
            </w:pPr>
            <w:r>
              <w:rPr>
                <w:rFonts w:hAnsi="Times New Roman" w:ascii="Times New Roman"/>
                <w:sz w:val="22"/>
                <w:szCs w:val="22"/>
                <w:lang w:val="en-US"/>
              </w:rPr>
              <w:t>32.000,00 kn</w:t>
            </w:r>
          </w:p>
        </w:tc>
      </w:tr>
      <w:tr w:rsidTr="000B10F5" w:rsidR="000B10F5">
        <w:tc>
          <w:tcPr>
            <w:tcW w:type="dxa" w:w="450"/>
            <w:tcBorders>
              <w:top w:val="nil"/>
              <w:left w:space="0" w:sz="2" w:color="000000" w:val="single"/>
              <w:bottom w:space="0" w:sz="2" w:color="000000" w:val="single"/>
              <w:right w:val="nil"/>
            </w:tcBorders>
            <w:hideMark/>
          </w:tcPr>
          <w:p w:rsidRDefault="000B10F5" w:rsidR="000B10F5">
            <w:pPr>
              <w:pStyle w:val="Sadrajitablice"/>
              <w:spacing w:lineRule="auto" w:line="276"/>
              <w:jc w:val="center"/>
              <w:rPr>
                <w:rFonts w:hint="eastAsia"/>
                <w:lang w:val="en-US"/>
              </w:rPr>
            </w:pPr>
            <w:r>
              <w:rPr>
                <w:rFonts w:hAnsi="Times New Roman" w:ascii="Times New Roman"/>
                <w:sz w:val="22"/>
                <w:szCs w:val="22"/>
                <w:lang w:val="en-US"/>
              </w:rPr>
              <w:t>5.</w:t>
            </w:r>
          </w:p>
        </w:tc>
        <w:tc>
          <w:tcPr>
            <w:tcW w:type="dxa" w:w="7380"/>
            <w:tcBorders>
              <w:top w:val="nil"/>
              <w:left w:space="0" w:sz="2" w:color="000000" w:val="single"/>
              <w:bottom w:space="0" w:sz="2" w:color="000000" w:val="single"/>
              <w:right w:val="nil"/>
            </w:tcBorders>
            <w:hideMark/>
          </w:tcPr>
          <w:p w:rsidRDefault="000B10F5" w:rsidR="000B10F5">
            <w:pPr>
              <w:suppressAutoHyphens/>
              <w:spacing w:after="240"/>
              <w:ind w:right="-113"/>
              <w:jc w:val="both"/>
              <w:rPr>
                <w:rFonts w:cs="Lucida Sans" w:eastAsia="SimSun" w:hAnsi="Liberation Serif" w:ascii="Liberation Serif" w:hint="eastAsia"/>
                <w:kern w:val="2"/>
                <w:lang w:bidi="hi-IN" w:eastAsia="zh-CN" w:val="en-US"/>
              </w:rPr>
            </w:pPr>
            <w:r>
              <w:rPr>
                <w:sz w:val="22"/>
                <w:szCs w:val="22"/>
                <w:lang w:val="en-US"/>
              </w:rPr>
              <w:t>Pakirka VIRO tip PPPTAZ 600/SU/T</w:t>
            </w:r>
          </w:p>
        </w:tc>
        <w:tc>
          <w:tcPr>
            <w:tcW w:type="dxa" w:w="1815"/>
            <w:tcBorders>
              <w:top w:val="nil"/>
              <w:left w:space="0" w:sz="2" w:color="000000" w:val="single"/>
              <w:bottom w:space="0" w:sz="2" w:color="000000" w:val="single"/>
              <w:right w:space="0" w:sz="2" w:color="000000" w:val="single"/>
            </w:tcBorders>
            <w:hideMark/>
          </w:tcPr>
          <w:p w:rsidRDefault="000B10F5" w:rsidR="000B10F5">
            <w:pPr>
              <w:pStyle w:val="Sadrajitablice"/>
              <w:spacing w:lineRule="auto" w:line="276"/>
              <w:jc w:val="right"/>
              <w:rPr>
                <w:rFonts w:hint="eastAsia"/>
                <w:lang w:val="en-US"/>
              </w:rPr>
            </w:pPr>
            <w:r>
              <w:rPr>
                <w:rFonts w:hAnsi="Times New Roman" w:ascii="Times New Roman"/>
                <w:sz w:val="22"/>
                <w:szCs w:val="22"/>
                <w:lang w:val="en-US"/>
              </w:rPr>
              <w:t>22.500,00 kn</w:t>
            </w:r>
          </w:p>
        </w:tc>
      </w:tr>
      <w:tr w:rsidTr="000B10F5" w:rsidR="000B10F5">
        <w:tc>
          <w:tcPr>
            <w:tcW w:type="dxa" w:w="450"/>
            <w:tcBorders>
              <w:top w:val="nil"/>
              <w:left w:space="0" w:sz="2" w:color="000000" w:val="single"/>
              <w:bottom w:space="0" w:sz="2" w:color="000000" w:val="single"/>
              <w:right w:val="nil"/>
            </w:tcBorders>
            <w:hideMark/>
          </w:tcPr>
          <w:p w:rsidRDefault="000B10F5" w:rsidR="000B10F5">
            <w:pPr>
              <w:pStyle w:val="Sadrajitablice"/>
              <w:spacing w:lineRule="auto" w:line="276"/>
              <w:jc w:val="center"/>
              <w:rPr>
                <w:rFonts w:hint="eastAsia"/>
                <w:lang w:val="en-US"/>
              </w:rPr>
            </w:pPr>
            <w:r>
              <w:rPr>
                <w:rFonts w:hAnsi="Times New Roman" w:ascii="Times New Roman"/>
                <w:sz w:val="22"/>
                <w:szCs w:val="22"/>
                <w:lang w:val="en-US"/>
              </w:rPr>
              <w:t>6.</w:t>
            </w:r>
          </w:p>
        </w:tc>
        <w:tc>
          <w:tcPr>
            <w:tcW w:type="dxa" w:w="7380"/>
            <w:tcBorders>
              <w:top w:val="nil"/>
              <w:left w:space="0" w:sz="2" w:color="000000" w:val="single"/>
              <w:bottom w:space="0" w:sz="2" w:color="000000" w:val="single"/>
              <w:right w:val="nil"/>
            </w:tcBorders>
            <w:hideMark/>
          </w:tcPr>
          <w:p w:rsidRDefault="000B10F5" w:rsidR="000B10F5">
            <w:pPr>
              <w:suppressAutoHyphens/>
              <w:spacing w:after="240"/>
              <w:jc w:val="both"/>
              <w:rPr>
                <w:rFonts w:cs="Lucida Sans" w:eastAsia="SimSun" w:hAnsi="Liberation Serif" w:ascii="Liberation Serif" w:hint="eastAsia"/>
                <w:kern w:val="2"/>
                <w:lang w:bidi="hi-IN" w:eastAsia="zh-CN" w:val="en-US"/>
              </w:rPr>
            </w:pPr>
            <w:r>
              <w:rPr>
                <w:sz w:val="22"/>
                <w:szCs w:val="22"/>
                <w:lang w:val="en-US"/>
              </w:rPr>
              <w:t>Viličar STEINBOCK QX 30 D, nosivost do 2600 kg, nosivost 3000 kg, tv. broj: 026136</w:t>
            </w:r>
          </w:p>
        </w:tc>
        <w:tc>
          <w:tcPr>
            <w:tcW w:type="dxa" w:w="1815"/>
            <w:tcBorders>
              <w:top w:val="nil"/>
              <w:left w:space="0" w:sz="2" w:color="000000" w:val="single"/>
              <w:bottom w:space="0" w:sz="2" w:color="000000" w:val="single"/>
              <w:right w:space="0" w:sz="2" w:color="000000" w:val="single"/>
            </w:tcBorders>
            <w:hideMark/>
          </w:tcPr>
          <w:p w:rsidRDefault="000B10F5" w:rsidR="000B10F5">
            <w:pPr>
              <w:pStyle w:val="Sadrajitablice"/>
              <w:spacing w:lineRule="auto" w:line="276"/>
              <w:jc w:val="right"/>
              <w:rPr>
                <w:rFonts w:hint="eastAsia"/>
                <w:lang w:val="en-US"/>
              </w:rPr>
            </w:pPr>
            <w:r>
              <w:rPr>
                <w:rFonts w:hAnsi="Times New Roman" w:ascii="Times New Roman"/>
                <w:sz w:val="22"/>
                <w:szCs w:val="22"/>
                <w:lang w:val="en-US"/>
              </w:rPr>
              <w:t>32.500,00 kn</w:t>
            </w:r>
          </w:p>
        </w:tc>
      </w:tr>
      <w:tr w:rsidTr="000B10F5" w:rsidR="000B10F5">
        <w:tc>
          <w:tcPr>
            <w:tcW w:type="dxa" w:w="450"/>
            <w:tcBorders>
              <w:top w:val="nil"/>
              <w:left w:space="0" w:sz="2" w:color="000000" w:val="single"/>
              <w:bottom w:space="0" w:sz="2" w:color="000000" w:val="single"/>
              <w:right w:val="nil"/>
            </w:tcBorders>
            <w:hideMark/>
          </w:tcPr>
          <w:p w:rsidRDefault="000B10F5" w:rsidR="000B10F5">
            <w:pPr>
              <w:pStyle w:val="Sadrajitablice"/>
              <w:spacing w:lineRule="auto" w:line="276"/>
              <w:jc w:val="center"/>
              <w:rPr>
                <w:rFonts w:hint="eastAsia"/>
                <w:lang w:val="en-US"/>
              </w:rPr>
            </w:pPr>
            <w:r>
              <w:rPr>
                <w:rFonts w:hAnsi="Times New Roman" w:ascii="Times New Roman"/>
                <w:sz w:val="22"/>
                <w:szCs w:val="22"/>
                <w:lang w:val="en-US"/>
              </w:rPr>
              <w:t>7.</w:t>
            </w:r>
          </w:p>
        </w:tc>
        <w:tc>
          <w:tcPr>
            <w:tcW w:type="dxa" w:w="7380"/>
            <w:tcBorders>
              <w:top w:val="nil"/>
              <w:left w:space="0" w:sz="2" w:color="000000" w:val="single"/>
              <w:bottom w:space="0" w:sz="2" w:color="000000" w:val="single"/>
              <w:right w:val="nil"/>
            </w:tcBorders>
            <w:hideMark/>
          </w:tcPr>
          <w:p w:rsidRDefault="000B10F5" w:rsidR="000B10F5">
            <w:pPr>
              <w:suppressAutoHyphens/>
              <w:spacing w:after="240"/>
              <w:ind w:right="57"/>
              <w:jc w:val="both"/>
              <w:rPr>
                <w:rFonts w:cs="Lucida Sans" w:eastAsia="SimSun" w:hAnsi="Liberation Serif" w:ascii="Liberation Serif" w:hint="eastAsia"/>
                <w:kern w:val="2"/>
                <w:lang w:bidi="hi-IN" w:eastAsia="zh-CN" w:val="en-US"/>
              </w:rPr>
            </w:pPr>
            <w:r>
              <w:rPr>
                <w:sz w:val="22"/>
                <w:szCs w:val="22"/>
                <w:lang w:val="en-US"/>
              </w:rPr>
              <w:t>Viličar STILL RX 20-16, nosivost do 1600 kg, nosivost 1600 kg, tv. broj: 516212005688</w:t>
            </w:r>
          </w:p>
        </w:tc>
        <w:tc>
          <w:tcPr>
            <w:tcW w:type="dxa" w:w="1815"/>
            <w:tcBorders>
              <w:top w:val="nil"/>
              <w:left w:space="0" w:sz="2" w:color="000000" w:val="single"/>
              <w:bottom w:space="0" w:sz="2" w:color="000000" w:val="single"/>
              <w:right w:space="0" w:sz="2" w:color="000000" w:val="single"/>
            </w:tcBorders>
            <w:hideMark/>
          </w:tcPr>
          <w:p w:rsidRDefault="000B10F5" w:rsidR="000B10F5">
            <w:pPr>
              <w:pStyle w:val="Sadrajitablice"/>
              <w:spacing w:lineRule="auto" w:line="276"/>
              <w:jc w:val="right"/>
              <w:rPr>
                <w:rFonts w:hint="eastAsia"/>
                <w:lang w:val="en-US"/>
              </w:rPr>
            </w:pPr>
            <w:r>
              <w:rPr>
                <w:rFonts w:hAnsi="Times New Roman" w:ascii="Times New Roman"/>
                <w:sz w:val="22"/>
                <w:szCs w:val="22"/>
                <w:lang w:val="en-US"/>
              </w:rPr>
              <w:t>60.750,00 kn</w:t>
            </w:r>
          </w:p>
        </w:tc>
      </w:tr>
      <w:tr w:rsidTr="000B10F5" w:rsidR="000B10F5">
        <w:tc>
          <w:tcPr>
            <w:tcW w:type="dxa" w:w="450"/>
            <w:tcBorders>
              <w:top w:val="nil"/>
              <w:left w:space="0" w:sz="2" w:color="000000" w:val="single"/>
              <w:bottom w:space="0" w:sz="2" w:color="000000" w:val="single"/>
              <w:right w:val="nil"/>
            </w:tcBorders>
            <w:hideMark/>
          </w:tcPr>
          <w:p w:rsidRDefault="000B10F5" w:rsidR="000B10F5">
            <w:pPr>
              <w:pStyle w:val="Sadrajitablice"/>
              <w:spacing w:lineRule="auto" w:line="276"/>
              <w:jc w:val="center"/>
              <w:rPr>
                <w:rFonts w:hint="eastAsia"/>
                <w:lang w:val="en-US"/>
              </w:rPr>
            </w:pPr>
            <w:r>
              <w:rPr>
                <w:rFonts w:hAnsi="Times New Roman" w:ascii="Times New Roman"/>
                <w:sz w:val="22"/>
                <w:szCs w:val="22"/>
                <w:lang w:val="en-US"/>
              </w:rPr>
              <w:t>8.</w:t>
            </w:r>
          </w:p>
        </w:tc>
        <w:tc>
          <w:tcPr>
            <w:tcW w:type="dxa" w:w="7380"/>
            <w:tcBorders>
              <w:top w:val="nil"/>
              <w:left w:space="0" w:sz="2" w:color="000000" w:val="single"/>
              <w:bottom w:space="0" w:sz="2" w:color="000000" w:val="single"/>
              <w:right w:val="nil"/>
            </w:tcBorders>
            <w:hideMark/>
          </w:tcPr>
          <w:p w:rsidRDefault="000B10F5" w:rsidR="000B10F5">
            <w:pPr>
              <w:pStyle w:val="Sadrajitablice"/>
              <w:spacing w:lineRule="auto" w:line="276"/>
              <w:rPr>
                <w:rFonts w:hint="eastAsia"/>
                <w:lang w:val="en-US"/>
              </w:rPr>
            </w:pPr>
            <w:r>
              <w:rPr>
                <w:rFonts w:hAnsi="Times New Roman" w:ascii="Times New Roman"/>
                <w:sz w:val="22"/>
                <w:szCs w:val="22"/>
                <w:lang w:val="en-US"/>
              </w:rPr>
              <w:t>Laboratorijska oprema:</w:t>
            </w:r>
          </w:p>
          <w:p w:rsidRDefault="000B10F5" w:rsidR="000B10F5">
            <w:pPr>
              <w:pStyle w:val="Sadrajitablice"/>
              <w:spacing w:lineRule="auto" w:line="276"/>
              <w:rPr>
                <w:rFonts w:hint="eastAsia"/>
                <w:lang w:val="en-US"/>
              </w:rPr>
            </w:pPr>
            <w:r>
              <w:rPr>
                <w:rFonts w:hAnsi="Times New Roman" w:ascii="Times New Roman"/>
                <w:sz w:val="22"/>
                <w:szCs w:val="22"/>
                <w:lang w:val="en-US"/>
              </w:rPr>
              <w:t xml:space="preserve">-sterilizator G-Cell 015, </w:t>
            </w:r>
          </w:p>
          <w:p w:rsidRDefault="000B10F5" w:rsidR="000B10F5">
            <w:pPr>
              <w:pStyle w:val="Sadrajitablice"/>
              <w:spacing w:lineRule="auto" w:line="276"/>
              <w:rPr>
                <w:rFonts w:hint="eastAsia"/>
                <w:lang w:val="en-US"/>
              </w:rPr>
            </w:pPr>
            <w:r>
              <w:rPr>
                <w:rFonts w:hAnsi="Times New Roman" w:ascii="Times New Roman"/>
                <w:sz w:val="22"/>
                <w:szCs w:val="22"/>
                <w:lang w:val="en-US"/>
              </w:rPr>
              <w:t xml:space="preserve">-mikrovalna pećnica, </w:t>
            </w:r>
          </w:p>
          <w:p w:rsidRDefault="000B10F5" w:rsidR="000B10F5">
            <w:pPr>
              <w:pStyle w:val="Sadrajitablice"/>
              <w:spacing w:lineRule="auto" w:line="276"/>
              <w:rPr>
                <w:rFonts w:hint="eastAsia"/>
                <w:lang w:val="en-US"/>
              </w:rPr>
            </w:pPr>
            <w:r>
              <w:rPr>
                <w:rFonts w:hAnsi="Times New Roman" w:ascii="Times New Roman"/>
                <w:sz w:val="22"/>
                <w:szCs w:val="22"/>
                <w:lang w:val="en-US"/>
              </w:rPr>
              <w:t xml:space="preserve">-mjerač klora, </w:t>
            </w:r>
          </w:p>
          <w:p w:rsidRDefault="000B10F5" w:rsidR="000B10F5">
            <w:pPr>
              <w:pStyle w:val="Sadrajitablice"/>
              <w:spacing w:lineRule="auto" w:line="276"/>
              <w:rPr>
                <w:rFonts w:hint="eastAsia"/>
                <w:lang w:val="en-US"/>
              </w:rPr>
            </w:pPr>
            <w:r>
              <w:rPr>
                <w:rFonts w:hAnsi="Times New Roman" w:ascii="Times New Roman"/>
                <w:sz w:val="22"/>
                <w:szCs w:val="22"/>
                <w:lang w:val="en-US"/>
              </w:rPr>
              <w:t>-sitna nespecificirana oprema</w:t>
            </w:r>
          </w:p>
        </w:tc>
        <w:tc>
          <w:tcPr>
            <w:tcW w:type="dxa" w:w="1815"/>
            <w:tcBorders>
              <w:top w:val="nil"/>
              <w:left w:space="0" w:sz="2" w:color="000000" w:val="single"/>
              <w:bottom w:space="0" w:sz="2" w:color="000000" w:val="single"/>
              <w:right w:space="0" w:sz="2" w:color="000000" w:val="single"/>
            </w:tcBorders>
            <w:hideMark/>
          </w:tcPr>
          <w:p w:rsidRDefault="000B10F5" w:rsidR="000B10F5">
            <w:pPr>
              <w:pStyle w:val="Sadrajitablice"/>
              <w:spacing w:lineRule="auto" w:line="276"/>
              <w:jc w:val="right"/>
              <w:rPr>
                <w:rFonts w:hint="eastAsia"/>
                <w:lang w:val="en-US"/>
              </w:rPr>
            </w:pPr>
            <w:r>
              <w:rPr>
                <w:rFonts w:hAnsi="Times New Roman" w:ascii="Times New Roman"/>
                <w:sz w:val="22"/>
                <w:szCs w:val="22"/>
                <w:lang w:val="en-US"/>
              </w:rPr>
              <w:t>9.375,00 kn</w:t>
            </w:r>
          </w:p>
        </w:tc>
      </w:tr>
      <w:tr w:rsidTr="000B10F5" w:rsidR="000B10F5">
        <w:tc>
          <w:tcPr>
            <w:tcW w:type="dxa" w:w="450"/>
            <w:tcBorders>
              <w:top w:val="nil"/>
              <w:left w:space="0" w:sz="2" w:color="000000" w:val="single"/>
              <w:bottom w:space="0" w:sz="2" w:color="000000" w:val="single"/>
              <w:right w:val="nil"/>
            </w:tcBorders>
          </w:tcPr>
          <w:p w:rsidRDefault="000B10F5" w:rsidR="000B10F5">
            <w:pPr>
              <w:pStyle w:val="Sadrajitablice"/>
              <w:spacing w:lineRule="auto" w:line="276"/>
              <w:jc w:val="center"/>
              <w:rPr>
                <w:rFonts w:hAnsi="Times New Roman" w:ascii="Times New Roman"/>
                <w:b/>
                <w:bCs/>
                <w:lang w:val="en-US"/>
              </w:rPr>
            </w:pPr>
          </w:p>
        </w:tc>
        <w:tc>
          <w:tcPr>
            <w:tcW w:type="dxa" w:w="7380"/>
            <w:tcBorders>
              <w:top w:val="nil"/>
              <w:left w:space="0" w:sz="2" w:color="000000" w:val="single"/>
              <w:bottom w:space="0" w:sz="2" w:color="000000" w:val="single"/>
              <w:right w:val="nil"/>
            </w:tcBorders>
            <w:hideMark/>
          </w:tcPr>
          <w:p w:rsidRDefault="000B10F5" w:rsidR="000B10F5">
            <w:pPr>
              <w:pStyle w:val="Sadrajitablice"/>
              <w:spacing w:lineRule="auto" w:line="276"/>
              <w:rPr>
                <w:rFonts w:hint="eastAsia"/>
                <w:lang w:val="en-US"/>
              </w:rPr>
            </w:pPr>
            <w:r>
              <w:rPr>
                <w:rFonts w:hAnsi="Times New Roman" w:ascii="Times New Roman"/>
                <w:b/>
                <w:bCs/>
                <w:sz w:val="22"/>
                <w:szCs w:val="22"/>
                <w:lang w:val="en-US"/>
              </w:rPr>
              <w:t>UKUPNO</w:t>
            </w:r>
          </w:p>
        </w:tc>
        <w:tc>
          <w:tcPr>
            <w:tcW w:type="dxa" w:w="1815"/>
            <w:tcBorders>
              <w:top w:val="nil"/>
              <w:left w:space="0" w:sz="2" w:color="000000" w:val="single"/>
              <w:bottom w:space="0" w:sz="2" w:color="000000" w:val="single"/>
              <w:right w:space="0" w:sz="2" w:color="000000" w:val="single"/>
            </w:tcBorders>
            <w:hideMark/>
          </w:tcPr>
          <w:p w:rsidRDefault="000B10F5" w:rsidR="000B10F5">
            <w:pPr>
              <w:pStyle w:val="Sadrajitablice"/>
              <w:spacing w:lineRule="auto" w:line="276"/>
              <w:jc w:val="right"/>
              <w:rPr>
                <w:rFonts w:hint="eastAsia"/>
                <w:lang w:val="en-US"/>
              </w:rPr>
            </w:pPr>
            <w:r>
              <w:rPr>
                <w:rFonts w:hAnsi="Times New Roman" w:ascii="Times New Roman"/>
                <w:b/>
                <w:bCs/>
                <w:sz w:val="22"/>
                <w:szCs w:val="22"/>
                <w:lang w:val="en-US"/>
              </w:rPr>
              <w:t>428.325,00 kn</w:t>
            </w:r>
          </w:p>
        </w:tc>
      </w:tr>
    </w:tbl>
    <w:p w:rsidRDefault="000B10F5" w:rsidP="000B10F5" w:rsidR="000B10F5">
      <w:pPr>
        <w:tabs>
          <w:tab w:pos="708" w:val="left"/>
        </w:tabs>
        <w:spacing w:after="0"/>
        <w:contextualSpacing/>
        <w:rPr>
          <w:rStyle w:val="Naglaeno"/>
          <w:rFonts w:cstheme="minorBidi" w:eastAsiaTheme="majorEastAsia"/>
          <w:b w:val="false"/>
        </w:rPr>
      </w:pPr>
    </w:p>
    <w:p w:rsidRDefault="000B10F5" w:rsidP="000B10F5" w:rsidR="000B10F5">
      <w:pPr>
        <w:spacing w:after="180" w:before="180"/>
        <w:jc w:val="both"/>
        <w:rPr>
          <w:rStyle w:val="Naglaeno"/>
          <w:rFonts w:eastAsiaTheme="majorEastAsia"/>
        </w:rPr>
      </w:pPr>
      <w:r>
        <w:t xml:space="preserve"> </w:t>
      </w:r>
      <w:r>
        <w:tab/>
        <w:t xml:space="preserve">  Pokretnine se nalaze: </w:t>
      </w:r>
      <w:r>
        <w:rPr>
          <w:rStyle w:val="Naglaeno"/>
          <w:rFonts w:eastAsiaTheme="majorEastAsia"/>
        </w:rPr>
        <w:t xml:space="preserve">na adresi stečajnog dužnika.  </w:t>
      </w:r>
    </w:p>
    <w:p w:rsidRDefault="00E57DB7" w:rsidP="000B10F5" w:rsidR="00E57DB7">
      <w:pPr>
        <w:spacing w:after="180" w:before="180"/>
        <w:jc w:val="both"/>
        <w:rPr>
          <w:rStyle w:val="Naglaeno"/>
          <w:rFonts w:eastAsiaTheme="majorEastAsia"/>
          <w:b w:val="false"/>
        </w:rPr>
      </w:pPr>
    </w:p>
    <w:p w:rsidRDefault="000B10F5" w:rsidP="000B10F5" w:rsidR="000B10F5">
      <w:pPr>
        <w:tabs>
          <w:tab w:pos="708" w:val="left"/>
        </w:tabs>
        <w:spacing w:after="0"/>
        <w:contextualSpacing/>
        <w:jc w:val="both"/>
      </w:pPr>
      <w:r>
        <w:tab/>
        <w:t xml:space="preserve">Razgledavanje pokretnina, te uvid u procjenu vrijednosti istih, može se obaviti uz prethodni dogovor sa stečajnim upraviteljem Pericom Medaković, 098 1891-161, </w:t>
      </w:r>
      <w:hyperlink r:id="rId8" w:history="true">
        <w:r>
          <w:rPr>
            <w:rStyle w:val="Hiperveza"/>
          </w:rPr>
          <w:t>perica.medakovic@bj.t-com.hr</w:t>
        </w:r>
      </w:hyperlink>
      <w:r>
        <w:t>.</w:t>
      </w:r>
    </w:p>
    <w:p w:rsidRDefault="000B10F5" w:rsidP="002D4C04" w:rsidR="000B10F5">
      <w:pPr>
        <w:ind w:firstLine="708"/>
        <w:jc w:val="both"/>
      </w:pPr>
    </w:p>
    <w:p w:rsidRDefault="00695D58" w:rsidP="00695D58" w:rsidR="00695D58">
      <w:pPr>
        <w:ind w:firstLine="708"/>
        <w:jc w:val="center"/>
      </w:pPr>
      <w:r>
        <w:t>Obrazloženje</w:t>
      </w:r>
    </w:p>
    <w:p w:rsidRDefault="00695D58" w:rsidP="002D4C04" w:rsidR="00695D58">
      <w:pPr>
        <w:ind w:firstLine="708"/>
        <w:jc w:val="both"/>
      </w:pPr>
      <w:r>
        <w:t xml:space="preserve">Razlučni vjerovnik H-ABDUCO d.o.o. se podneskom od 5. travnja 2018. izjasnio o tome da će steč. upravitelj prodavati predmetne pokretnine pod razlučnim pravom slobodnom pogodbom i to kroz razdoblje od godinu dana. </w:t>
      </w:r>
    </w:p>
    <w:p w:rsidRDefault="00E57DB7" w:rsidP="002D4C04" w:rsidR="00E57DB7">
      <w:pPr>
        <w:ind w:firstLine="708"/>
        <w:jc w:val="both"/>
      </w:pPr>
    </w:p>
    <w:p w:rsidRDefault="00E57DB7" w:rsidP="002D4C04" w:rsidR="00E57DB7">
      <w:pPr>
        <w:ind w:firstLine="708"/>
        <w:jc w:val="both"/>
      </w:pPr>
    </w:p>
    <w:p w:rsidRDefault="00E57DB7" w:rsidP="002D4C04" w:rsidR="00E57DB7">
      <w:pPr>
        <w:ind w:firstLine="708"/>
        <w:jc w:val="both"/>
      </w:pPr>
    </w:p>
    <w:p w:rsidRDefault="00E57DB7" w:rsidP="002D4C04" w:rsidR="00E57DB7">
      <w:pPr>
        <w:ind w:firstLine="708"/>
        <w:jc w:val="both"/>
      </w:pPr>
    </w:p>
    <w:p w:rsidRDefault="00695D58" w:rsidP="002D4C04" w:rsidR="00695D58">
      <w:pPr>
        <w:ind w:firstLine="708"/>
        <w:jc w:val="both"/>
      </w:pPr>
      <w:r>
        <w:t>Stoga je odlučeno kao u izreci sukladno prijedlogu razlučnog vjerovnika i čl. 249.st. 1., čl. 250. st. 1., 251., 252., 253., 254. i 256. Stečajnog zakona NN 71/15 i dr.</w:t>
      </w:r>
    </w:p>
    <w:p w:rsidRDefault="002D4C04" w:rsidP="002D4C04" w:rsidR="002D4C04">
      <w:pPr>
        <w:ind w:firstLine="708"/>
        <w:jc w:val="both"/>
      </w:pPr>
      <w:r>
        <w:rPr>
          <w:color w:val="000000"/>
        </w:rPr>
        <w:t xml:space="preserve">U Slavonskom Brodu  </w:t>
      </w:r>
      <w:r w:rsidR="008E53B2">
        <w:rPr>
          <w:color w:val="000000"/>
        </w:rPr>
        <w:t>5. travnja</w:t>
      </w:r>
      <w:r>
        <w:rPr>
          <w:color w:val="000000"/>
        </w:rPr>
        <w:t xml:space="preserve"> 2018.</w:t>
      </w:r>
    </w:p>
    <w:p w:rsidRDefault="002D4C04" w:rsidP="002D4C04" w:rsidR="002D4C04">
      <w:pPr>
        <w:jc w:val="both"/>
      </w:pPr>
    </w:p>
    <w:p w:rsidRDefault="002D4C04" w:rsidP="002D4C04" w:rsidR="002D4C04">
      <w:pPr>
        <w:jc w:val="both"/>
      </w:pPr>
      <w:r>
        <w:rPr>
          <w:color w:val="000000"/>
        </w:rPr>
        <w:t xml:space="preserve">                                                                                               </w:t>
      </w:r>
      <w:r>
        <w:rPr>
          <w:color w:val="000000"/>
        </w:rPr>
        <w:tab/>
        <w:t xml:space="preserve">     STEČAJNI SUDAC:</w:t>
      </w:r>
    </w:p>
    <w:p w:rsidRDefault="002D4C04" w:rsidP="002D4C04" w:rsidR="002D4C04">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Daniela Martini Maoduš</w:t>
      </w:r>
    </w:p>
    <w:p w:rsidRDefault="002D4C04" w:rsidP="002D4C04" w:rsidR="002D4C04">
      <w:pPr>
        <w:jc w:val="both"/>
      </w:pPr>
    </w:p>
    <w:p w:rsidRDefault="002D4C04" w:rsidP="002D4C04" w:rsidR="002D4C04">
      <w:pPr>
        <w:jc w:val="both"/>
      </w:pPr>
    </w:p>
    <w:p w:rsidRDefault="002D4C04" w:rsidP="002D4C04" w:rsidR="002D4C04">
      <w:pPr>
        <w:jc w:val="both"/>
      </w:pPr>
    </w:p>
    <w:p w:rsidRDefault="002D4C04" w:rsidP="002D4C04" w:rsidR="002D4C04">
      <w:pPr>
        <w:jc w:val="both"/>
        <w:rPr>
          <w:sz w:val="16"/>
          <w:szCs w:val="16"/>
        </w:rPr>
      </w:pPr>
      <w:r>
        <w:rPr>
          <w:color w:val="000000"/>
          <w:sz w:val="16"/>
          <w:szCs w:val="16"/>
        </w:rPr>
        <w:t xml:space="preserve">Dostaviti: </w:t>
      </w:r>
    </w:p>
    <w:p w:rsidRDefault="002D4C04" w:rsidP="002D4C04" w:rsidR="005E15FD">
      <w:pPr>
        <w:jc w:val="both"/>
      </w:pPr>
      <w:r>
        <w:rPr>
          <w:color w:val="000000"/>
          <w:sz w:val="16"/>
          <w:szCs w:val="16"/>
        </w:rPr>
        <w:t xml:space="preserve">- putem eOglasne ploče </w:t>
      </w:r>
    </w:p>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Lucida Sans">
    <w:panose1 w:val="020B0602030504020204"/>
    <w:charset w:val="00"/>
    <w:family w:val="swiss"/>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318FD"/>
    <w:multiLevelType w:val="hybridMultilevel"/>
    <w:tmpl w:val="5CAEFFD2"/>
    <w:lvl w:tplc="7744C7B8" w:ilvl="0">
      <w:start w:val="1"/>
      <w:numFmt w:val="upperRoman"/>
      <w:lvlText w:val="%1."/>
      <w:lvlJc w:val="left"/>
      <w:pPr>
        <w:ind w:hanging="720" w:left="862"/>
      </w:pPr>
      <w:rPr>
        <w:b/>
      </w:r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4C04"/>
    <w:rsid w:val="000B10F5"/>
    <w:rsid w:val="002D4C04"/>
    <w:rsid w:val="003B1082"/>
    <w:rsid w:val="005E15FD"/>
    <w:rsid w:val="00695D58"/>
    <w:rsid w:val="008E53B2"/>
    <w:rsid w:val="00CA05A4"/>
    <w:rsid w:val="00E57D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4C04"/>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D4C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4C04"/>
    <w:rPr>
      <w:rFonts w:cs="Tahoma" w:hAnsi="Tahoma" w:ascii="Tahoma"/>
      <w:sz w:val="16"/>
      <w:szCs w:val="16"/>
    </w:rPr>
  </w:style>
  <w:style w:customStyle="true" w:styleId="OdlomakpopisaChar" w:type="character">
    <w:name w:val="Odlomak popisa Char"/>
    <w:basedOn w:val="Zadanifontodlomka"/>
    <w:link w:val="Odlomakpopisa"/>
    <w:uiPriority w:val="34"/>
    <w:locked/>
    <w:rsid w:val="000B10F5"/>
    <w:rPr>
      <w:rFonts w:cs="Times New Roman" w:eastAsia="Times New Roman" w:hAnsi="Times New Roman" w:ascii="Times New Roman"/>
      <w:sz w:val="24"/>
      <w:szCs w:val="24"/>
      <w:lang w:eastAsia="hr-HR"/>
    </w:rPr>
  </w:style>
  <w:style w:styleId="Odlomakpopisa" w:type="paragraph">
    <w:name w:val="List Paragraph"/>
    <w:basedOn w:val="Normal"/>
    <w:next w:val="Normal"/>
    <w:link w:val="OdlomakpopisaChar"/>
    <w:uiPriority w:val="34"/>
    <w:qFormat/>
    <w:rsid w:val="000B10F5"/>
    <w:pPr>
      <w:tabs>
        <w:tab w:pos="851" w:val="left"/>
      </w:tabs>
      <w:spacing w:lineRule="auto" w:line="240" w:after="240"/>
      <w:ind w:firstLine="567"/>
      <w:jc w:val="both"/>
    </w:pPr>
    <w:rPr>
      <w:rFonts w:eastAsia="Times New Roman"/>
      <w:lang w:eastAsia="hr-HR"/>
    </w:rPr>
  </w:style>
  <w:style w:customStyle="true" w:styleId="Sadrajitablice" w:type="paragraph">
    <w:name w:val="Sadržaji tablice"/>
    <w:basedOn w:val="Normal"/>
    <w:rsid w:val="000B10F5"/>
    <w:pPr>
      <w:suppressLineNumbers/>
      <w:suppressAutoHyphens/>
      <w:spacing w:lineRule="auto" w:line="240" w:after="0"/>
    </w:pPr>
    <w:rPr>
      <w:rFonts w:cs="Lucida Sans" w:eastAsia="SimSun" w:hAnsi="Liberation Serif" w:ascii="Liberation Serif"/>
      <w:kern w:val="2"/>
      <w:lang w:bidi="hi-IN" w:eastAsia="zh-CN"/>
    </w:rPr>
  </w:style>
  <w:style w:styleId="Naglaeno" w:type="character">
    <w:name w:val="Strong"/>
    <w:basedOn w:val="Zadanifontodlomka"/>
    <w:uiPriority w:val="22"/>
    <w:qFormat/>
    <w:rsid w:val="000B10F5"/>
    <w:rPr>
      <w:b/>
      <w:bCs/>
    </w:rPr>
  </w:style>
  <w:style w:styleId="Hiperveza" w:type="character">
    <w:name w:val="Hyperlink"/>
    <w:basedOn w:val="Zadanifontodlomka"/>
    <w:uiPriority w:val="99"/>
    <w:semiHidden/>
    <w:unhideWhenUsed/>
    <w:rsid w:val="000B10F5"/>
    <w:rPr>
      <w:color w:themeColor="hyperlink" w:val="0000FF"/>
      <w:u w:val="single"/>
    </w:rPr>
  </w:style>
  <w:style w:styleId="Tekstrezerviranogmjesta" w:type="character">
    <w:name w:val="Placeholder Text"/>
    <w:basedOn w:val="Zadanifontodlomka"/>
    <w:uiPriority w:val="99"/>
    <w:semiHidden/>
    <w:rsid w:val="003B1082"/>
    <w:rPr>
      <w:color w:val="808080"/>
      <w:bdr w:space="0" w:sz="0" w:color="auto" w:val="none"/>
      <w:shd w:fill="auto" w:color="auto" w:val="clear"/>
    </w:rPr>
  </w:style>
  <w:style w:customStyle="true" w:styleId="eSPISCCParagraphDefaultFont" w:type="character">
    <w:name w:val="eSPIS_CC_Paragraph Default Font"/>
    <w:basedOn w:val="Zadanifontodlomka"/>
    <w:rsid w:val="003B10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1082"/>
    <w:rPr>
      <w:bdr w:space="0" w:sz="0" w:color="auto" w:val="none"/>
      <w:shd w:fill="FFFFCC" w:color="auto" w:val="clear"/>
      <w:lang w:val="hr-HR"/>
    </w:rPr>
  </w:style>
  <w:style w:customStyle="true" w:styleId="PozadinaSvijetloCrvena" w:type="character">
    <w:name w:val="Pozadina_SvijetloCrvena"/>
    <w:basedOn w:val="eSPISCCParagraphDefaultFont"/>
    <w:rsid w:val="003B10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10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4C04"/>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D4C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D4C04"/>
    <w:rPr>
      <w:rFonts w:ascii="Tahoma" w:cs="Tahoma" w:hAnsi="Tahoma"/>
      <w:sz w:val="16"/>
      <w:szCs w:val="16"/>
    </w:rPr>
  </w:style>
  <w:style w:customStyle="1" w:styleId="OdlomakpopisaChar" w:type="character">
    <w:name w:val="Odlomak popisa Char"/>
    <w:basedOn w:val="Zadanifontodlomka"/>
    <w:link w:val="Odlomakpopisa"/>
    <w:uiPriority w:val="34"/>
    <w:locked/>
    <w:rsid w:val="000B10F5"/>
    <w:rPr>
      <w:rFonts w:ascii="Times New Roman" w:cs="Times New Roman" w:eastAsia="Times New Roman" w:hAnsi="Times New Roman"/>
      <w:sz w:val="24"/>
      <w:szCs w:val="24"/>
      <w:lang w:eastAsia="hr-HR"/>
    </w:rPr>
  </w:style>
  <w:style w:styleId="Odlomakpopisa" w:type="paragraph">
    <w:name w:val="List Paragraph"/>
    <w:basedOn w:val="Normal"/>
    <w:next w:val="Normal"/>
    <w:link w:val="OdlomakpopisaChar"/>
    <w:uiPriority w:val="34"/>
    <w:qFormat/>
    <w:rsid w:val="000B10F5"/>
    <w:pPr>
      <w:tabs>
        <w:tab w:pos="851" w:val="left"/>
      </w:tabs>
      <w:spacing w:after="240" w:line="240" w:lineRule="auto"/>
      <w:ind w:firstLine="567"/>
      <w:jc w:val="both"/>
    </w:pPr>
    <w:rPr>
      <w:rFonts w:eastAsia="Times New Roman"/>
      <w:lang w:eastAsia="hr-HR"/>
    </w:rPr>
  </w:style>
  <w:style w:customStyle="1" w:styleId="Sadrajitablice" w:type="paragraph">
    <w:name w:val="Sadržaji tablice"/>
    <w:basedOn w:val="Normal"/>
    <w:rsid w:val="000B10F5"/>
    <w:pPr>
      <w:suppressLineNumbers/>
      <w:suppressAutoHyphens/>
      <w:spacing w:after="0" w:line="240" w:lineRule="auto"/>
    </w:pPr>
    <w:rPr>
      <w:rFonts w:ascii="Liberation Serif" w:cs="Lucida Sans" w:eastAsia="SimSun" w:hAnsi="Liberation Serif"/>
      <w:kern w:val="2"/>
      <w:lang w:bidi="hi-IN" w:eastAsia="zh-CN"/>
    </w:rPr>
  </w:style>
  <w:style w:styleId="Naglaeno" w:type="character">
    <w:name w:val="Strong"/>
    <w:basedOn w:val="Zadanifontodlomka"/>
    <w:uiPriority w:val="22"/>
    <w:qFormat/>
    <w:rsid w:val="000B10F5"/>
    <w:rPr>
      <w:b/>
      <w:bCs/>
    </w:rPr>
  </w:style>
  <w:style w:styleId="Hiperveza" w:type="character">
    <w:name w:val="Hyperlink"/>
    <w:basedOn w:val="Zadanifontodlomka"/>
    <w:uiPriority w:val="99"/>
    <w:semiHidden/>
    <w:unhideWhenUsed/>
    <w:rsid w:val="000B10F5"/>
    <w:rPr>
      <w:color w:themeColor="hyperlink" w:val="0000FF"/>
      <w:u w:val="single"/>
    </w:rPr>
  </w:style>
  <w:style w:styleId="Tekstrezerviranogmjesta" w:type="character">
    <w:name w:val="Placeholder Text"/>
    <w:basedOn w:val="Zadanifontodlomka"/>
    <w:uiPriority w:val="99"/>
    <w:semiHidden/>
    <w:rsid w:val="003B1082"/>
    <w:rPr>
      <w:color w:val="808080"/>
      <w:bdr w:color="auto" w:space="0" w:sz="0" w:val="none"/>
      <w:shd w:color="auto" w:fill="auto" w:val="clear"/>
    </w:rPr>
  </w:style>
  <w:style w:customStyle="1" w:styleId="eSPISCCParagraphDefaultFont" w:type="character">
    <w:name w:val="eSPIS_CC_Paragraph Default Font"/>
    <w:basedOn w:val="Zadanifontodlomka"/>
    <w:rsid w:val="003B10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1082"/>
    <w:rPr>
      <w:bdr w:color="auto" w:space="0" w:sz="0" w:val="none"/>
      <w:shd w:color="auto" w:fill="FFFFCC" w:val="clear"/>
      <w:lang w:val="hr-HR"/>
    </w:rPr>
  </w:style>
  <w:style w:customStyle="1" w:styleId="PozadinaSvijetloCrvena" w:type="character">
    <w:name w:val="Pozadina_SvijetloCrvena"/>
    <w:basedOn w:val="eSPISCCParagraphDefaultFont"/>
    <w:rsid w:val="003B10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10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519504">
      <w:bodyDiv w:val="true"/>
      <w:marLeft w:val="0"/>
      <w:marRight w:val="0"/>
      <w:marTop w:val="0"/>
      <w:marBottom w:val="0"/>
      <w:divBdr>
        <w:top w:space="0" w:sz="0" w:color="auto" w:val="none"/>
        <w:left w:space="0" w:sz="0" w:color="auto" w:val="none"/>
        <w:bottom w:space="0" w:sz="0" w:color="auto" w:val="none"/>
        <w:right w:space="0" w:sz="0" w:color="auto" w:val="none"/>
      </w:divBdr>
    </w:div>
    <w:div w:id="998339629">
      <w:bodyDiv w:val="true"/>
      <w:marLeft w:val="0"/>
      <w:marRight w:val="0"/>
      <w:marTop w:val="0"/>
      <w:marBottom w:val="0"/>
      <w:divBdr>
        <w:top w:space="0" w:sz="0" w:color="auto" w:val="none"/>
        <w:left w:space="0" w:sz="0" w:color="auto" w:val="none"/>
        <w:bottom w:space="0" w:sz="0" w:color="auto" w:val="none"/>
        <w:right w:space="0" w:sz="0" w:color="auto" w:val="none"/>
      </w:divBdr>
    </w:div>
    <w:div w:id="18242696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mailto:perica.medakovic@bj.t-com.hr"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2012.</izvorni_sadrzaj>
    <derivirana_varijabla naziv="DomainObject.Predmet.DatumOsnivanja_1">27.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St-409/2012</izvorni_sadrzaj>
    <derivirana_varijabla naziv="DomainObject.Predmet.OznakaBroj_1">St-409/2012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
spis u kal. 21</izvorni_sadrzaj>
    <derivirana_varijabla naziv="DomainObject.Predmet.PrimjedbaSuca_1">I,II,III
spis u kal. 21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TRENTO PROMET društvo s ograničenom odgovornošću za proizvodnju i trgovinu, Ivandol</izvorni_sadrzaj>
    <derivirana_varijabla naziv="DomainObject.Predmet.StrankaFormated_1">  TRENTO PROMET društvo s ograničenom odgovornošću za proizvodnju i trgovinu, Ivandol</derivirana_varijabla>
  </DomainObject.Predmet.StrankaFormated>
  <DomainObject.Predmet.StrankaFormatedOIB>
    <izvorni_sadrzaj>  TRENTO PROMET društvo s ograničenom odgovornošću za proizvodnju i trgovinu, Ivandol, OIB 35238979687</izvorni_sadrzaj>
    <derivirana_varijabla naziv="DomainObject.Predmet.StrankaFormatedOIB_1">  TRENTO PROMET društvo s ograničenom odgovornošću za proizvodnju i trgovinu, Ivandol, OIB 35238979687</derivirana_varijabla>
  </DomainObject.Predmet.StrankaFormatedOIB>
  <DomainObject.Predmet.StrankaFormatedWithAdress>
    <izvorni_sadrzaj> TRENTO PROMET društvo s ograničenom odgovornošću za proizvodnju i trgovinu, Ivandol, br. 58, Brestovac, Ivandol</izvorni_sadrzaj>
    <derivirana_varijabla naziv="DomainObject.Predmet.StrankaFormatedWithAdress_1"> TRENTO PROMET društvo s ograničenom odgovornošću za proizvodnju i trgovinu, Ivandol, br. 58, Brestovac, Ivandol</derivirana_varijabla>
  </DomainObject.Predmet.StrankaFormatedWithAdress>
  <DomainObject.Predmet.StrankaFormatedWithAdressOIB>
    <izvorni_sadrzaj> TRENTO PROMET društvo s ograničenom odgovornošću za proizvodnju i trgovinu, Ivandol, OIB 35238979687, br. 58, Brestovac, Ivandol</izvorni_sadrzaj>
    <derivirana_varijabla naziv="DomainObject.Predmet.StrankaFormatedWithAdressOIB_1"> TRENTO PROMET društvo s ograničenom odgovornošću za proizvodnju i trgovinu, Ivandol, OIB 35238979687, br. 58, Brestovac, Ivandol</derivirana_varijabla>
  </DomainObject.Predmet.StrankaFormatedWithAdressOIB>
  <DomainObject.Predmet.StrankaWithAdress>
    <izvorni_sadrzaj>TRENTO PROMET društvo s ograničenom odgovornošću za proizvodnju i trgovinu, Ivandol br. 58, Brestovac,Ivandol</izvorni_sadrzaj>
    <derivirana_varijabla naziv="DomainObject.Predmet.StrankaWithAdress_1">TRENTO PROMET društvo s ograničenom odgovornošću za proizvodnju i trgovinu, Ivandol br. 58, Brestovac,Ivandol</derivirana_varijabla>
  </DomainObject.Predmet.StrankaWithAdress>
  <DomainObject.Predmet.StrankaWithAdressOIB>
    <izvorni_sadrzaj>TRENTO PROMET društvo s ograničenom odgovornošću za proizvodnju i trgovinu, Ivandol, OIB 35238979687, br. 58, Brestovac,Ivandol</izvorni_sadrzaj>
    <derivirana_varijabla naziv="DomainObject.Predmet.StrankaWithAdressOIB_1">TRENTO PROMET društvo s ograničenom odgovornošću za proizvodnju i trgovinu, Ivandol, OIB 35238979687, br. 58, Brestovac,Ivandol</derivirana_varijabla>
  </DomainObject.Predmet.StrankaWithAdressOIB>
  <DomainObject.Predmet.StrankaNazivFormated>
    <izvorni_sadrzaj>TRENTO PROMET društvo s ograničenom odgovornošću za proizvodnju i trgovinu, Ivandol</izvorni_sadrzaj>
    <derivirana_varijabla naziv="DomainObject.Predmet.StrankaNazivFormated_1">TRENTO PROMET društvo s ograničenom odgovornošću za proizvodnju i trgovinu, Ivandol</derivirana_varijabla>
  </DomainObject.Predmet.StrankaNazivFormated>
  <DomainObject.Predmet.StrankaNazivFormatedOIB>
    <izvorni_sadrzaj>TRENTO PROMET društvo s ograničenom odgovornošću za proizvodnju i trgovinu, Ivandol, OIB 35238979687</izvorni_sadrzaj>
    <derivirana_varijabla naziv="DomainObject.Predmet.StrankaNazivFormatedOIB_1">TRENTO PROMET društvo s ograničenom odgovornošću za proizvodnju i trgovinu, Ivandol, OIB 35238979687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TRENTO PROMET društvo s ograničenom odgovornošću za proizvodnju i trgovinu, Ivandol</item>
    </izvorni_sadrzaj>
    <derivirana_varijabla naziv="DomainObject.Predmet.StrankaListFormated_1">
      <item>TRENTO PROMET društvo s ograničenom odgovornošću za proizvodnju i trgovinu, Ivandol</item>
    </derivirana_varijabla>
  </DomainObject.Predmet.StrankaListFormated>
  <DomainObject.Predmet.StrankaListFormatedOIB>
    <izvorni_sadrzaj>
      <item>TRENTO PROMET društvo s ograničenom odgovornošću za proizvodnju i trgovinu, Ivandol, OIB 35238979687</item>
    </izvorni_sadrzaj>
    <derivirana_varijabla naziv="DomainObject.Predmet.StrankaListFormatedOIB_1">
      <item>TRENTO PROMET društvo s ograničenom odgovornošću za proizvodnju i trgovinu, Ivandol, OIB 35238979687</item>
    </derivirana_varijabla>
  </DomainObject.Predmet.StrankaListFormatedOIB>
  <DomainObject.Predmet.StrankaListFormatedWithAdress>
    <izvorni_sadrzaj>
      <item>TRENTO PROMET društvo s ograničenom odgovornošću za proizvodnju i trgovinu, Ivandol, br. 58, Brestovac, Ivandol</item>
    </izvorni_sadrzaj>
    <derivirana_varijabla naziv="DomainObject.Predmet.StrankaListFormatedWithAdress_1">
      <item>TRENTO PROMET društvo s ograničenom odgovornošću za proizvodnju i trgovinu, Ivandol, br. 58, Brestovac, Ivandol</item>
    </derivirana_varijabla>
  </DomainObject.Predmet.StrankaListFormatedWithAdress>
  <DomainObject.Predmet.StrankaListFormatedWithAdressOIB>
    <izvorni_sadrzaj>
      <item>TRENTO PROMET društvo s ograničenom odgovornošću za proizvodnju i trgovinu, Ivandol, OIB 35238979687, br. 58, Brestovac, Ivandol</item>
    </izvorni_sadrzaj>
    <derivirana_varijabla naziv="DomainObject.Predmet.StrankaListFormatedWithAdressOIB_1">
      <item>TRENTO PROMET društvo s ograničenom odgovornošću za proizvodnju i trgovinu, Ivandol, OIB 35238979687, br. 58, Brestovac, Ivandol</item>
    </derivirana_varijabla>
  </DomainObject.Predmet.StrankaListFormatedWithAdressOIB>
  <DomainObject.Predmet.StrankaListNazivFormated>
    <izvorni_sadrzaj>
      <item>TRENTO PROMET društvo s ograničenom odgovornošću za proizvodnju i trgovinu, Ivandol</item>
    </izvorni_sadrzaj>
    <derivirana_varijabla naziv="DomainObject.Predmet.StrankaListNazivFormated_1">
      <item>TRENTO PROMET društvo s ograničenom odgovornošću za proizvodnju i trgovinu, Ivandol</item>
    </derivirana_varijabla>
  </DomainObject.Predmet.StrankaListNazivFormated>
  <DomainObject.Predmet.StrankaListNazivFormatedOIB>
    <izvorni_sadrzaj>
      <item>TRENTO PROMET društvo s ograničenom odgovornošću za proizvodnju i trgovinu, Ivandol, OIB 35238979687</item>
    </izvorni_sadrzaj>
    <derivirana_varijabla naziv="DomainObject.Predmet.StrankaListNazivFormatedOIB_1">
      <item>TRENTO PROMET društvo s ograničenom odgovornošću za proizvodnju i trgovinu, Ivandol, OIB 35238979687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MARIO TOMIĆ</item>
      <item>ZDENKO BEŠLIĆ, sada stečajni upravitelj</item>
      <item>ŽDO Građansko-upravni odjel</item>
      <item>HYPO ALPE-ADRIA-BANK d.d.</item>
      <item>SUDSKI REGISTAR TS OS SSSB</item>
      <item>POREZNA UPRAVA SLAVONSKI BROD</item>
      <item>TS OS RAČUNOVODSTVO SUDA</item>
      <item>NARODNE NOVINE, dioničko društvo za izdavanje i tiskanje Službenog lista Republike Hrvatske, službenih i drugih obrazaca te </item>
      <item>FINA POŽEGA</item>
      <item>PETRA DUJMOVIĆ</item>
      <item>SANDRA PAVIĆ, odvjetnica</item>
      <item>ZORAN TOMIĆ, odvjetnik</item>
      <item>Perica Medaković, st.upravitelj</item>
      <item>ANka Šutalo</item>
      <item>KRUNOSLAV PRPIĆ</item>
    </izvorni_sadrzaj>
    <derivirana_varijabla naziv="DomainObject.Predmet.OstaliListFormated_1">
      <item>MARIO TOMIĆ</item>
      <item>ZDENKO BEŠLIĆ, sada stečajni upravitelj</item>
      <item>ŽDO Građansko-upravni odjel</item>
      <item>HYPO ALPE-ADRIA-BANK d.d.</item>
      <item>SUDSKI REGISTAR TS OS SSSB</item>
      <item>POREZNA UPRAVA SLAVONSKI BROD</item>
      <item>TS OS RAČUNOVODSTVO SUDA</item>
      <item>NARODNE NOVINE, dioničko društvo za izdavanje i tiskanje Službenog lista Republike Hrvatske, službenih i drugih obrazaca te </item>
      <item>FINA POŽEGA</item>
      <item>PETRA DUJMOVIĆ</item>
      <item>SANDRA PAVIĆ, odvjetnica</item>
      <item>ZORAN TOMIĆ, odvjetnik</item>
      <item>Perica Medaković, st.upravitelj</item>
      <item>ANka Šutalo</item>
      <item>KRUNOSLAV PRPIĆ</item>
    </derivirana_varijabla>
  </DomainObject.Predmet.OstaliListFormated>
  <DomainObject.Predmet.OstaliListFormatedOIB>
    <izvorni_sadrzaj>
      <item>MARIO TOMIĆ, OIB 70668976416</item>
      <item>ZDENKO BEŠLIĆ, sada stečajni upravitelj, OIB 40568270984</item>
      <item>ŽDO Građansko-upravni odjel</item>
      <item>HYPO ALPE-ADRIA-BANK d.d., OIB 14036333877</item>
      <item>SUDSKI REGISTAR TS OS SSSB</item>
      <item>POREZNA UPRAVA SLAVONSKI BROD</item>
      <item>TS OS RAČUNOVODSTVO SUDA</item>
      <item>NARODNE NOVINE, dioničko društvo za izdavanje i tiskanje Službenog lista Republike Hrvatske, službenih i drugih obrazaca te , OIB 64546066176</item>
      <item>FINA POŽEGA</item>
      <item>PETRA DUJMOVIĆ</item>
      <item>SANDRA PAVIĆ, odvjetnica</item>
      <item>ZORAN TOMIĆ, odvjetnik</item>
      <item>Perica Medaković, st.upravitelj</item>
      <item>ANka Šutalo</item>
      <item>KRUNOSLAV PRPIĆ</item>
    </izvorni_sadrzaj>
    <derivirana_varijabla naziv="DomainObject.Predmet.OstaliListFormatedOIB_1">
      <item>MARIO TOMIĆ, OIB 70668976416</item>
      <item>ZDENKO BEŠLIĆ, sada stečajni upravitelj, OIB 40568270984</item>
      <item>ŽDO Građansko-upravni odjel</item>
      <item>HYPO ALPE-ADRIA-BANK d.d., OIB 14036333877</item>
      <item>SUDSKI REGISTAR TS OS SSSB</item>
      <item>POREZNA UPRAVA SLAVONSKI BROD</item>
      <item>TS OS RAČUNOVODSTVO SUDA</item>
      <item>NARODNE NOVINE, dioničko društvo za izdavanje i tiskanje Službenog lista Republike Hrvatske, službenih i drugih obrazaca te , OIB 64546066176</item>
      <item>FINA POŽEGA</item>
      <item>PETRA DUJMOVIĆ</item>
      <item>SANDRA PAVIĆ, odvjetnica</item>
      <item>ZORAN TOMIĆ, odvjetnik</item>
      <item>Perica Medaković, st.upravitelj</item>
      <item>ANka Šutalo</item>
      <item>KRUNOSLAV PRPIĆ</item>
    </derivirana_varijabla>
  </DomainObject.Predmet.OstaliListFormatedOIB>
  <DomainObject.Predmet.OstaliListFormatedWithAdress>
    <izvorni_sadrzaj>
      <item>MARIO TOMIĆ, Ivandol 58, 34322 Brestovac</item>
      <item>ZDENKO BEŠLIĆ, sada stečajni upravitelj, Petra Krešimira IV broj 4, 35000 Slavonski Brod</item>
      <item>ŽDO Građansko-upravni odjel, 35000 Slavonski Brod</item>
      <item>HYPO ALPE-ADRIA-BANK d.d., Slavonska avenija 6, 10000 Zagreb</item>
      <item>SUDSKI REGISTAR TS OS SSSB, 35000 Slavonski Brod</item>
      <item>POREZNA UPRAVA SLAVONSKI BROD, 35000 Slavonski Brod</item>
      <item>TS OS RAČUNOVODSTVO SUDA, 31000 Osijek</item>
      <item>NARODNE NOVINE, dioničko društvo za izdavanje i tiskanje Službenog lista Republike Hrvatske, službenih i drugih obrazaca te , Savski Gaj XIII. put 6, 10000 Zagreb</item>
      <item>FINA POŽEGA, 34000 Požega</item>
      <item>PETRA DUJMOVIĆ, Gredice 7, 10000 Zagreb</item>
      <item>SANDRA PAVIĆ, odvjetnica, Trg Svetog Trojstva 7/I, 34000 Požega</item>
      <item>ZORAN TOMIĆ, odvjetnik, Zelinska 2/1, 10000 Zagreb</item>
      <item>Perica Medaković, st.upravitelj</item>
      <item>ANka Šutalo</item>
      <item>KRUNOSLAV PRPIĆ</item>
    </izvorni_sadrzaj>
    <derivirana_varijabla naziv="DomainObject.Predmet.OstaliListFormatedWithAdress_1">
      <item>MARIO TOMIĆ, Ivandol 58, 34322 Brestovac</item>
      <item>ZDENKO BEŠLIĆ, sada stečajni upravitelj, Petra Krešimira IV broj 4, 35000 Slavonski Brod</item>
      <item>ŽDO Građansko-upravni odjel, 35000 Slavonski Brod</item>
      <item>HYPO ALPE-ADRIA-BANK d.d., Slavonska avenija 6, 10000 Zagreb</item>
      <item>SUDSKI REGISTAR TS OS SSSB, 35000 Slavonski Brod</item>
      <item>POREZNA UPRAVA SLAVONSKI BROD, 35000 Slavonski Brod</item>
      <item>TS OS RAČUNOVODSTVO SUDA, 31000 Osijek</item>
      <item>NARODNE NOVINE, dioničko društvo za izdavanje i tiskanje Službenog lista Republike Hrvatske, službenih i drugih obrazaca te , Savski Gaj XIII. put 6, 10000 Zagreb</item>
      <item>FINA POŽEGA, 34000 Požega</item>
      <item>PETRA DUJMOVIĆ, Gredice 7, 10000 Zagreb</item>
      <item>SANDRA PAVIĆ, odvjetnica, Trg Svetog Trojstva 7/I, 34000 Požega</item>
      <item>ZORAN TOMIĆ, odvjetnik, Zelinska 2/1, 10000 Zagreb</item>
      <item>Perica Medaković, st.upravitelj</item>
      <item>ANka Šutalo</item>
      <item>KRUNOSLAV PRPIĆ</item>
    </derivirana_varijabla>
  </DomainObject.Predmet.OstaliListFormatedWithAdress>
  <DomainObject.Predmet.OstaliListFormatedWithAdressOIB>
    <izvorni_sadrzaj>
      <item>MARIO TOMIĆ, OIB 70668976416, Ivandol 58, 34322 Brestovac</item>
      <item>ZDENKO BEŠLIĆ, sada stečajni upravitelj, OIB 40568270984, Petra Krešimira IV broj 4, 35000 Slavonski Brod</item>
      <item>ŽDO Građansko-upravni odjel, 35000 Slavonski Brod</item>
      <item>HYPO ALPE-ADRIA-BANK d.d., OIB 14036333877, Slavonska avenija 6, 10000 Zagreb</item>
      <item>SUDSKI REGISTAR TS OS SSSB, 35000 Slavonski Brod</item>
      <item>POREZNA UPRAVA SLAVONSKI BROD, 35000 Slavonski Brod</item>
      <item>TS OS RAČUNOVODSTVO SUDA, 31000 Osijek</item>
      <item>NARODNE NOVINE, dioničko društvo za izdavanje i tiskanje Službenog lista Republike Hrvatske, službenih i drugih obrazaca te , OIB 64546066176, Savski Gaj XIII. put 6, 10000 Zagreb</item>
      <item>FINA POŽEGA, 34000 Požega</item>
      <item>PETRA DUJMOVIĆ, Gredice 7, 10000 Zagreb</item>
      <item>SANDRA PAVIĆ, odvjetnica, Trg Svetog Trojstva 7/I, 34000 Požega</item>
      <item>ZORAN TOMIĆ, odvjetnik, Zelinska 2/1, 10000 Zagreb</item>
      <item>Perica Medaković, st.upravitelj</item>
      <item>ANka Šutalo</item>
      <item>KRUNOSLAV PRPIĆ</item>
    </izvorni_sadrzaj>
    <derivirana_varijabla naziv="DomainObject.Predmet.OstaliListFormatedWithAdressOIB_1">
      <item>MARIO TOMIĆ, OIB 70668976416, Ivandol 58, 34322 Brestovac</item>
      <item>ZDENKO BEŠLIĆ, sada stečajni upravitelj, OIB 40568270984, Petra Krešimira IV broj 4, 35000 Slavonski Brod</item>
      <item>ŽDO Građansko-upravni odjel, 35000 Slavonski Brod</item>
      <item>HYPO ALPE-ADRIA-BANK d.d., OIB 14036333877, Slavonska avenija 6, 10000 Zagreb</item>
      <item>SUDSKI REGISTAR TS OS SSSB, 35000 Slavonski Brod</item>
      <item>POREZNA UPRAVA SLAVONSKI BROD, 35000 Slavonski Brod</item>
      <item>TS OS RAČUNOVODSTVO SUDA, 31000 Osijek</item>
      <item>NARODNE NOVINE, dioničko društvo za izdavanje i tiskanje Službenog lista Republike Hrvatske, službenih i drugih obrazaca te , OIB 64546066176, Savski Gaj XIII. put 6, 10000 Zagreb</item>
      <item>FINA POŽEGA, 34000 Požega</item>
      <item>PETRA DUJMOVIĆ, Gredice 7, 10000 Zagreb</item>
      <item>SANDRA PAVIĆ, odvjetnica, Trg Svetog Trojstva 7/I, 34000 Požega</item>
      <item>ZORAN TOMIĆ, odvjetnik, Zelinska 2/1, 10000 Zagreb</item>
      <item>Perica Medaković, st.upravitelj</item>
      <item>ANka Šutalo</item>
      <item>KRUNOSLAV PRPIĆ</item>
    </derivirana_varijabla>
  </DomainObject.Predmet.OstaliListFormatedWithAdressOIB>
  <DomainObject.Predmet.OstaliListNazivFormated>
    <izvorni_sadrzaj>
      <item>MARIO TOMIĆ</item>
      <item>ZDENKO BEŠLIĆ, sada stečajni upravitelj</item>
      <item>ŽDO Građansko-upravni odjel</item>
      <item>HYPO ALPE-ADRIA-BANK d.d.</item>
      <item>SUDSKI REGISTAR TS OS SSSB</item>
      <item>POREZNA UPRAVA SLAVONSKI BROD</item>
      <item>TS OS RAČUNOVODSTVO SUDA</item>
      <item>NARODNE NOVINE, dioničko društvo za izdavanje i tiskanje Službenog lista Republike Hrvatske, službenih i drugih obrazaca te </item>
      <item>FINA POŽEGA</item>
      <item>PETRA DUJMOVIĆ</item>
      <item>SANDRA PAVIĆ, odvjetnica</item>
      <item>ZORAN TOMIĆ, odvjetnik</item>
      <item>Perica Medaković, st.upravitelj</item>
      <item>ANka Šutalo</item>
      <item>KRUNOSLAV PRPIĆ</item>
    </izvorni_sadrzaj>
    <derivirana_varijabla naziv="DomainObject.Predmet.OstaliListNazivFormated_1">
      <item>MARIO TOMIĆ</item>
      <item>ZDENKO BEŠLIĆ, sada stečajni upravitelj</item>
      <item>ŽDO Građansko-upravni odjel</item>
      <item>HYPO ALPE-ADRIA-BANK d.d.</item>
      <item>SUDSKI REGISTAR TS OS SSSB</item>
      <item>POREZNA UPRAVA SLAVONSKI BROD</item>
      <item>TS OS RAČUNOVODSTVO SUDA</item>
      <item>NARODNE NOVINE, dioničko društvo za izdavanje i tiskanje Službenog lista Republike Hrvatske, službenih i drugih obrazaca te </item>
      <item>FINA POŽEGA</item>
      <item>PETRA DUJMOVIĆ</item>
      <item>SANDRA PAVIĆ, odvjetnica</item>
      <item>ZORAN TOMIĆ, odvjetnik</item>
      <item>Perica Medaković, st.upravitelj</item>
      <item>ANka Šutalo</item>
      <item>KRUNOSLAV PRPIĆ</item>
    </derivirana_varijabla>
  </DomainObject.Predmet.OstaliListNazivFormated>
  <DomainObject.Predmet.OstaliListNazivFormatedOIB>
    <izvorni_sadrzaj>
      <item>MARIO TOMIĆ, OIB 70668976416</item>
      <item>ZDENKO BEŠLIĆ, sada stečajni upravitelj, OIB 40568270984</item>
      <item>ŽDO Građansko-upravni odjel</item>
      <item>HYPO ALPE-ADRIA-BANK d.d., OIB 14036333877</item>
      <item>SUDSKI REGISTAR TS OS SSSB</item>
      <item>POREZNA UPRAVA SLAVONSKI BROD</item>
      <item>TS OS RAČUNOVODSTVO SUDA</item>
      <item>NARODNE NOVINE, dioničko društvo za izdavanje i tiskanje Službenog lista Republike Hrvatske, službenih i drugih obrazaca te , OIB 64546066176</item>
      <item>FINA POŽEGA</item>
      <item>PETRA DUJMOVIĆ</item>
      <item>SANDRA PAVIĆ, odvjetnica</item>
      <item>ZORAN TOMIĆ, odvjetnik</item>
      <item>Perica Medaković, st.upravitelj</item>
      <item>ANka Šutalo</item>
      <item>KRUNOSLAV PRPIĆ</item>
    </izvorni_sadrzaj>
    <derivirana_varijabla naziv="DomainObject.Predmet.OstaliListNazivFormatedOIB_1">
      <item>MARIO TOMIĆ, OIB 70668976416</item>
      <item>ZDENKO BEŠLIĆ, sada stečajni upravitelj, OIB 40568270984</item>
      <item>ŽDO Građansko-upravni odjel</item>
      <item>HYPO ALPE-ADRIA-BANK d.d., OIB 14036333877</item>
      <item>SUDSKI REGISTAR TS OS SSSB</item>
      <item>POREZNA UPRAVA SLAVONSKI BROD</item>
      <item>TS OS RAČUNOVODSTVO SUDA</item>
      <item>NARODNE NOVINE, dioničko društvo za izdavanje i tiskanje Službenog lista Republike Hrvatske, službenih i drugih obrazaca te , OIB 64546066176</item>
      <item>FINA POŽEGA</item>
      <item>PETRA DUJMOVIĆ</item>
      <item>SANDRA PAVIĆ, odvjetnica</item>
      <item>ZORAN TOMIĆ, odvjetnik</item>
      <item>Perica Medaković, st.upravitelj</item>
      <item>ANka Šutalo</item>
      <item>KRUNOSLAV PRPIĆ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TRENTO PROMET društvo s ograničenom odgovornošću za proizvodnju i trgovinu, Ivandol</izvorni_sadrzaj>
    <derivirana_varijabla naziv="DomainObject.Predmet.StrankaIDrugi_1">TRENTO PROMET društvo s ograničenom odgovornošću za proizvodnju i trgovinu, Ivandol</derivirana_varijabla>
  </DomainObject.Predmet.StrankaIDrugi>
  <DomainObject.Predmet.ProtustrankaIDrugi>
    <izvorni_sadrzaj/>
    <derivirana_varijabla naziv="DomainObject.Predmet.ProtustrankaIDrugi_1"/>
  </DomainObject.Predmet.ProtustrankaIDrugi>
  <DomainObject.Predmet.StrankaIDrugiAdressOIB>
    <izvorni_sadrzaj>TRENTO PROMET društvo s ograničenom odgovornošću za proizvodnju i trgovinu, Ivandol, OIB 35238979687, br. 58, Brestovac, Ivandol</izvorni_sadrzaj>
    <derivirana_varijabla naziv="DomainObject.Predmet.StrankaIDrugiAdressOIB_1">TRENTO PROMET društvo s ograničenom odgovornošću za proizvodnju i trgovinu, Ivandol, OIB 35238979687, br. 58, Brestovac, Ivandol</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TRENTO PROMET društvo s ograničenom odgovornošću za proizvodnju i trgovinu, Ivandol</item>
      <item>MARIO TOMIĆ</item>
      <item>ZDENKO BEŠLIĆ, sada stečajni upravitelj</item>
      <item>ŽDO Građansko-upravni odjel</item>
      <item>HYPO ALPE-ADRIA-BANK d.d.</item>
      <item>SUDSKI REGISTAR TS OS SSSB</item>
      <item>POREZNA UPRAVA SLAVONSKI BROD</item>
      <item>TS OS RAČUNOVODSTVO SUDA</item>
      <item>NARODNE NOVINE, dioničko društvo za izdavanje i tiskanje Službenog lista Republike Hrvatske, službenih i drugih obrazaca te </item>
      <item>FINA POŽEGA</item>
      <item>PETRA DUJMOVIĆ</item>
      <item>SANDRA PAVIĆ, odvjetnica</item>
      <item>ZORAN TOMIĆ, odvjetnik</item>
      <item>Perica Medaković, st.upravitelj</item>
      <item>ANka Šutalo</item>
      <item>KRUNOSLAV PRPIĆ</item>
    </izvorni_sadrzaj>
    <derivirana_varijabla naziv="DomainObject.Predmet.SudioniciListNaziv_1">
      <item>TRENTO PROMET društvo s ograničenom odgovornošću za proizvodnju i trgovinu, Ivandol</item>
      <item>MARIO TOMIĆ</item>
      <item>ZDENKO BEŠLIĆ, sada stečajni upravitelj</item>
      <item>ŽDO Građansko-upravni odjel</item>
      <item>HYPO ALPE-ADRIA-BANK d.d.</item>
      <item>SUDSKI REGISTAR TS OS SSSB</item>
      <item>POREZNA UPRAVA SLAVONSKI BROD</item>
      <item>TS OS RAČUNOVODSTVO SUDA</item>
      <item>NARODNE NOVINE, dioničko društvo za izdavanje i tiskanje Službenog lista Republike Hrvatske, službenih i drugih obrazaca te </item>
      <item>FINA POŽEGA</item>
      <item>PETRA DUJMOVIĆ</item>
      <item>SANDRA PAVIĆ, odvjetnica</item>
      <item>ZORAN TOMIĆ, odvjetnik</item>
      <item>Perica Medaković, st.upravitelj</item>
      <item>ANka Šutalo</item>
      <item>KRUNOSLAV PRPIĆ</item>
    </derivirana_varijabla>
  </DomainObject.Predmet.SudioniciListNaziv>
  <DomainObject.Predmet.SudioniciListAdressOIB>
    <izvorni_sadrzaj>
      <item>TRENTO PROMET društvo s ograničenom odgovornošću za proizvodnju i trgovinu, Ivandol, OIB 35238979687, br. 58, Brestovac,Ivandol</item>
      <item>MARIO TOMIĆ, OIB 70668976416, Ivandol 58,34322 Brestovac</item>
      <item>ZDENKO BEŠLIĆ, sada stečajni upravitelj, OIB 40568270984, Petra Krešimira IV broj 4,35000 Slavonski Brod</item>
      <item>ŽDO Građansko-upravni odjel, 35000 Slavonski Brod</item>
      <item>HYPO ALPE-ADRIA-BANK d.d., OIB 14036333877, Slavonska avenija 6,10000 Zagreb</item>
      <item>SUDSKI REGISTAR TS OS SSSB, 35000 Slavonski Brod</item>
      <item>POREZNA UPRAVA SLAVONSKI BROD, 35000 Slavonski Brod</item>
      <item>TS OS RAČUNOVODSTVO SUDA, 31000 Osijek</item>
      <item>NARODNE NOVINE, dioničko društvo za izdavanje i tiskanje Službenog lista Republike Hrvatske, službenih i drugih obrazaca te , OIB 64546066176, Savski Gaj XIII. put 6,10000 Zagreb</item>
      <item>FINA POŽEGA, 34000 Požega</item>
      <item>PETRA DUJMOVIĆ, Gredice 7,10000 Zagreb</item>
      <item>SANDRA PAVIĆ, odvjetnica, Trg Svetog Trojstva 7/I,34000 Požega</item>
      <item>ZORAN TOMIĆ, odvjetnik, Zelinska 2/1,10000 Zagreb</item>
      <item>Perica Medaković, st.upravitelj</item>
      <item>ANka Šutalo</item>
      <item>KRUNOSLAV PRPIĆ</item>
    </izvorni_sadrzaj>
    <derivirana_varijabla naziv="DomainObject.Predmet.SudioniciListAdressOIB_1">
      <item>TRENTO PROMET društvo s ograničenom odgovornošću za proizvodnju i trgovinu, Ivandol, OIB 35238979687, br. 58, Brestovac,Ivandol</item>
      <item>MARIO TOMIĆ, OIB 70668976416, Ivandol 58,34322 Brestovac</item>
      <item>ZDENKO BEŠLIĆ, sada stečajni upravitelj, OIB 40568270984, Petra Krešimira IV broj 4,35000 Slavonski Brod</item>
      <item>ŽDO Građansko-upravni odjel, 35000 Slavonski Brod</item>
      <item>HYPO ALPE-ADRIA-BANK d.d., OIB 14036333877, Slavonska avenija 6,10000 Zagreb</item>
      <item>SUDSKI REGISTAR TS OS SSSB, 35000 Slavonski Brod</item>
      <item>POREZNA UPRAVA SLAVONSKI BROD, 35000 Slavonski Brod</item>
      <item>TS OS RAČUNOVODSTVO SUDA, 31000 Osijek</item>
      <item>NARODNE NOVINE, dioničko društvo za izdavanje i tiskanje Službenog lista Republike Hrvatske, službenih i drugih obrazaca te , OIB 64546066176, Savski Gaj XIII. put 6,10000 Zagreb</item>
      <item>FINA POŽEGA, 34000 Požega</item>
      <item>PETRA DUJMOVIĆ, Gredice 7,10000 Zagreb</item>
      <item>SANDRA PAVIĆ, odvjetnica, Trg Svetog Trojstva 7/I,34000 Požega</item>
      <item>ZORAN TOMIĆ, odvjetnik, Zelinska 2/1,10000 Zagreb</item>
      <item>Perica Medaković, st.upravitelj</item>
      <item>ANka Šutalo</item>
      <item>KRUNOSLAV PRPIĆ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35238979687</item>
      <item>, OIB 70668976416</item>
      <item>, OIB 40568270984</item>
      <item>, OIB null</item>
      <item>, OIB 14036333877</item>
      <item>, OIB null</item>
      <item>, OIB null</item>
      <item>, OIB null</item>
      <item>, OIB 64546066176</item>
      <item>, OIB null</item>
      <item>, OIB null</item>
      <item>, OIB null</item>
      <item>, OIB null</item>
      <item>, OIB null</item>
      <item>, OIB null</item>
      <item>, OIB null</item>
    </izvorni_sadrzaj>
    <derivirana_varijabla naziv="DomainObject.Predmet.SudioniciListNazivOIB_1">
      <item>, OIB 35238979687</item>
      <item>, OIB 70668976416</item>
      <item>, OIB 40568270984</item>
      <item>, OIB null</item>
      <item>, OIB 14036333877</item>
      <item>, OIB null</item>
      <item>, OIB null</item>
      <item>, OIB null</item>
      <item>, OIB 64546066176</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799</properties:Words>
  <properties:Characters>4571</properties:Characters>
  <properties:Lines>130</properties:Lines>
  <properties:Paragraphs>74</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2018-03-02T12:49:00Z</dcterms:created>
  <dc:creator>wsadmin</dc:creator>
  <cp:lastModifiedBy>wsadmin</cp:lastModifiedBy>
  <cp:lastPrinted>2018-03-02T12:51:00Z</cp:lastPrinted>
  <dcterms:modified xmlns:xsi="http://www.w3.org/2001/XMLSchema-instance" xsi:type="dcterms:W3CDTF">2018-04-05T12:27:00Z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trento.docx)</vt:lpwstr>
  </prop:property>
  <prop:property name="CC_coloring" pid="4" fmtid="{D5CDD505-2E9C-101B-9397-08002B2CF9AE}">
    <vt:bool>false</vt:bool>
  </prop:property>
  <prop:property name="BrojStranica" pid="5" fmtid="{D5CDD505-2E9C-101B-9397-08002B2CF9AE}">
    <vt:i4>4</vt:i4>
  </prop:property>
</prop:Properties>
</file>