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0507" w14:paraId="6f90507" w:rsidRDefault="001267D1" w:rsidP="001267D1" w:rsidR="001267D1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67D1" w:rsidP="001267D1" w:rsidR="001267D1">
      <w:pPr>
        <w:pStyle w:val="NormaleSPIS"/>
      </w:pPr>
    </w:p>
    <w:p w:rsidRDefault="001267D1" w:rsidP="001267D1" w:rsidR="001267D1">
      <w:pPr>
        <w:spacing w:lineRule="auto" w:line="276" w:after="0"/>
        <w:rPr>
          <w:rFonts w:cs="Times New Roman" w:eastAsia="Calibri"/>
          <w:color w:val="000000"/>
        </w:rPr>
      </w:pPr>
    </w:p>
    <w:p w:rsidRDefault="001267D1" w:rsidP="001267D1" w:rsidR="001267D1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1267D1" w:rsidP="001267D1" w:rsidR="001267D1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1267D1" w:rsidP="001267D1" w:rsidR="001267D1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1267D1" w:rsidP="001267D1" w:rsidR="001267D1">
      <w:pPr>
        <w:spacing w:lineRule="auto" w:line="276" w:after="0"/>
        <w:rPr>
          <w:rFonts w:cs="Times New Roman" w:eastAsia="Calibri"/>
          <w:color w:val="000000"/>
        </w:rPr>
      </w:pPr>
    </w:p>
    <w:p w:rsidRDefault="001267D1" w:rsidP="001267D1" w:rsidR="001267D1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1267D1" w:rsidP="001267D1" w:rsidR="001267D1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1267D1" w:rsidP="001267D1" w:rsidR="001267D1">
      <w:pPr>
        <w:spacing w:lineRule="auto" w:line="276" w:after="0"/>
        <w:rPr>
          <w:rFonts w:cs="Times New Roman" w:eastAsia="Calibri"/>
          <w:color w:val="000000"/>
        </w:rPr>
      </w:pPr>
    </w:p>
    <w:p w:rsidRDefault="001267D1" w:rsidP="001267D1" w:rsidR="001267D1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1267D1" w:rsidP="001267D1" w:rsidR="001267D1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1267D1" w:rsidP="001267D1" w:rsidR="001267D1">
      <w:pPr>
        <w:spacing w:lineRule="auto" w:line="276" w:after="0"/>
        <w:rPr>
          <w:rFonts w:cs="Times New Roman" w:eastAsia="Calibri"/>
          <w:color w:val="000000"/>
        </w:rPr>
      </w:pPr>
    </w:p>
    <w:p w:rsidRDefault="001267D1" w:rsidP="001267D1" w:rsidR="001267D1">
      <w:pPr>
        <w:spacing w:lineRule="auto" w:line="276" w:after="0"/>
        <w:rPr>
          <w:rFonts w:cs="Times New Roman" w:eastAsia="Calibri"/>
          <w:color w:val="000000"/>
        </w:rPr>
      </w:pPr>
    </w:p>
    <w:p w:rsidRDefault="001267D1" w:rsidP="001267D1" w:rsidR="001267D1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1267D1" w:rsidP="001267D1" w:rsidR="001267D1">
      <w:pPr>
        <w:spacing w:lineRule="auto" w:line="276" w:after="0"/>
        <w:rPr>
          <w:rFonts w:cs="Times New Roman" w:eastAsia="Calibri"/>
          <w:color w:val="000000"/>
        </w:rPr>
      </w:pPr>
    </w:p>
    <w:p w:rsidRDefault="001267D1" w:rsidP="001267D1" w:rsidR="001267D1">
      <w:pPr>
        <w:spacing w:lineRule="auto" w:line="276" w:after="0"/>
        <w:rPr>
          <w:rFonts w:cs="Times New Roman" w:eastAsia="Calibri"/>
          <w:color w:val="000000"/>
        </w:rPr>
      </w:pPr>
    </w:p>
    <w:p w:rsidRDefault="001267D1" w:rsidP="001267D1" w:rsidR="001267D1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1267D1" w:rsidP="001267D1" w:rsidR="001267D1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1267D1" w:rsidP="001267D1" w:rsidR="001267D1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267D1" w:rsidP="001267D1" w:rsidR="001267D1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267D1" w:rsidR="001267D1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do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otvaranja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267D1" w:rsidR="001267D1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1267D1" w:rsidR="001267D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267D1" w:rsidR="001267D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1267D1" w:rsidP="001267D1" w:rsidR="001267D1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267D1" w:rsidP="001267D1" w:rsidR="001267D1">
      <w:pPr>
        <w:pStyle w:val="NormaleSPIS"/>
      </w:pPr>
    </w:p>
    <w:p w:rsidRDefault="001267D1" w:rsidP="001267D1" w:rsidR="001267D1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267D1" w:rsidP="001267D1" w:rsidR="001267D1">
      <w:pPr>
        <w:pStyle w:val="NormaleSPIS"/>
      </w:pPr>
    </w:p>
    <w:p w:rsidRDefault="001267D1" w:rsidP="001267D1" w:rsidR="001267D1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267D1" w:rsidP="001267D1" w:rsidR="001267D1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1267D1" w:rsidP="001267D1" w:rsidR="001267D1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1267D1" w:rsidP="001267D1" w:rsidR="001267D1">
      <w:pPr>
        <w:pStyle w:val="NormaleSPIS"/>
        <w:spacing w:after="0"/>
        <w:ind w:firstLine="0"/>
      </w:pPr>
      <w:r>
        <w:t>1. e-Oglasna ploča</w:t>
      </w:r>
    </w:p>
    <w:p w:rsidRDefault="001267D1" w:rsidP="001267D1" w:rsidR="001267D1">
      <w:pPr>
        <w:pStyle w:val="NormaleSPIS"/>
        <w:spacing w:after="0"/>
        <w:ind w:firstLine="0"/>
      </w:pPr>
      <w:r>
        <w:t>2. Spisi navedeni u tabeli iz točke 2.</w:t>
      </w:r>
    </w:p>
    <w:p w:rsidRDefault="001267D1" w:rsidP="001267D1" w:rsidR="001267D1">
      <w:pPr>
        <w:pStyle w:val="NormaleSPIS"/>
        <w:spacing w:after="0"/>
        <w:ind w:firstLine="0"/>
      </w:pPr>
      <w:r>
        <w:t>3. Trgovački sud u Bjelovaru</w:t>
      </w:r>
    </w:p>
    <w:p w:rsidRDefault="001267D1" w:rsidP="001267D1" w:rsidR="001267D1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7D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002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St-141/2017-3</izvorni_sadrzaj>
    <derivirana_varijabla naziv="DomainObject.Oznaka_1">St-141/2017-3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St-141/2017</izvorni_sadrzaj>
    <derivirana_varijabla naziv="DomainObject.Predmet.OznakaBroj_1">St-141/2017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Moneta d.o.o. za upravljanje, istraživanje i posredovanje</izvorni_sadrzaj>
    <derivirana_varijabla naziv="DomainObject.Predmet.ProtustrankaFormated_1">  Moneta d.o.o. za upravljanje, istraživanje i posredovanje</derivirana_varijabla>
  </DomainObject.Predmet.ProtustrankaFormated>
  <DomainObject.Predmet.ProtustrankaFormatedOIB>
    <izvorni_sadrzaj>  Moneta d.o.o. za upravljanje, istraživanje i posredovanje, OIB 23467911097</izvorni_sadrzaj>
    <derivirana_varijabla naziv="DomainObject.Predmet.ProtustrankaFormatedOIB_1">  Moneta d.o.o. za upravljanje, istraživanje i posredovanje, OIB 23467911097</derivirana_varijabla>
  </DomainObject.Predmet.ProtustrankaFormatedOIB>
  <DomainObject.Predmet.ProtustrankaFormatedWithAdress>
    <izvorni_sadrzaj> Moneta d.o.o. za upravljanje, istraživanje i posredovanje, Anina 2, 42000 Varaždin</izvorni_sadrzaj>
    <derivirana_varijabla naziv="DomainObject.Predmet.ProtustrankaFormatedWithAdress_1"> Moneta d.o.o. za upravljanje, istraživanje i posredovanje, Anina 2, 42000 Varaždin</derivirana_varijabla>
  </DomainObject.Predmet.ProtustrankaFormatedWithAdress>
  <DomainObject.Predmet.ProtustrankaFormatedWithAdressOIB>
    <izvorni_sadrzaj> Moneta d.o.o. za upravljanje, istraživanje i posredovanje, OIB 23467911097, Anina 2, 42000 Varaždin</izvorni_sadrzaj>
    <derivirana_varijabla naziv="DomainObject.Predmet.ProtustrankaFormatedWithAdressOIB_1"> Moneta d.o.o. za upravljanje, istraživanje i posredovanje, OIB 23467911097, Anina 2, 42000 Varaždin</derivirana_varijabla>
  </DomainObject.Predmet.ProtustrankaFormatedWithAdressOIB>
  <DomainObject.Predmet.ProtustrankaWithAdress>
    <izvorni_sadrzaj>Moneta d.o.o. za upravljanje, istraživanje i posredovanje Anina 2, 42000 Varaždin</izvorni_sadrzaj>
    <derivirana_varijabla naziv="DomainObject.Predmet.ProtustrankaWithAdress_1">Moneta d.o.o. za upravljanje, istraživanje i posredovanje Anina 2, 42000 Varaždin</derivirana_varijabla>
  </DomainObject.Predmet.ProtustrankaWithAdress>
  <DomainObject.Predmet.ProtustrankaWithAdressOIB>
    <izvorni_sadrzaj>Moneta d.o.o. za upravljanje, istraživanje i posredovanje, OIB 23467911097, Anina 2, 42000 Varaždin</izvorni_sadrzaj>
    <derivirana_varijabla naziv="DomainObject.Predmet.ProtustrankaWithAdressOIB_1">Moneta d.o.o. za upravljanje, istraživanje i posredovanje, OIB 23467911097, Anina 2, 42000 Varaždin</derivirana_varijabla>
  </DomainObject.Predmet.ProtustrankaWithAdressOIB>
  <DomainObject.Predmet.ProtustrankaNazivFormated>
    <izvorni_sadrzaj>Moneta d.o.o. za upravljanje, istraživanje i posredovanje</izvorni_sadrzaj>
    <derivirana_varijabla naziv="DomainObject.Predmet.ProtustrankaNazivFormated_1">Moneta d.o.o. za upravljanje, istraživanje i posredovanje</derivirana_varijabla>
  </DomainObject.Predmet.ProtustrankaNazivFormated>
  <DomainObject.Predmet.ProtustrankaNazivFormatedOIB>
    <izvorni_sadrzaj>Moneta d.o.o. za upravljanje, istraživanje i posredovanje, OIB 23467911097</izvorni_sadrzaj>
    <derivirana_varijabla naziv="DomainObject.Predmet.ProtustrankaNazivFormatedOIB_1">Moneta d.o.o. za upravljanje, istraživanje i posredovanje, OIB 23467911097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77329.26</izvorni_sadrzaj>
    <derivirana_varijabla naziv="DomainObject.Predmet.TrenutnaVrijednost_1">77329.26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Moneta d.o.o. za upravljanje, istraživanje i posredovanje</item>
    </izvorni_sadrzaj>
    <derivirana_varijabla naziv="DomainObject.Predmet.ProtuStrankaListFormated_1">
      <item>Moneta d.o.o. za upravljanje, istraživanje i posredovanje</item>
    </derivirana_varijabla>
  </DomainObject.Predmet.ProtuStrankaListFormated>
  <DomainObject.Predmet.ProtuStrankaListFormatedOIB>
    <izvorni_sadrzaj>
      <item>Moneta d.o.o. za upravljanje, istraživanje i posredovanje, OIB 23467911097</item>
    </izvorni_sadrzaj>
    <derivirana_varijabla naziv="DomainObject.Predmet.ProtuStrankaListFormatedOIB_1">
      <item>Moneta d.o.o. za upravljanje, istraživanje i posredovanje, OIB 23467911097</item>
    </derivirana_varijabla>
  </DomainObject.Predmet.ProtuStrankaListFormatedOIB>
  <DomainObject.Predmet.ProtuStrankaListFormatedWithAdress>
    <izvorni_sadrzaj>
      <item>Moneta d.o.o. za upravljanje, istraživanje i posredovanje, Anina 2, 42000 Varaždin</item>
    </izvorni_sadrzaj>
    <derivirana_varijabla naziv="DomainObject.Predmet.ProtuStrankaListFormatedWithAdress_1">
      <item>Moneta d.o.o. za upravljanje, istraživanje i posredovanje, Anina 2, 42000 Varaždin</item>
    </derivirana_varijabla>
  </DomainObject.Predmet.ProtuStrankaListFormatedWithAdress>
  <DomainObject.Predmet.ProtuStrankaListFormatedWithAdressOIB>
    <izvorni_sadrzaj>
      <item>Moneta d.o.o. za upravljanje, istraživanje i posredovanje, OIB 23467911097, Anina 2, 42000 Varaždin</item>
    </izvorni_sadrzaj>
    <derivirana_varijabla naziv="DomainObject.Predmet.ProtuStrankaListFormatedWithAdressOIB_1">
      <item>Moneta d.o.o. za upravljanje, istraživanje i posredovanje, OIB 23467911097, Anina 2, 42000 Varaždin</item>
    </derivirana_varijabla>
  </DomainObject.Predmet.ProtuStrankaListFormatedWithAdressOIB>
  <DomainObject.Predmet.ProtuStrankaListNazivFormated>
    <izvorni_sadrzaj>
      <item>Moneta d.o.o. za upravljanje, istraživanje i posredovanje</item>
    </izvorni_sadrzaj>
    <derivirana_varijabla naziv="DomainObject.Predmet.ProtuStrankaListNazivFormated_1">
      <item>Moneta d.o.o. za upravljanje, istraživanje i posredovanje</item>
    </derivirana_varijabla>
  </DomainObject.Predmet.ProtuStrankaListNazivFormated>
  <DomainObject.Predmet.ProtuStrankaListNazivFormatedOIB>
    <izvorni_sadrzaj>
      <item>Moneta d.o.o. za upravljanje, istraživanje i posredovanje, OIB 23467911097</item>
    </izvorni_sadrzaj>
    <derivirana_varijabla naziv="DomainObject.Predmet.ProtuStrankaListNazivFormatedOIB_1">
      <item>Moneta d.o.o. za upravljanje, istraživanje i posredovanje, OIB 23467911097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St-141/2017-3</izvorni_sadrzaj>
    <derivirana_varijabla naziv="DomainObject.PoslovniBrojDokumenta_1">St-141/2017-3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Moneta d.o.o. za upravljanje, istraživanje i posredovanje</izvorni_sadrzaj>
    <derivirana_varijabla naziv="DomainObject.Predmet.ProtustrankaIDrugi_1">Moneta d.o.o. za upravljanje, istraživanje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Moneta d.o.o. za upravljanje, istraživanje i posredovanje, OIB 23467911097, Anina 2, 42000 Varaždin</izvorni_sadrzaj>
    <derivirana_varijabla naziv="DomainObject.Predmet.ProtustrankaIDrugiAdressOIB_1">Moneta d.o.o. za upravljanje, istraživanje i posredovanje, OIB 23467911097,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Moneta d.o.o. za upravljanje, istraživanje i posredovanje</item>
      <item>Sudski registar</item>
      <item>e-oglasna ploča</item>
    </izvorni_sadrzaj>
    <derivirana_varijabla naziv="DomainObject.Predmet.SudioniciListNaziv_1">
      <item>Financijska agencija</item>
      <item>Moneta d.o.o. za upravljanje, istraživanje i posredovanje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Moneta d.o.o. za upravljanje, istraživanje i posredovanje, OIB 23467911097, Anina 2,42000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Moneta d.o.o. za upravljanje, istraživanje i posredovanje, OIB 23467911097, Anina 2,42000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1D725-3C27-4FC3-9583-7F0069FD8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2017-12-27T08:38:00Z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St-141/2017-3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