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d221f1" w14:paraId="0d221f1" w:rsidRDefault="003E0E85" w:rsidP="003E0E85" w:rsidR="003E0E85" w:rsidRPr="00495693">
      <w:pPr>
        <w:ind w:firstLine="720"/>
        <w15:collapsed w:val="false"/>
        <w:rPr>
          <w:b/>
          <w:sz w:val="24"/>
          <w:szCs w:val="24"/>
          <w:lang w:val="hr-HR"/>
        </w:rPr>
      </w:pPr>
      <w:bookmarkStart w:name="_GoBack" w:id="0"/>
      <w:bookmarkEnd w:id="0"/>
      <w:r w:rsidRPr="00495693">
        <w:rPr>
          <w:noProof/>
          <w:sz w:val="24"/>
          <w:szCs w:val="24"/>
          <w:lang w:val="hr-HR"/>
        </w:rPr>
        <w:drawing>
          <wp:inline distR="0" distL="0" distB="0" distT="0">
            <wp:extent cy="962025" cx="723900"/>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3E0E85" w:rsidP="003E0E85" w:rsidR="003E0E85" w:rsidRPr="00495693">
      <w:pPr>
        <w:jc w:val="both"/>
        <w:rPr>
          <w:sz w:val="24"/>
          <w:szCs w:val="24"/>
          <w:lang w:val="hr-HR"/>
        </w:rPr>
      </w:pPr>
      <w:r w:rsidRPr="00495693">
        <w:rPr>
          <w:sz w:val="24"/>
          <w:szCs w:val="24"/>
          <w:lang w:val="hr-HR"/>
        </w:rPr>
        <w:t>REPUBLIKA HRVATSKA</w:t>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p>
    <w:p w:rsidRDefault="003E0E85" w:rsidP="003E0E85" w:rsidR="003E0E85" w:rsidRPr="00495693">
      <w:pPr>
        <w:jc w:val="both"/>
        <w:rPr>
          <w:sz w:val="24"/>
          <w:szCs w:val="24"/>
          <w:lang w:val="hr-HR"/>
        </w:rPr>
      </w:pPr>
      <w:r w:rsidRPr="00495693">
        <w:rPr>
          <w:sz w:val="24"/>
          <w:szCs w:val="24"/>
          <w:lang w:val="hr-HR"/>
        </w:rPr>
        <w:t>TRGOVAČKI SUD U ZAGREBU</w:t>
      </w:r>
    </w:p>
    <w:p w:rsidRDefault="003E0E85" w:rsidP="003E0E85" w:rsidR="003E0E85" w:rsidRPr="00495693">
      <w:pPr>
        <w:jc w:val="both"/>
        <w:rPr>
          <w:sz w:val="24"/>
          <w:szCs w:val="24"/>
          <w:lang w:val="hr-HR"/>
        </w:rPr>
      </w:pPr>
      <w:r w:rsidRPr="00495693">
        <w:rPr>
          <w:sz w:val="24"/>
          <w:szCs w:val="24"/>
          <w:lang w:val="hr-HR"/>
        </w:rPr>
        <w:t>Zagreb, Amruševa 2/II</w:t>
      </w:r>
    </w:p>
    <w:p w:rsidRDefault="003E0E85" w:rsidP="00ED4262" w:rsidR="003E0E85" w:rsidRPr="00495693">
      <w:pPr>
        <w:jc w:val="right"/>
        <w:rPr>
          <w:sz w:val="24"/>
          <w:szCs w:val="24"/>
          <w:lang w:val="hr-HR"/>
        </w:rPr>
      </w:pP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t xml:space="preserve">                                                       </w:t>
      </w:r>
      <w:r w:rsidR="00ED4262" w:rsidRPr="00495693">
        <w:rPr>
          <w:sz w:val="24"/>
          <w:szCs w:val="24"/>
          <w:lang w:val="hr-HR"/>
        </w:rPr>
        <w:t>87. St-2426/2018</w:t>
      </w:r>
      <w:r w:rsidRPr="00495693">
        <w:rPr>
          <w:sz w:val="24"/>
          <w:szCs w:val="24"/>
          <w:lang w:val="hr-HR"/>
        </w:rPr>
        <w:t xml:space="preserve">  </w:t>
      </w:r>
    </w:p>
    <w:p w:rsidRDefault="003E0E85" w:rsidP="003E0E85" w:rsidR="003E0E85" w:rsidRPr="00495693">
      <w:pPr>
        <w:jc w:val="right"/>
        <w:rPr>
          <w:sz w:val="24"/>
          <w:szCs w:val="24"/>
          <w:lang w:val="hr-HR"/>
        </w:rPr>
      </w:pPr>
    </w:p>
    <w:p w:rsidRDefault="003E0E85" w:rsidP="003E0E85" w:rsidR="003E0E85" w:rsidRPr="00495693">
      <w:pPr>
        <w:jc w:val="center"/>
        <w:rPr>
          <w:sz w:val="24"/>
          <w:szCs w:val="24"/>
          <w:lang w:val="hr-HR"/>
        </w:rPr>
      </w:pPr>
      <w:r w:rsidRPr="00495693">
        <w:rPr>
          <w:sz w:val="24"/>
          <w:szCs w:val="24"/>
          <w:lang w:val="hr-HR"/>
        </w:rPr>
        <w:t>R E P U B L I K A   H R V A T S K A</w:t>
      </w:r>
    </w:p>
    <w:p w:rsidRDefault="003E0E85" w:rsidP="003E0E85" w:rsidR="003E0E85" w:rsidRPr="00495693">
      <w:pPr>
        <w:jc w:val="both"/>
        <w:rPr>
          <w:sz w:val="24"/>
          <w:szCs w:val="24"/>
          <w:lang w:val="hr-HR"/>
        </w:rPr>
      </w:pPr>
    </w:p>
    <w:p w:rsidRDefault="003E0E85" w:rsidP="003E0E85" w:rsidR="003E0E85" w:rsidRPr="00495693">
      <w:pPr>
        <w:jc w:val="center"/>
        <w:rPr>
          <w:sz w:val="24"/>
          <w:szCs w:val="24"/>
          <w:lang w:val="hr-HR"/>
        </w:rPr>
      </w:pPr>
      <w:r w:rsidRPr="00495693">
        <w:rPr>
          <w:sz w:val="24"/>
          <w:szCs w:val="24"/>
          <w:lang w:val="hr-HR"/>
        </w:rPr>
        <w:t>R J E Š E NJ E</w:t>
      </w:r>
    </w:p>
    <w:p w:rsidRDefault="003E0E85" w:rsidP="003E0E85" w:rsidR="003E0E85" w:rsidRPr="00495693">
      <w:pPr>
        <w:jc w:val="both"/>
        <w:rPr>
          <w:sz w:val="24"/>
          <w:szCs w:val="24"/>
          <w:lang w:val="hr-HR"/>
        </w:rPr>
      </w:pPr>
    </w:p>
    <w:p w:rsidRDefault="003E0E85" w:rsidP="003E0E85" w:rsidR="003E0E85" w:rsidRPr="00495693">
      <w:pPr>
        <w:ind w:firstLine="708"/>
        <w:jc w:val="both"/>
        <w:rPr>
          <w:sz w:val="24"/>
          <w:szCs w:val="24"/>
          <w:lang w:val="hr-HR"/>
        </w:rPr>
      </w:pPr>
      <w:r w:rsidRPr="00495693">
        <w:rPr>
          <w:sz w:val="24"/>
          <w:szCs w:val="24"/>
          <w:lang w:val="hr-HR"/>
        </w:rPr>
        <w:t xml:space="preserve">Trgovački sud u Zagrebu, sudac Marija Bakula Vugrinec, </w:t>
      </w:r>
      <w:r w:rsidR="00CE16A3" w:rsidRPr="00495693">
        <w:rPr>
          <w:sz w:val="24"/>
          <w:szCs w:val="24"/>
          <w:lang w:eastAsia="en-US" w:val="hr-HR"/>
        </w:rPr>
        <w:t>u predstečajnom postupku nad dužnikom</w:t>
      </w:r>
      <w:r w:rsidRPr="00495693">
        <w:rPr>
          <w:sz w:val="24"/>
          <w:szCs w:val="24"/>
          <w:lang w:val="hr-HR"/>
        </w:rPr>
        <w:t xml:space="preserve"> </w:t>
      </w:r>
      <w:r w:rsidR="00ED4262" w:rsidRPr="00495693">
        <w:rPr>
          <w:bCs/>
          <w:sz w:val="24"/>
          <w:szCs w:val="24"/>
          <w:lang w:val="hr-HR"/>
        </w:rPr>
        <w:t>JANKOMIR NEKRETNINE d.o.o., OIB 68860828547, Zagreb, Vladimira Filakovca 13</w:t>
      </w:r>
      <w:r w:rsidRPr="00495693">
        <w:rPr>
          <w:sz w:val="24"/>
          <w:szCs w:val="24"/>
          <w:lang w:val="hr-HR"/>
        </w:rPr>
        <w:t>,</w:t>
      </w:r>
      <w:r w:rsidR="006F787A" w:rsidRPr="00495693">
        <w:rPr>
          <w:sz w:val="24"/>
          <w:szCs w:val="24"/>
          <w:lang w:val="hr-HR"/>
        </w:rPr>
        <w:t xml:space="preserve"> kojeg zastupa punomoćnik Arsen Stipinović, odvjetnik u Rijeci, </w:t>
      </w:r>
      <w:r w:rsidRPr="00495693">
        <w:rPr>
          <w:sz w:val="24"/>
          <w:szCs w:val="24"/>
          <w:lang w:val="hr-HR"/>
        </w:rPr>
        <w:t xml:space="preserve"> </w:t>
      </w:r>
      <w:r w:rsidR="00DC3FF8">
        <w:rPr>
          <w:sz w:val="24"/>
          <w:szCs w:val="24"/>
          <w:lang w:val="hr-HR"/>
        </w:rPr>
        <w:t>29</w:t>
      </w:r>
      <w:r w:rsidR="00ED4262" w:rsidRPr="00495693">
        <w:rPr>
          <w:sz w:val="24"/>
          <w:szCs w:val="24"/>
          <w:lang w:val="hr-HR"/>
        </w:rPr>
        <w:t>. travnja</w:t>
      </w:r>
      <w:r w:rsidRPr="00495693">
        <w:rPr>
          <w:sz w:val="24"/>
          <w:szCs w:val="24"/>
          <w:lang w:val="hr-HR"/>
        </w:rPr>
        <w:t xml:space="preserve"> 2019.</w:t>
      </w:r>
    </w:p>
    <w:p w:rsidRDefault="003E0E85" w:rsidP="003E0E85" w:rsidR="003E0E85" w:rsidRPr="00495693">
      <w:pPr>
        <w:jc w:val="center"/>
        <w:rPr>
          <w:sz w:val="24"/>
          <w:szCs w:val="24"/>
          <w:lang w:val="hr-HR"/>
        </w:rPr>
      </w:pPr>
    </w:p>
    <w:p w:rsidRDefault="003E0E85" w:rsidP="003E0E85" w:rsidR="003E0E85" w:rsidRPr="00495693">
      <w:pPr>
        <w:jc w:val="center"/>
        <w:rPr>
          <w:b/>
          <w:sz w:val="24"/>
          <w:szCs w:val="24"/>
          <w:lang w:val="hr-HR"/>
        </w:rPr>
      </w:pPr>
      <w:r w:rsidRPr="00495693">
        <w:rPr>
          <w:sz w:val="24"/>
          <w:szCs w:val="24"/>
          <w:lang w:val="hr-HR"/>
        </w:rPr>
        <w:t>r i j e š i o  j e</w:t>
      </w:r>
    </w:p>
    <w:p w:rsidRDefault="003E0E85" w:rsidP="003E0E85" w:rsidR="003E0E85" w:rsidRPr="00495693">
      <w:pPr>
        <w:jc w:val="center"/>
        <w:rPr>
          <w:b/>
          <w:sz w:val="24"/>
          <w:szCs w:val="24"/>
          <w:lang w:val="hr-HR"/>
        </w:rPr>
      </w:pPr>
    </w:p>
    <w:p w:rsidRDefault="00B93668" w:rsidP="003E0E85" w:rsidR="00B93668" w:rsidRPr="00495693">
      <w:pPr>
        <w:jc w:val="center"/>
        <w:rPr>
          <w:b/>
          <w:sz w:val="24"/>
          <w:szCs w:val="24"/>
          <w:lang w:val="hr-HR"/>
        </w:rPr>
      </w:pPr>
    </w:p>
    <w:p w:rsidRDefault="00F206DD" w:rsidP="003E0E85" w:rsidR="003E0E85" w:rsidRPr="00495693">
      <w:pPr>
        <w:jc w:val="both"/>
        <w:rPr>
          <w:sz w:val="24"/>
          <w:szCs w:val="24"/>
          <w:lang w:val="hr-HR"/>
        </w:rPr>
      </w:pPr>
      <w:r w:rsidRPr="00495693">
        <w:rPr>
          <w:sz w:val="24"/>
          <w:szCs w:val="24"/>
          <w:lang w:val="hr-HR"/>
        </w:rPr>
        <w:tab/>
      </w:r>
      <w:r w:rsidR="00A0585A" w:rsidRPr="00495693">
        <w:rPr>
          <w:sz w:val="24"/>
          <w:szCs w:val="24"/>
          <w:lang w:val="hr-HR"/>
        </w:rPr>
        <w:t xml:space="preserve">I. </w:t>
      </w:r>
      <w:r w:rsidRPr="00495693">
        <w:rPr>
          <w:sz w:val="24"/>
          <w:szCs w:val="24"/>
          <w:lang w:val="hr-HR"/>
        </w:rPr>
        <w:t xml:space="preserve">Odbija se kao neosnovan dužnikov prijedlog za prekid ovog predstečajnog postupka </w:t>
      </w:r>
      <w:r w:rsidR="003C5F40" w:rsidRPr="00495693">
        <w:rPr>
          <w:sz w:val="24"/>
          <w:szCs w:val="24"/>
          <w:lang w:val="hr-HR"/>
        </w:rPr>
        <w:t>do pravomoćnog okončanja parničnih postupaka koji se vode pred ovim sudom i to : poslovni broj P-818/19 (radi proglašenja ovrhe nedopuštenom) i poslovni broj P-2857/18 (radi utvrđenja ništetnosti Ugovora o prijenosu prenesenih plasmana od 13. lipnja 2016. zaključen između Erste&amp;Steiermarkische d.d. i B2 Kapital d.o.o.).</w:t>
      </w:r>
    </w:p>
    <w:p w:rsidRDefault="00B93668" w:rsidP="003E0E85" w:rsidR="00B93668" w:rsidRPr="00495693">
      <w:pPr>
        <w:jc w:val="both"/>
        <w:rPr>
          <w:sz w:val="24"/>
          <w:szCs w:val="24"/>
          <w:lang w:val="hr-HR"/>
        </w:rPr>
      </w:pPr>
    </w:p>
    <w:p w:rsidRDefault="00A0585A" w:rsidP="00737A21" w:rsidR="00A0585A" w:rsidRPr="00495693">
      <w:pPr>
        <w:ind w:firstLine="708"/>
        <w:jc w:val="both"/>
        <w:rPr>
          <w:sz w:val="24"/>
          <w:szCs w:val="24"/>
          <w:lang w:val="hr-HR"/>
        </w:rPr>
      </w:pPr>
      <w:r w:rsidRPr="00495693">
        <w:rPr>
          <w:sz w:val="24"/>
          <w:szCs w:val="24"/>
          <w:lang w:val="hr-HR"/>
        </w:rPr>
        <w:t xml:space="preserve">II. Odbija se dužnikov prijedlog za </w:t>
      </w:r>
      <w:r w:rsidR="00737A21" w:rsidRPr="00495693">
        <w:rPr>
          <w:sz w:val="24"/>
          <w:szCs w:val="24"/>
          <w:lang w:val="hr-HR"/>
        </w:rPr>
        <w:t xml:space="preserve">provođenje dokaza u ovom postupku i to nalaganjem B2 kapital d.o.o. dostavu Ugovora o kupoprodaji plasmana od 17. svibnja 2016., provođenje kombiniranog financijskog i knjigovodstvenog vještačenja te bankovno-poreznog vještačenja poslovnih knjiga Erste&amp;Steiermarkische bank d.d. i B2 Kapital d.o.o., kao i provođenje </w:t>
      </w:r>
      <w:r w:rsidR="00B5591B" w:rsidRPr="00495693">
        <w:rPr>
          <w:sz w:val="24"/>
          <w:szCs w:val="24"/>
          <w:lang w:val="hr-HR"/>
        </w:rPr>
        <w:t>svih</w:t>
      </w:r>
      <w:r w:rsidR="00737A21" w:rsidRPr="00495693">
        <w:rPr>
          <w:sz w:val="24"/>
          <w:szCs w:val="24"/>
          <w:lang w:val="hr-HR"/>
        </w:rPr>
        <w:t xml:space="preserve"> dokaz</w:t>
      </w:r>
      <w:r w:rsidR="00B5591B" w:rsidRPr="00495693">
        <w:rPr>
          <w:sz w:val="24"/>
          <w:szCs w:val="24"/>
          <w:lang w:val="hr-HR"/>
        </w:rPr>
        <w:t>a predloženih</w:t>
      </w:r>
      <w:r w:rsidR="00737A21" w:rsidRPr="00495693">
        <w:rPr>
          <w:sz w:val="24"/>
          <w:szCs w:val="24"/>
          <w:lang w:val="hr-HR"/>
        </w:rPr>
        <w:t xml:space="preserve"> u tužbi u parničnom predmetu poslovni broj P-818/19 i poslovni broj P-2857/18. </w:t>
      </w:r>
    </w:p>
    <w:p w:rsidRDefault="00795D16" w:rsidP="003E0E85" w:rsidR="00795D16" w:rsidRPr="00495693">
      <w:pPr>
        <w:ind w:firstLine="708" w:left="2832"/>
        <w:jc w:val="both"/>
        <w:rPr>
          <w:sz w:val="24"/>
          <w:szCs w:val="24"/>
          <w:lang w:val="hr-HR"/>
        </w:rPr>
      </w:pPr>
    </w:p>
    <w:p w:rsidRDefault="003E0E85" w:rsidP="003E0E85" w:rsidR="003E0E85" w:rsidRPr="00495693">
      <w:pPr>
        <w:ind w:firstLine="708" w:left="2832"/>
        <w:jc w:val="both"/>
        <w:rPr>
          <w:sz w:val="24"/>
          <w:szCs w:val="24"/>
          <w:lang w:val="hr-HR"/>
        </w:rPr>
      </w:pPr>
      <w:r w:rsidRPr="00495693">
        <w:rPr>
          <w:sz w:val="24"/>
          <w:szCs w:val="24"/>
          <w:lang w:val="hr-HR"/>
        </w:rPr>
        <w:t>Obrazloženje</w:t>
      </w:r>
    </w:p>
    <w:p w:rsidRDefault="003E0E85" w:rsidP="003E0E85" w:rsidR="003E0E85" w:rsidRPr="00495693">
      <w:pPr>
        <w:ind w:firstLine="708" w:left="2832"/>
        <w:jc w:val="both"/>
        <w:rPr>
          <w:sz w:val="24"/>
          <w:szCs w:val="24"/>
          <w:lang w:val="hr-HR"/>
        </w:rPr>
      </w:pPr>
    </w:p>
    <w:p w:rsidRDefault="00636018" w:rsidP="000C5AF0" w:rsidR="008B675D" w:rsidRPr="00495693">
      <w:pPr>
        <w:ind w:firstLine="720"/>
        <w:jc w:val="both"/>
        <w:rPr>
          <w:sz w:val="24"/>
          <w:szCs w:val="24"/>
          <w:lang w:val="hr-HR"/>
        </w:rPr>
      </w:pPr>
      <w:r w:rsidRPr="00495693">
        <w:rPr>
          <w:sz w:val="24"/>
          <w:szCs w:val="24"/>
          <w:lang w:val="hr-HR"/>
        </w:rPr>
        <w:t>Dužnik je</w:t>
      </w:r>
      <w:r w:rsidR="008B675D" w:rsidRPr="00495693">
        <w:rPr>
          <w:sz w:val="24"/>
          <w:szCs w:val="24"/>
          <w:lang w:val="hr-HR"/>
        </w:rPr>
        <w:t xml:space="preserve"> podnio sudu prijedlog za otvaranje predstečajnoga postupka sukladno odredbama čl. 16. i čl. 25. st. 1. Stečajnog zakona („Narodne novine“ broj 71/15 i 104/17; dalje: SZ). Rješenjem suda od </w:t>
      </w:r>
      <w:r w:rsidRPr="00495693">
        <w:rPr>
          <w:sz w:val="24"/>
          <w:szCs w:val="24"/>
          <w:lang w:val="hr-HR"/>
        </w:rPr>
        <w:t>28. rujna 2018.</w:t>
      </w:r>
      <w:r w:rsidR="000C5AF0" w:rsidRPr="00495693">
        <w:rPr>
          <w:sz w:val="24"/>
          <w:szCs w:val="24"/>
          <w:lang w:val="hr-HR"/>
        </w:rPr>
        <w:t>,</w:t>
      </w:r>
      <w:r w:rsidR="008B675D" w:rsidRPr="00495693">
        <w:rPr>
          <w:sz w:val="24"/>
          <w:szCs w:val="24"/>
          <w:lang w:val="hr-HR"/>
        </w:rPr>
        <w:t xml:space="preserve"> koje je istoga dana objavljeno na mrežnoj stranici e-oglasna ploča ovoga suda, otvoren je predstečajni postupak nad dužnikom u skladu s odredbama čl</w:t>
      </w:r>
      <w:r w:rsidR="000C5AF0" w:rsidRPr="00495693">
        <w:rPr>
          <w:sz w:val="24"/>
          <w:szCs w:val="24"/>
          <w:lang w:val="hr-HR"/>
        </w:rPr>
        <w:t>.</w:t>
      </w:r>
      <w:r w:rsidR="008B675D" w:rsidRPr="00495693">
        <w:rPr>
          <w:sz w:val="24"/>
          <w:szCs w:val="24"/>
          <w:lang w:val="hr-HR"/>
        </w:rPr>
        <w:t xml:space="preserve"> 34. SZ-a.</w:t>
      </w:r>
    </w:p>
    <w:p w:rsidRDefault="003C5F40" w:rsidP="000C5AF0" w:rsidR="003C5F40" w:rsidRPr="00495693">
      <w:pPr>
        <w:ind w:firstLine="720"/>
        <w:jc w:val="both"/>
        <w:rPr>
          <w:sz w:val="24"/>
          <w:szCs w:val="24"/>
          <w:lang w:val="hr-HR"/>
        </w:rPr>
      </w:pPr>
    </w:p>
    <w:p w:rsidRDefault="003C5F40" w:rsidP="004F7D74" w:rsidR="004F7D74" w:rsidRPr="00495693">
      <w:pPr>
        <w:ind w:firstLine="708"/>
        <w:jc w:val="both"/>
        <w:rPr>
          <w:sz w:val="24"/>
          <w:szCs w:val="24"/>
          <w:lang w:val="hr-HR"/>
        </w:rPr>
      </w:pPr>
      <w:r w:rsidRPr="00495693">
        <w:rPr>
          <w:sz w:val="24"/>
          <w:szCs w:val="24"/>
          <w:lang w:val="hr-HR"/>
        </w:rPr>
        <w:t xml:space="preserve">Podneskom od </w:t>
      </w:r>
      <w:r w:rsidR="004F7D74" w:rsidRPr="00495693">
        <w:rPr>
          <w:sz w:val="24"/>
          <w:szCs w:val="24"/>
          <w:lang w:val="hr-HR"/>
        </w:rPr>
        <w:t>25. travnja 2019. (list 687. do 689. spisa), dostavljenim sudu dan prije održavanja ročišta radi ispitivanja tražbina</w:t>
      </w:r>
      <w:r w:rsidR="00A0585A" w:rsidRPr="00495693">
        <w:rPr>
          <w:sz w:val="24"/>
          <w:szCs w:val="24"/>
          <w:lang w:val="hr-HR"/>
        </w:rPr>
        <w:t xml:space="preserve"> određenog za dan 26. travnja 2019.</w:t>
      </w:r>
      <w:r w:rsidR="004F7D74" w:rsidRPr="00495693">
        <w:rPr>
          <w:sz w:val="24"/>
          <w:szCs w:val="24"/>
          <w:lang w:val="hr-HR"/>
        </w:rPr>
        <w:t>, dužnik je predložio prekid ovog predstečajnog postupka do pravomoćnog okončanja parničnih postupaka koji se vode pred ovim sudom i to : poslovni broj P-818/19 (radi proglašenja ovrhe nedopuštenom) i poslovni broj P-2857/18 (radi utvrđenja ništetnosti Ugovora o prijenosu prenesenih plasmana od 13. lipnja 2016. zaključen između Erste&amp;Steiermarkische d.d. i B2 Kapital d.o.o.)</w:t>
      </w:r>
      <w:r w:rsidR="00FA63B1" w:rsidRPr="00495693">
        <w:rPr>
          <w:sz w:val="24"/>
          <w:szCs w:val="24"/>
          <w:lang w:val="hr-HR"/>
        </w:rPr>
        <w:t>, sukladno odredbi čl. 213.</w:t>
      </w:r>
      <w:r w:rsidR="006352A0" w:rsidRPr="00495693">
        <w:rPr>
          <w:sz w:val="24"/>
          <w:szCs w:val="24"/>
          <w:lang w:val="hr-HR"/>
        </w:rPr>
        <w:t xml:space="preserve"> st. 1. t. 1. Zakona o parničnom postupku („Narodne </w:t>
      </w:r>
      <w:r w:rsidR="006352A0" w:rsidRPr="00495693">
        <w:rPr>
          <w:sz w:val="24"/>
          <w:szCs w:val="24"/>
          <w:lang w:val="hr-HR"/>
        </w:rPr>
        <w:lastRenderedPageBreak/>
        <w:t>novine“ broj 53/91, 91/92, 112/99, 88/01, 117/03, 88/05, 2/07, 84/08, 123/08, 57/11, 25/13 i 89/14; dalje: ZPP) u vezi čl. 10. SZ-a</w:t>
      </w:r>
      <w:r w:rsidR="004F7D74" w:rsidRPr="00495693">
        <w:rPr>
          <w:sz w:val="24"/>
          <w:szCs w:val="24"/>
          <w:lang w:val="hr-HR"/>
        </w:rPr>
        <w:t xml:space="preserve">. </w:t>
      </w:r>
    </w:p>
    <w:p w:rsidRDefault="004F7D74" w:rsidP="004F7D74" w:rsidR="004F7D74" w:rsidRPr="00495693">
      <w:pPr>
        <w:jc w:val="both"/>
        <w:rPr>
          <w:sz w:val="24"/>
          <w:szCs w:val="24"/>
          <w:lang w:val="hr-HR"/>
        </w:rPr>
      </w:pPr>
    </w:p>
    <w:p w:rsidRDefault="004F7D74" w:rsidP="004F7D74" w:rsidR="004F7D74" w:rsidRPr="00495693">
      <w:pPr>
        <w:jc w:val="both"/>
        <w:rPr>
          <w:sz w:val="24"/>
          <w:szCs w:val="24"/>
          <w:lang w:val="hr-HR"/>
        </w:rPr>
      </w:pPr>
      <w:r w:rsidRPr="00495693">
        <w:rPr>
          <w:sz w:val="24"/>
          <w:szCs w:val="24"/>
          <w:lang w:val="hr-HR"/>
        </w:rPr>
        <w:tab/>
        <w:t xml:space="preserve">U prijedlogu u bitnom navodi da </w:t>
      </w:r>
      <w:r w:rsidR="00877279" w:rsidRPr="00495693">
        <w:rPr>
          <w:sz w:val="24"/>
          <w:szCs w:val="24"/>
          <w:lang w:val="hr-HR"/>
        </w:rPr>
        <w:t>ishod navedenih parničnih postupaka predstavlja prethodno i odlučno pitanje za ovaj predstečajni postupak te da prekid ne bio bio protivan javnom interesu niti bi prekidom vjerovnicima bila nanesena šteta.</w:t>
      </w:r>
      <w:r w:rsidR="00D17F4B" w:rsidRPr="00495693">
        <w:rPr>
          <w:sz w:val="24"/>
          <w:szCs w:val="24"/>
          <w:lang w:val="hr-HR"/>
        </w:rPr>
        <w:t xml:space="preserve"> Svoj prijedlog obrazlaže navodima da je razlučni vjerovnik B2 Kapital d.o.o. svojim postupanjem doveo u zabludu ovaj sud, Općinski građanski sud u</w:t>
      </w:r>
      <w:r w:rsidR="000B5D5B" w:rsidRPr="00495693">
        <w:rPr>
          <w:sz w:val="24"/>
          <w:szCs w:val="24"/>
          <w:lang w:val="hr-HR"/>
        </w:rPr>
        <w:t xml:space="preserve"> Zagrebu zemljišnoknjižni odjel, javnog bilježnika Vesnu Pučar i Financijsku agenciju</w:t>
      </w:r>
      <w:r w:rsidR="002679E3" w:rsidRPr="00495693">
        <w:rPr>
          <w:sz w:val="24"/>
          <w:szCs w:val="24"/>
          <w:lang w:val="hr-HR"/>
        </w:rPr>
        <w:t xml:space="preserve">. </w:t>
      </w:r>
    </w:p>
    <w:p w:rsidRDefault="002679E3" w:rsidP="004F7D74" w:rsidR="002679E3" w:rsidRPr="00495693">
      <w:pPr>
        <w:jc w:val="both"/>
        <w:rPr>
          <w:sz w:val="24"/>
          <w:szCs w:val="24"/>
          <w:lang w:val="hr-HR"/>
        </w:rPr>
      </w:pPr>
    </w:p>
    <w:p w:rsidRDefault="002679E3" w:rsidP="004F7D74" w:rsidR="002679E3" w:rsidRPr="00495693">
      <w:pPr>
        <w:jc w:val="both"/>
        <w:rPr>
          <w:sz w:val="24"/>
          <w:szCs w:val="24"/>
          <w:lang w:val="hr-HR"/>
        </w:rPr>
      </w:pPr>
      <w:r w:rsidRPr="00495693">
        <w:rPr>
          <w:sz w:val="24"/>
          <w:szCs w:val="24"/>
          <w:lang w:val="hr-HR"/>
        </w:rPr>
        <w:tab/>
        <w:t>Podredno, ako sud ne prihvati prijedlog za prekid postupka, predlaže ovome sudu po službenoj dužnosti utvrditi sve činjenice koje su važne za ovaj postupak i izvesti sve potrebne dokaze, prvenstveno:</w:t>
      </w:r>
    </w:p>
    <w:p w:rsidRDefault="002679E3" w:rsidP="002679E3" w:rsidR="002679E3" w:rsidRPr="00495693">
      <w:pPr>
        <w:ind w:firstLine="708"/>
        <w:jc w:val="both"/>
        <w:rPr>
          <w:sz w:val="24"/>
          <w:szCs w:val="24"/>
          <w:lang w:val="hr-HR"/>
        </w:rPr>
      </w:pPr>
      <w:r w:rsidRPr="00495693">
        <w:rPr>
          <w:sz w:val="24"/>
          <w:szCs w:val="24"/>
          <w:lang w:val="hr-HR"/>
        </w:rPr>
        <w:t xml:space="preserve">- naložiti B2 kapital d.o.o. dostavu Ugovora o kupoprodaji plasmana od 17. svibnja 2016., </w:t>
      </w:r>
    </w:p>
    <w:p w:rsidRDefault="002679E3" w:rsidP="002679E3" w:rsidR="002679E3" w:rsidRPr="00495693">
      <w:pPr>
        <w:ind w:firstLine="708"/>
        <w:jc w:val="both"/>
        <w:rPr>
          <w:sz w:val="24"/>
          <w:szCs w:val="24"/>
          <w:lang w:val="hr-HR"/>
        </w:rPr>
      </w:pPr>
      <w:r w:rsidRPr="00495693">
        <w:rPr>
          <w:sz w:val="24"/>
          <w:szCs w:val="24"/>
          <w:lang w:val="hr-HR"/>
        </w:rPr>
        <w:t>- naložiti provođenje kombiniranog financijskog i knjigovodstvenog vještačenja te bankovno-poreznog vještačenja poslovnih knjiga Erste&amp;Steiermarkische bank d.d. i B2 Kapital d.o.o.,</w:t>
      </w:r>
    </w:p>
    <w:p w:rsidRDefault="002679E3" w:rsidP="00B93668" w:rsidR="002679E3" w:rsidRPr="00495693">
      <w:pPr>
        <w:ind w:firstLine="708"/>
        <w:jc w:val="both"/>
        <w:rPr>
          <w:sz w:val="24"/>
          <w:szCs w:val="24"/>
          <w:lang w:val="hr-HR"/>
        </w:rPr>
      </w:pPr>
      <w:r w:rsidRPr="00495693">
        <w:rPr>
          <w:sz w:val="24"/>
          <w:szCs w:val="24"/>
          <w:lang w:val="hr-HR"/>
        </w:rPr>
        <w:t>- kao i sve dokaze predložene u tužb</w:t>
      </w:r>
      <w:r w:rsidR="00B93668" w:rsidRPr="00495693">
        <w:rPr>
          <w:sz w:val="24"/>
          <w:szCs w:val="24"/>
          <w:lang w:val="hr-HR"/>
        </w:rPr>
        <w:t>i u parničnom predmetu poslovni broj P-818/19 i poslovni broj P-2857/18.</w:t>
      </w:r>
    </w:p>
    <w:p w:rsidRDefault="006D4C0F" w:rsidP="00B93668" w:rsidR="006D4C0F" w:rsidRPr="00495693">
      <w:pPr>
        <w:ind w:firstLine="708"/>
        <w:jc w:val="both"/>
        <w:rPr>
          <w:sz w:val="24"/>
          <w:szCs w:val="24"/>
          <w:lang w:val="hr-HR"/>
        </w:rPr>
      </w:pPr>
    </w:p>
    <w:p w:rsidRDefault="006D4C0F" w:rsidP="00B93668" w:rsidR="006D4C0F" w:rsidRPr="00495693">
      <w:pPr>
        <w:ind w:firstLine="708"/>
        <w:jc w:val="both"/>
        <w:rPr>
          <w:sz w:val="24"/>
          <w:szCs w:val="24"/>
          <w:lang w:val="hr-HR"/>
        </w:rPr>
      </w:pPr>
      <w:r w:rsidRPr="00495693">
        <w:rPr>
          <w:sz w:val="24"/>
          <w:szCs w:val="24"/>
          <w:lang w:val="hr-HR"/>
        </w:rPr>
        <w:t>Dužnikov</w:t>
      </w:r>
      <w:r w:rsidR="00D9756F" w:rsidRPr="00495693">
        <w:rPr>
          <w:sz w:val="24"/>
          <w:szCs w:val="24"/>
          <w:lang w:val="hr-HR"/>
        </w:rPr>
        <w:t>i prijedlozi nisu</w:t>
      </w:r>
      <w:r w:rsidRPr="00495693">
        <w:rPr>
          <w:sz w:val="24"/>
          <w:szCs w:val="24"/>
          <w:lang w:val="hr-HR"/>
        </w:rPr>
        <w:t xml:space="preserve"> osnovan</w:t>
      </w:r>
      <w:r w:rsidR="00D9756F" w:rsidRPr="00495693">
        <w:rPr>
          <w:sz w:val="24"/>
          <w:szCs w:val="24"/>
          <w:lang w:val="hr-HR"/>
        </w:rPr>
        <w:t>i</w:t>
      </w:r>
      <w:r w:rsidRPr="00495693">
        <w:rPr>
          <w:sz w:val="24"/>
          <w:szCs w:val="24"/>
          <w:lang w:val="hr-HR"/>
        </w:rPr>
        <w:t>.</w:t>
      </w:r>
    </w:p>
    <w:p w:rsidRDefault="004F7D74" w:rsidP="004F7D74" w:rsidR="004F7D74" w:rsidRPr="00495693">
      <w:pPr>
        <w:jc w:val="both"/>
        <w:rPr>
          <w:sz w:val="24"/>
          <w:szCs w:val="24"/>
          <w:lang w:val="hr-HR"/>
        </w:rPr>
      </w:pPr>
    </w:p>
    <w:p w:rsidRDefault="006D4C0F" w:rsidP="006D4C0F" w:rsidR="00D4443C" w:rsidRPr="00495693">
      <w:pPr>
        <w:ind w:firstLine="708"/>
        <w:jc w:val="both"/>
        <w:rPr>
          <w:sz w:val="24"/>
          <w:szCs w:val="24"/>
          <w:lang w:val="hr-HR"/>
        </w:rPr>
      </w:pPr>
      <w:r w:rsidRPr="00495693">
        <w:rPr>
          <w:sz w:val="24"/>
          <w:szCs w:val="24"/>
          <w:lang w:val="hr-HR"/>
        </w:rPr>
        <w:t>Naime, s</w:t>
      </w:r>
      <w:r w:rsidR="00D4443C" w:rsidRPr="00495693">
        <w:rPr>
          <w:sz w:val="24"/>
          <w:szCs w:val="24"/>
          <w:lang w:val="hr-HR"/>
        </w:rPr>
        <w:t xml:space="preserve">ukladno odredbi čl. 213. st. 1. t. 1. ZPP-a sud će odrediti prekid postupka ako je odlučio da sam ne rješava o prethodnom pitanju (čl. 12.). Prethodno (prejudicijelno) pitanje postoji kad odluka suda ovisi o prethodnom rješenju pitanja postoji li neko pravo ili pravni odnos, a o tom pitanju još nije donio odluku sud ili drugo nadležno tijelo. Parnični sud može sam riješiti prethodno pitanje ako o njemu još nije donio odluku nadležan sud ili drugo nadležno tijelo, u kojem slučaju stajalište suda o tom prethodnom pitanju ima pravni učinak samo u parnici u kojoj je to pitanje riješeno. Parnični sud nije dužan sam rješavati o prethodnom pitanju, pa ako ocijeni da je to svrsishodno, ovlašten je odrediti prekid postupka dok se pravomoćno ne završi postupak pred tijelom pred kojim se o prethodnom pitanju rješava kao o glavnom, ili dok ne ustanovi da više ne postoje razlozi da se čeka na završetak postupka pred tim tijelom. </w:t>
      </w:r>
    </w:p>
    <w:p w:rsidRDefault="006D4C0F" w:rsidP="006D4C0F" w:rsidR="006D4C0F" w:rsidRPr="00495693">
      <w:pPr>
        <w:ind w:firstLine="708"/>
        <w:jc w:val="both"/>
        <w:rPr>
          <w:sz w:val="24"/>
          <w:szCs w:val="24"/>
          <w:lang w:val="hr-HR"/>
        </w:rPr>
      </w:pPr>
    </w:p>
    <w:p w:rsidRDefault="006D4C0F" w:rsidP="006D4C0F" w:rsidR="006D4C0F" w:rsidRPr="00495693">
      <w:pPr>
        <w:ind w:firstLine="708"/>
        <w:jc w:val="both"/>
        <w:rPr>
          <w:sz w:val="24"/>
          <w:szCs w:val="24"/>
          <w:lang w:val="hr-HR"/>
        </w:rPr>
      </w:pPr>
      <w:r w:rsidRPr="00495693">
        <w:rPr>
          <w:sz w:val="24"/>
          <w:szCs w:val="24"/>
          <w:lang w:val="hr-HR"/>
        </w:rPr>
        <w:t>U predstečajnom i stečajnom postupku na odgovarajući način se primjenjuju pravila parničnoga postupka u postupku pred trgovačkim sudovima (čl.</w:t>
      </w:r>
      <w:r w:rsidR="002C468D" w:rsidRPr="00495693">
        <w:rPr>
          <w:sz w:val="24"/>
          <w:szCs w:val="24"/>
          <w:lang w:val="hr-HR"/>
        </w:rPr>
        <w:t xml:space="preserve"> </w:t>
      </w:r>
      <w:r w:rsidRPr="00495693">
        <w:rPr>
          <w:sz w:val="24"/>
          <w:szCs w:val="24"/>
          <w:lang w:val="hr-HR"/>
        </w:rPr>
        <w:t>10. SZ-a).</w:t>
      </w:r>
    </w:p>
    <w:p w:rsidRDefault="006D4C0F" w:rsidP="006D4C0F" w:rsidR="006D4C0F" w:rsidRPr="00495693">
      <w:pPr>
        <w:ind w:firstLine="708"/>
        <w:jc w:val="both"/>
        <w:rPr>
          <w:sz w:val="24"/>
          <w:szCs w:val="24"/>
          <w:lang w:val="hr-HR"/>
        </w:rPr>
      </w:pPr>
    </w:p>
    <w:p w:rsidRDefault="00FF64A8" w:rsidP="006D4C0F" w:rsidR="00B5591B" w:rsidRPr="00495693">
      <w:pPr>
        <w:ind w:firstLine="708"/>
        <w:jc w:val="both"/>
        <w:rPr>
          <w:sz w:val="24"/>
          <w:szCs w:val="24"/>
          <w:lang w:val="hr-HR"/>
        </w:rPr>
      </w:pPr>
      <w:r w:rsidRPr="00495693">
        <w:rPr>
          <w:sz w:val="24"/>
          <w:szCs w:val="24"/>
          <w:lang w:val="hr-HR"/>
        </w:rPr>
        <w:t xml:space="preserve">Predstečajni postupak je izvanparnični </w:t>
      </w:r>
      <w:r w:rsidR="00B5591B" w:rsidRPr="00495693">
        <w:rPr>
          <w:sz w:val="24"/>
          <w:szCs w:val="24"/>
          <w:lang w:val="hr-HR"/>
        </w:rPr>
        <w:t>postupak</w:t>
      </w:r>
      <w:r w:rsidRPr="00495693">
        <w:rPr>
          <w:sz w:val="24"/>
          <w:szCs w:val="24"/>
          <w:lang w:val="hr-HR"/>
        </w:rPr>
        <w:t xml:space="preserve">, čiji cilj je uređivanje pravnog položaja dužnika i njegovog odnosa </w:t>
      </w:r>
      <w:r w:rsidR="009A7233" w:rsidRPr="00495693">
        <w:rPr>
          <w:sz w:val="24"/>
          <w:szCs w:val="24"/>
          <w:lang w:val="hr-HR"/>
        </w:rPr>
        <w:t xml:space="preserve">prema vjerovnicima i održavanja njegove djelatnosti (čl. 2. st. 1. SZ-a). U predstečajnom postupku sud </w:t>
      </w:r>
      <w:r w:rsidR="00DE6F91" w:rsidRPr="00495693">
        <w:rPr>
          <w:sz w:val="24"/>
          <w:szCs w:val="24"/>
          <w:lang w:val="hr-HR"/>
        </w:rPr>
        <w:t>po službenoj dužnosti utvrđuje sve činjenice koje su važne za predstečajni postupak te radi toga može izvoditi sve potrebne dokaze (čl. 11. st. 3. SZ-a).</w:t>
      </w:r>
      <w:r w:rsidR="00A455F6" w:rsidRPr="00495693">
        <w:rPr>
          <w:sz w:val="24"/>
          <w:szCs w:val="24"/>
          <w:lang w:val="hr-HR"/>
        </w:rPr>
        <w:t xml:space="preserve"> Predstečajni postupak je hitan (čl. 11. st. 2. SZ-a) te se mora </w:t>
      </w:r>
      <w:r w:rsidR="001640EE" w:rsidRPr="00495693">
        <w:rPr>
          <w:sz w:val="24"/>
          <w:szCs w:val="24"/>
          <w:lang w:val="hr-HR"/>
        </w:rPr>
        <w:t>završiti najkasnije u roku od 300 dana od dana otvaranja predstečajnoga postupka uz mogućnost produženja roka za daljnjih 60 dana (čl. 63. st. 1. i 2. SZ-a).</w:t>
      </w:r>
    </w:p>
    <w:p w:rsidRDefault="009A7233" w:rsidP="006D4C0F" w:rsidR="009A7233" w:rsidRPr="00495693">
      <w:pPr>
        <w:ind w:firstLine="708"/>
        <w:jc w:val="both"/>
        <w:rPr>
          <w:sz w:val="24"/>
          <w:szCs w:val="24"/>
          <w:lang w:val="hr-HR"/>
        </w:rPr>
      </w:pPr>
    </w:p>
    <w:p w:rsidRDefault="00457665" w:rsidP="00A97276" w:rsidR="006F5759" w:rsidRPr="00495693">
      <w:pPr>
        <w:ind w:firstLine="708"/>
        <w:jc w:val="both"/>
        <w:rPr>
          <w:sz w:val="24"/>
          <w:szCs w:val="24"/>
          <w:lang w:val="hr-HR"/>
        </w:rPr>
      </w:pPr>
      <w:r w:rsidRPr="00495693">
        <w:rPr>
          <w:sz w:val="24"/>
          <w:szCs w:val="24"/>
          <w:lang w:val="hr-HR"/>
        </w:rPr>
        <w:t xml:space="preserve">Po ocjeni ovog suda, ishod parnica na koje se poziva dužnik </w:t>
      </w:r>
      <w:r w:rsidR="00A97276" w:rsidRPr="00495693">
        <w:rPr>
          <w:sz w:val="24"/>
          <w:szCs w:val="24"/>
          <w:lang w:val="hr-HR"/>
        </w:rPr>
        <w:t xml:space="preserve">(poslovni broj P-818/19 radi proglašenja ovrhe nedopuštenom i poslovni broj P-2857/18 radi utvrđenja ništetnosti Ugovora o prijenosu prenesenih plasmana od 13. lipnja 2016. zaključen između </w:t>
      </w:r>
      <w:r w:rsidR="00A97276" w:rsidRPr="00495693">
        <w:rPr>
          <w:sz w:val="24"/>
          <w:szCs w:val="24"/>
          <w:lang w:val="hr-HR"/>
        </w:rPr>
        <w:lastRenderedPageBreak/>
        <w:t>Erste&amp;Steiermarkische d.d. i B2 Kapital d.o.o.)</w:t>
      </w:r>
      <w:r w:rsidR="005C2BF1" w:rsidRPr="00495693">
        <w:rPr>
          <w:sz w:val="24"/>
          <w:szCs w:val="24"/>
          <w:lang w:val="hr-HR"/>
        </w:rPr>
        <w:t xml:space="preserve"> ne predstavlja</w:t>
      </w:r>
      <w:r w:rsidR="00A97276" w:rsidRPr="00495693">
        <w:rPr>
          <w:sz w:val="24"/>
          <w:szCs w:val="24"/>
          <w:lang w:val="hr-HR"/>
        </w:rPr>
        <w:t xml:space="preserve"> prethodno i odlučno pitanje za ovaj predstečajni postupak. Naime, radi se o parnicama u kojima dužnik zapravo osporava razlučno pravo </w:t>
      </w:r>
      <w:r w:rsidR="0065365F" w:rsidRPr="00495693">
        <w:rPr>
          <w:sz w:val="24"/>
          <w:szCs w:val="24"/>
          <w:lang w:val="hr-HR"/>
        </w:rPr>
        <w:t xml:space="preserve">razlučnog vjerovnika B2 Kapital d.o.o. </w:t>
      </w:r>
    </w:p>
    <w:p w:rsidRDefault="006F5759" w:rsidP="00A97276" w:rsidR="006F5759" w:rsidRPr="00495693">
      <w:pPr>
        <w:ind w:firstLine="708"/>
        <w:jc w:val="both"/>
        <w:rPr>
          <w:sz w:val="24"/>
          <w:szCs w:val="24"/>
          <w:lang w:val="hr-HR"/>
        </w:rPr>
      </w:pPr>
    </w:p>
    <w:p w:rsidRDefault="006F5759" w:rsidP="00A97276" w:rsidR="00B5591B" w:rsidRPr="00495693">
      <w:pPr>
        <w:ind w:firstLine="708"/>
        <w:jc w:val="both"/>
        <w:rPr>
          <w:sz w:val="24"/>
          <w:szCs w:val="24"/>
          <w:lang w:val="hr-HR"/>
        </w:rPr>
      </w:pPr>
      <w:r w:rsidRPr="00495693">
        <w:rPr>
          <w:sz w:val="24"/>
          <w:szCs w:val="24"/>
          <w:lang w:val="hr-HR"/>
        </w:rPr>
        <w:t>U</w:t>
      </w:r>
      <w:r w:rsidR="002F5DB7" w:rsidRPr="00495693">
        <w:rPr>
          <w:lang w:val="hr-HR"/>
        </w:rPr>
        <w:t xml:space="preserve"> </w:t>
      </w:r>
      <w:r w:rsidR="002F5DB7" w:rsidRPr="00495693">
        <w:rPr>
          <w:sz w:val="24"/>
          <w:szCs w:val="24"/>
          <w:lang w:val="hr-HR"/>
        </w:rPr>
        <w:t>predstečajnom postupku razlučna prava nisu predmet ispitivanj</w:t>
      </w:r>
      <w:r w:rsidRPr="00495693">
        <w:rPr>
          <w:sz w:val="24"/>
          <w:szCs w:val="24"/>
          <w:lang w:val="hr-HR"/>
        </w:rPr>
        <w:t>a (čl. 46. st.</w:t>
      </w:r>
      <w:r w:rsidR="002F5DB7" w:rsidRPr="00495693">
        <w:rPr>
          <w:sz w:val="24"/>
          <w:szCs w:val="24"/>
          <w:lang w:val="hr-HR"/>
        </w:rPr>
        <w:t xml:space="preserve"> 6. SZ-a) te predstečajni postupak ne utječe na pravo odvojenog namirenja razlučnih </w:t>
      </w:r>
      <w:r w:rsidRPr="00495693">
        <w:rPr>
          <w:sz w:val="24"/>
          <w:szCs w:val="24"/>
          <w:lang w:val="hr-HR"/>
        </w:rPr>
        <w:t>vjerovnika (čl.</w:t>
      </w:r>
      <w:r w:rsidR="002F5DB7" w:rsidRPr="00495693">
        <w:rPr>
          <w:sz w:val="24"/>
          <w:szCs w:val="24"/>
          <w:lang w:val="hr-HR"/>
        </w:rPr>
        <w:t xml:space="preserve"> 66. alineja 1. SZ-a)</w:t>
      </w:r>
      <w:r w:rsidRPr="00495693">
        <w:rPr>
          <w:sz w:val="24"/>
          <w:szCs w:val="24"/>
          <w:lang w:val="hr-HR"/>
        </w:rPr>
        <w:t>.</w:t>
      </w:r>
      <w:r w:rsidR="004E5134" w:rsidRPr="00495693">
        <w:rPr>
          <w:sz w:val="24"/>
          <w:szCs w:val="24"/>
          <w:lang w:val="hr-HR"/>
        </w:rPr>
        <w:t xml:space="preserve"> Predstečajni sporazum ne smije zadirati u pravo razlučnih vjerovnika na namirenje iz predmeta na kojima postoje prava odvojenoga namirenja, ako tim sporazumom nije izrijekom drukčije određeno. Ako je predstečajnim sporazumom drukčije određeno, za razlučne vjerovnike posebno će se navesti u kojem se dijelu njihova prava smanjuju, na koje vrijeme se odgađa namirenje i koje druge odredbe predstečajnoga sporazuma prema njima djeluju (čl. 38. st. 4. SZ-a).</w:t>
      </w:r>
    </w:p>
    <w:p w:rsidRDefault="002F5DB7" w:rsidP="00A97276" w:rsidR="002F5DB7" w:rsidRPr="00495693">
      <w:pPr>
        <w:ind w:firstLine="708"/>
        <w:jc w:val="both"/>
        <w:rPr>
          <w:sz w:val="24"/>
          <w:szCs w:val="24"/>
          <w:lang w:val="hr-HR"/>
        </w:rPr>
      </w:pPr>
    </w:p>
    <w:p w:rsidRDefault="001D53EC" w:rsidP="002F5DB7" w:rsidR="002F5DB7" w:rsidRPr="00495693">
      <w:pPr>
        <w:ind w:firstLine="708"/>
        <w:jc w:val="both"/>
        <w:rPr>
          <w:sz w:val="24"/>
          <w:szCs w:val="24"/>
          <w:lang w:val="hr-HR"/>
        </w:rPr>
      </w:pPr>
      <w:r>
        <w:rPr>
          <w:sz w:val="24"/>
          <w:szCs w:val="24"/>
          <w:lang w:val="hr-HR"/>
        </w:rPr>
        <w:t>Dakle, o</w:t>
      </w:r>
      <w:r w:rsidR="004E5134" w:rsidRPr="00495693">
        <w:rPr>
          <w:sz w:val="24"/>
          <w:szCs w:val="24"/>
          <w:lang w:val="hr-HR"/>
        </w:rPr>
        <w:t xml:space="preserve">dredbom čl. 38. st. 4. SZ-a </w:t>
      </w:r>
      <w:r w:rsidR="002F5DB7" w:rsidRPr="00495693">
        <w:rPr>
          <w:sz w:val="24"/>
          <w:szCs w:val="24"/>
          <w:lang w:val="hr-HR"/>
        </w:rPr>
        <w:t>dopuštena je mogućnost da predstečajni sporazum zadire u prava razlučnih vjerovnika, ali samo u slučaju kada je razlučni vjerovnik u obavijesti o svom pravu dao izjavu da se odriče od prava na odvojeno namirenje ili je dao izjavu kojom pristaje na odgodu namirenja iz predmeta na koji se odnosi njegovo razlučno pravo</w:t>
      </w:r>
      <w:r w:rsidR="00495693" w:rsidRPr="00495693">
        <w:rPr>
          <w:sz w:val="24"/>
          <w:szCs w:val="24"/>
          <w:lang w:val="hr-HR"/>
        </w:rPr>
        <w:t xml:space="preserve"> (t</w:t>
      </w:r>
      <w:r w:rsidR="0073479E" w:rsidRPr="00495693">
        <w:rPr>
          <w:sz w:val="24"/>
          <w:szCs w:val="24"/>
          <w:lang w:val="hr-HR"/>
        </w:rPr>
        <w:t xml:space="preserve">ako i </w:t>
      </w:r>
      <w:r w:rsidR="00495693" w:rsidRPr="00495693">
        <w:rPr>
          <w:sz w:val="24"/>
          <w:szCs w:val="24"/>
          <w:lang w:val="hr-HR"/>
        </w:rPr>
        <w:t>Visoki trgovački sud Republike Hrvatske u odluci poslovni broj Pž-1506/19 od 6. ožujka 2019.)</w:t>
      </w:r>
      <w:r w:rsidR="002F5DB7" w:rsidRPr="00495693">
        <w:rPr>
          <w:sz w:val="24"/>
          <w:szCs w:val="24"/>
          <w:lang w:val="hr-HR"/>
        </w:rPr>
        <w:t>. U tom slučaju u predstečajnom sporazumu mora biti navedeno u kojem se dijelu smanjuju prava razlučnih vjerovnika, na koje vrijeme se odgađa namirenje i koje druge odredbe predstečajnoga sporazuma prema njima djeluju.</w:t>
      </w:r>
    </w:p>
    <w:p w:rsidRDefault="006D6F2A" w:rsidP="002F5DB7" w:rsidR="006D6F2A" w:rsidRPr="00495693">
      <w:pPr>
        <w:ind w:firstLine="708"/>
        <w:jc w:val="both"/>
        <w:rPr>
          <w:sz w:val="24"/>
          <w:szCs w:val="24"/>
          <w:lang w:val="hr-HR"/>
        </w:rPr>
      </w:pPr>
    </w:p>
    <w:p w:rsidRDefault="006D6F2A" w:rsidP="006D6F2A" w:rsidR="006D6F2A" w:rsidRPr="00495693">
      <w:pPr>
        <w:ind w:firstLine="705"/>
        <w:jc w:val="both"/>
        <w:rPr>
          <w:sz w:val="24"/>
          <w:szCs w:val="24"/>
          <w:lang w:val="hr-HR"/>
        </w:rPr>
      </w:pPr>
      <w:r w:rsidRPr="00495693">
        <w:rPr>
          <w:sz w:val="24"/>
          <w:szCs w:val="24"/>
          <w:lang w:val="hr-HR"/>
        </w:rPr>
        <w:t xml:space="preserve">Međutim, u konkretnom slučaju </w:t>
      </w:r>
      <w:r w:rsidR="00922175" w:rsidRPr="00495693">
        <w:rPr>
          <w:sz w:val="24"/>
          <w:szCs w:val="24"/>
          <w:lang w:val="hr-HR"/>
        </w:rPr>
        <w:t xml:space="preserve">iz </w:t>
      </w:r>
      <w:r w:rsidRPr="00495693">
        <w:rPr>
          <w:sz w:val="24"/>
          <w:szCs w:val="24"/>
          <w:lang w:val="hr-HR"/>
        </w:rPr>
        <w:t>obavijest</w:t>
      </w:r>
      <w:r w:rsidR="00922175" w:rsidRPr="00495693">
        <w:rPr>
          <w:sz w:val="24"/>
          <w:szCs w:val="24"/>
          <w:lang w:val="hr-HR"/>
        </w:rPr>
        <w:t>i</w:t>
      </w:r>
      <w:r w:rsidRPr="00495693">
        <w:rPr>
          <w:sz w:val="24"/>
          <w:szCs w:val="24"/>
          <w:lang w:val="hr-HR"/>
        </w:rPr>
        <w:t xml:space="preserve"> razlučnog vjerovnika B2 Kapital d.o.o. (list 581. do 583. spisa) </w:t>
      </w:r>
      <w:r w:rsidR="00922175" w:rsidRPr="00495693">
        <w:rPr>
          <w:sz w:val="24"/>
          <w:szCs w:val="24"/>
          <w:lang w:val="hr-HR"/>
        </w:rPr>
        <w:t>proizlazi</w:t>
      </w:r>
      <w:r w:rsidRPr="00495693">
        <w:rPr>
          <w:sz w:val="24"/>
          <w:szCs w:val="24"/>
          <w:lang w:val="hr-HR"/>
        </w:rPr>
        <w:t xml:space="preserve"> da se razlučni vjerovnik ne odriče prava na odvojeno namirenje i ne pristaje da se odgodi namirenje iz predmeta na koji se odnosi njegovo razlučno pravo.</w:t>
      </w:r>
    </w:p>
    <w:p w:rsidRDefault="006D6F2A" w:rsidP="006D6F2A" w:rsidR="006D6F2A" w:rsidRPr="00495693">
      <w:pPr>
        <w:ind w:firstLine="705"/>
        <w:jc w:val="both"/>
        <w:rPr>
          <w:sz w:val="24"/>
          <w:szCs w:val="24"/>
          <w:lang w:val="hr-HR"/>
        </w:rPr>
      </w:pPr>
    </w:p>
    <w:p w:rsidRDefault="00495693" w:rsidP="00C64FAA" w:rsidR="006D6F2A" w:rsidRPr="00495693">
      <w:pPr>
        <w:ind w:firstLine="708"/>
        <w:jc w:val="both"/>
        <w:rPr>
          <w:sz w:val="24"/>
          <w:szCs w:val="24"/>
          <w:lang w:val="hr-HR"/>
        </w:rPr>
      </w:pPr>
      <w:r>
        <w:rPr>
          <w:sz w:val="24"/>
          <w:szCs w:val="24"/>
          <w:lang w:val="hr-HR"/>
        </w:rPr>
        <w:t xml:space="preserve">Dužnik nije dao valjane razloge zašto bi ishod </w:t>
      </w:r>
      <w:r w:rsidR="005C2BF1" w:rsidRPr="00495693">
        <w:rPr>
          <w:sz w:val="24"/>
          <w:szCs w:val="24"/>
          <w:lang w:val="hr-HR"/>
        </w:rPr>
        <w:t>parnica na koje se poziva predstavlja</w:t>
      </w:r>
      <w:r w:rsidR="00C64FAA">
        <w:rPr>
          <w:sz w:val="24"/>
          <w:szCs w:val="24"/>
          <w:lang w:val="hr-HR"/>
        </w:rPr>
        <w:t>o</w:t>
      </w:r>
      <w:r w:rsidR="005C2BF1" w:rsidRPr="00495693">
        <w:rPr>
          <w:sz w:val="24"/>
          <w:szCs w:val="24"/>
          <w:lang w:val="hr-HR"/>
        </w:rPr>
        <w:t xml:space="preserve"> prethodno i odlučno pitanje za ovaj predstečajni postupak</w:t>
      </w:r>
      <w:r w:rsidR="00C64FAA">
        <w:rPr>
          <w:sz w:val="24"/>
          <w:szCs w:val="24"/>
          <w:lang w:val="hr-HR"/>
        </w:rPr>
        <w:t>, osobito imajući u vidu naprijed navedene zakonske odredbe</w:t>
      </w:r>
      <w:r w:rsidR="001A60B4">
        <w:rPr>
          <w:sz w:val="24"/>
          <w:szCs w:val="24"/>
          <w:lang w:val="hr-HR"/>
        </w:rPr>
        <w:t xml:space="preserve"> i pravni položaj razlučnog vjerovnika u predstečajnom postupku</w:t>
      </w:r>
      <w:r w:rsidR="00C64FAA">
        <w:rPr>
          <w:sz w:val="24"/>
          <w:szCs w:val="24"/>
          <w:lang w:val="hr-HR"/>
        </w:rPr>
        <w:t>,</w:t>
      </w:r>
      <w:r w:rsidR="005C2BF1" w:rsidRPr="00495693">
        <w:rPr>
          <w:sz w:val="24"/>
          <w:szCs w:val="24"/>
          <w:lang w:val="hr-HR"/>
        </w:rPr>
        <w:t xml:space="preserve"> </w:t>
      </w:r>
      <w:r w:rsidR="00C64FAA">
        <w:rPr>
          <w:sz w:val="24"/>
          <w:szCs w:val="24"/>
          <w:lang w:val="hr-HR"/>
        </w:rPr>
        <w:t>pa po ocjeni ovog suda</w:t>
      </w:r>
      <w:r w:rsidR="005C2BF1" w:rsidRPr="00495693">
        <w:rPr>
          <w:sz w:val="24"/>
          <w:szCs w:val="24"/>
          <w:lang w:val="hr-HR"/>
        </w:rPr>
        <w:t xml:space="preserve"> dužnikov prijedlog za prekid predstečajnog postupka nije osnovan.</w:t>
      </w:r>
    </w:p>
    <w:p w:rsidRDefault="00B5591B" w:rsidP="006D4C0F" w:rsidR="00B5591B" w:rsidRPr="00495693">
      <w:pPr>
        <w:ind w:firstLine="708"/>
        <w:jc w:val="both"/>
        <w:rPr>
          <w:sz w:val="24"/>
          <w:szCs w:val="24"/>
          <w:lang w:val="hr-HR"/>
        </w:rPr>
      </w:pPr>
    </w:p>
    <w:p w:rsidRDefault="005C2BF1" w:rsidP="006D4C0F" w:rsidR="00B5591B" w:rsidRPr="00495693">
      <w:pPr>
        <w:ind w:firstLine="708"/>
        <w:jc w:val="both"/>
        <w:rPr>
          <w:sz w:val="24"/>
          <w:szCs w:val="24"/>
          <w:lang w:val="hr-HR"/>
        </w:rPr>
      </w:pPr>
      <w:r w:rsidRPr="00495693">
        <w:rPr>
          <w:sz w:val="24"/>
          <w:szCs w:val="24"/>
          <w:lang w:val="hr-HR"/>
        </w:rPr>
        <w:t xml:space="preserve">Neosnovano dužnik predlaže i provođenje </w:t>
      </w:r>
      <w:r w:rsidR="00B5591B" w:rsidRPr="00495693">
        <w:rPr>
          <w:sz w:val="24"/>
          <w:szCs w:val="24"/>
          <w:lang w:val="hr-HR"/>
        </w:rPr>
        <w:t>dokaza</w:t>
      </w:r>
      <w:r w:rsidRPr="00495693">
        <w:rPr>
          <w:sz w:val="24"/>
          <w:szCs w:val="24"/>
          <w:lang w:val="hr-HR"/>
        </w:rPr>
        <w:t xml:space="preserve"> navedenih u točki II. izreke ovog rješenja, budući da se radi o dokazima usmjerenim (opet) na osporavanje razlučnog prava, o čemu sud ne odlučuje u predstečajnom (izvanparničnom) postupku</w:t>
      </w:r>
      <w:r w:rsidR="00AA48C6" w:rsidRPr="00495693">
        <w:rPr>
          <w:sz w:val="24"/>
          <w:szCs w:val="24"/>
          <w:lang w:val="hr-HR"/>
        </w:rPr>
        <w:t>. Sud u predstečajnom postupku utvrđuje činjenice koje su važne za predstečajni postupak, a (ne) osnovanost osporavanja razlučnog prava nije činjenica koja je važna za predstečajni postupak</w:t>
      </w:r>
      <w:r w:rsidR="00A42492">
        <w:rPr>
          <w:sz w:val="24"/>
          <w:szCs w:val="24"/>
          <w:lang w:val="hr-HR"/>
        </w:rPr>
        <w:t xml:space="preserve"> budući da </w:t>
      </w:r>
      <w:r w:rsidR="00A42492" w:rsidRPr="00495693">
        <w:rPr>
          <w:sz w:val="24"/>
          <w:szCs w:val="24"/>
          <w:lang w:val="hr-HR"/>
        </w:rPr>
        <w:t>predstečajni postupak ne utječe na pravo odvojenog namirenja razlučnih vjerovnika</w:t>
      </w:r>
      <w:r w:rsidR="00AA48C6" w:rsidRPr="00495693">
        <w:rPr>
          <w:sz w:val="24"/>
          <w:szCs w:val="24"/>
          <w:lang w:val="hr-HR"/>
        </w:rPr>
        <w:t>, a osim toga predstavlja spornu činjenicu koju sud nije ovlašten utvrđivati u izvanparničnom postupku</w:t>
      </w:r>
      <w:r w:rsidR="00763FD0">
        <w:rPr>
          <w:sz w:val="24"/>
          <w:szCs w:val="24"/>
          <w:lang w:val="hr-HR"/>
        </w:rPr>
        <w:t xml:space="preserve">, kao što npr. nije ovlašten </w:t>
      </w:r>
      <w:r w:rsidR="00DC3FF8">
        <w:rPr>
          <w:sz w:val="24"/>
          <w:szCs w:val="24"/>
          <w:lang w:val="hr-HR"/>
        </w:rPr>
        <w:t xml:space="preserve">ni </w:t>
      </w:r>
      <w:r w:rsidR="00763FD0">
        <w:rPr>
          <w:sz w:val="24"/>
          <w:szCs w:val="24"/>
          <w:lang w:val="hr-HR"/>
        </w:rPr>
        <w:t>odlučivati o (ne) osnovanosti os</w:t>
      </w:r>
      <w:r w:rsidR="00DC3FF8">
        <w:rPr>
          <w:sz w:val="24"/>
          <w:szCs w:val="24"/>
          <w:lang w:val="hr-HR"/>
        </w:rPr>
        <w:t>poravanja prijavljenih tražbina, već je dužan uputiti na parnicu</w:t>
      </w:r>
      <w:r w:rsidR="00AA48C6" w:rsidRPr="00495693">
        <w:rPr>
          <w:sz w:val="24"/>
          <w:szCs w:val="24"/>
          <w:lang w:val="hr-HR"/>
        </w:rPr>
        <w:t>.</w:t>
      </w:r>
      <w:r w:rsidR="00763FD0">
        <w:rPr>
          <w:sz w:val="24"/>
          <w:szCs w:val="24"/>
          <w:lang w:val="hr-HR"/>
        </w:rPr>
        <w:t xml:space="preserve"> Stoga će o dokaznim prijedlozima dužnika odlučiti parnični sud u parnicama koje d</w:t>
      </w:r>
      <w:r w:rsidR="00DC3FF8">
        <w:rPr>
          <w:sz w:val="24"/>
          <w:szCs w:val="24"/>
          <w:lang w:val="hr-HR"/>
        </w:rPr>
        <w:t>užnik vodi protiv razlučnog vje</w:t>
      </w:r>
      <w:r w:rsidR="00763FD0">
        <w:rPr>
          <w:sz w:val="24"/>
          <w:szCs w:val="24"/>
          <w:lang w:val="hr-HR"/>
        </w:rPr>
        <w:t>r</w:t>
      </w:r>
      <w:r w:rsidR="00DC3FF8">
        <w:rPr>
          <w:sz w:val="24"/>
          <w:szCs w:val="24"/>
          <w:lang w:val="hr-HR"/>
        </w:rPr>
        <w:t>o</w:t>
      </w:r>
      <w:r w:rsidR="00763FD0">
        <w:rPr>
          <w:sz w:val="24"/>
          <w:szCs w:val="24"/>
          <w:lang w:val="hr-HR"/>
        </w:rPr>
        <w:t>vnika.</w:t>
      </w:r>
    </w:p>
    <w:p w:rsidRDefault="00AA48C6" w:rsidP="006D4C0F" w:rsidR="00AA48C6" w:rsidRPr="00495693">
      <w:pPr>
        <w:ind w:firstLine="708"/>
        <w:jc w:val="both"/>
        <w:rPr>
          <w:sz w:val="24"/>
          <w:szCs w:val="24"/>
          <w:lang w:val="hr-HR"/>
        </w:rPr>
      </w:pPr>
    </w:p>
    <w:p w:rsidRDefault="00AA48C6" w:rsidP="006D4C0F" w:rsidR="00AA48C6" w:rsidRPr="00495693">
      <w:pPr>
        <w:ind w:firstLine="708"/>
        <w:jc w:val="both"/>
        <w:rPr>
          <w:sz w:val="24"/>
          <w:szCs w:val="24"/>
          <w:lang w:val="hr-HR"/>
        </w:rPr>
      </w:pPr>
      <w:r w:rsidRPr="00495693">
        <w:rPr>
          <w:sz w:val="24"/>
          <w:szCs w:val="24"/>
          <w:lang w:val="hr-HR"/>
        </w:rPr>
        <w:t>Za ovaj predstečajni postupak je odlučno da je razlučno pravo upisano u zemljišnjim knjigama</w:t>
      </w:r>
      <w:r w:rsidR="0073479E" w:rsidRPr="00495693">
        <w:rPr>
          <w:sz w:val="24"/>
          <w:szCs w:val="24"/>
          <w:lang w:val="hr-HR"/>
        </w:rPr>
        <w:t xml:space="preserve"> te da se razlučni vjerovnik nije odrekao prava na odvojeno namirenje i nije pristao da se odgodi namirenje iz predmeta na koji se odnosi njegovo razlučno pravo.</w:t>
      </w:r>
      <w:r w:rsidR="00332298">
        <w:rPr>
          <w:sz w:val="24"/>
          <w:szCs w:val="24"/>
          <w:lang w:val="hr-HR"/>
        </w:rPr>
        <w:t xml:space="preserve"> </w:t>
      </w:r>
    </w:p>
    <w:p w:rsidRDefault="006D4C0F" w:rsidP="00332298" w:rsidR="006D4C0F" w:rsidRPr="00495693">
      <w:pPr>
        <w:jc w:val="both"/>
        <w:rPr>
          <w:sz w:val="24"/>
          <w:szCs w:val="24"/>
          <w:lang w:val="hr-HR"/>
        </w:rPr>
      </w:pPr>
    </w:p>
    <w:p w:rsidRDefault="006D4C0F" w:rsidP="006D4C0F" w:rsidR="00F206DD" w:rsidRPr="00495693">
      <w:pPr>
        <w:ind w:firstLine="708"/>
        <w:jc w:val="both"/>
        <w:rPr>
          <w:sz w:val="24"/>
          <w:szCs w:val="24"/>
          <w:lang w:val="hr-HR"/>
        </w:rPr>
      </w:pPr>
      <w:r w:rsidRPr="00495693">
        <w:rPr>
          <w:sz w:val="24"/>
          <w:szCs w:val="24"/>
          <w:lang w:val="hr-HR"/>
        </w:rPr>
        <w:lastRenderedPageBreak/>
        <w:t>Stoga je sukladno odredbi čl. 213. st. 1. t.</w:t>
      </w:r>
      <w:r w:rsidR="002C468D" w:rsidRPr="00495693">
        <w:rPr>
          <w:sz w:val="24"/>
          <w:szCs w:val="24"/>
          <w:lang w:val="hr-HR"/>
        </w:rPr>
        <w:t xml:space="preserve"> </w:t>
      </w:r>
      <w:r w:rsidR="00457665" w:rsidRPr="00495693">
        <w:rPr>
          <w:sz w:val="24"/>
          <w:szCs w:val="24"/>
          <w:lang w:val="hr-HR"/>
        </w:rPr>
        <w:t xml:space="preserve">1. ZPP-a u vezi s </w:t>
      </w:r>
      <w:r w:rsidRPr="00495693">
        <w:rPr>
          <w:sz w:val="24"/>
          <w:szCs w:val="24"/>
          <w:lang w:val="hr-HR"/>
        </w:rPr>
        <w:t xml:space="preserve">10. SZ-a </w:t>
      </w:r>
      <w:r w:rsidR="00457665" w:rsidRPr="00495693">
        <w:rPr>
          <w:sz w:val="24"/>
          <w:szCs w:val="24"/>
          <w:lang w:val="hr-HR"/>
        </w:rPr>
        <w:t xml:space="preserve">te sukladno odredbi čl. 11. st. 3. SZ-a </w:t>
      </w:r>
      <w:r w:rsidRPr="00495693">
        <w:rPr>
          <w:sz w:val="24"/>
          <w:szCs w:val="24"/>
          <w:lang w:val="hr-HR"/>
        </w:rPr>
        <w:t>ovaj sud riješio kao u izreci.</w:t>
      </w:r>
    </w:p>
    <w:p w:rsidRDefault="006D4C0F" w:rsidP="006D4C0F" w:rsidR="006D4C0F" w:rsidRPr="00495693">
      <w:pPr>
        <w:ind w:firstLine="708"/>
        <w:jc w:val="both"/>
        <w:rPr>
          <w:sz w:val="24"/>
          <w:szCs w:val="24"/>
          <w:lang w:val="hr-HR"/>
        </w:rPr>
      </w:pPr>
    </w:p>
    <w:p w:rsidRDefault="003E0E85" w:rsidP="003E0E85" w:rsidR="003E0E85" w:rsidRPr="00495693">
      <w:pPr>
        <w:pStyle w:val="Tijeloteksta"/>
        <w:jc w:val="center"/>
        <w:rPr>
          <w:sz w:val="24"/>
          <w:szCs w:val="24"/>
          <w:lang w:val="hr-HR"/>
        </w:rPr>
      </w:pPr>
      <w:r w:rsidRPr="00495693">
        <w:rPr>
          <w:sz w:val="24"/>
          <w:szCs w:val="24"/>
          <w:lang w:val="hr-HR"/>
        </w:rPr>
        <w:t xml:space="preserve">Zagreb, </w:t>
      </w:r>
      <w:r w:rsidR="00DC3FF8">
        <w:rPr>
          <w:sz w:val="24"/>
          <w:szCs w:val="24"/>
          <w:lang w:val="hr-HR"/>
        </w:rPr>
        <w:t>29</w:t>
      </w:r>
      <w:r w:rsidR="00ED4262" w:rsidRPr="00495693">
        <w:rPr>
          <w:sz w:val="24"/>
          <w:szCs w:val="24"/>
          <w:lang w:val="hr-HR"/>
        </w:rPr>
        <w:t>. travnja</w:t>
      </w:r>
      <w:r w:rsidRPr="00495693">
        <w:rPr>
          <w:sz w:val="24"/>
          <w:szCs w:val="24"/>
          <w:lang w:val="hr-HR"/>
        </w:rPr>
        <w:t xml:space="preserve"> 2019.</w:t>
      </w:r>
    </w:p>
    <w:p w:rsidRDefault="003E0E85" w:rsidP="003E0E85" w:rsidR="003E0E85" w:rsidRPr="00495693">
      <w:pPr>
        <w:jc w:val="center"/>
        <w:rPr>
          <w:sz w:val="24"/>
          <w:szCs w:val="24"/>
          <w:lang w:val="hr-HR"/>
        </w:rPr>
      </w:pPr>
    </w:p>
    <w:p w:rsidRDefault="003E0E85" w:rsidP="003E0E85" w:rsidR="003E0E85" w:rsidRPr="00495693">
      <w:pPr>
        <w:jc w:val="both"/>
        <w:rPr>
          <w:sz w:val="24"/>
          <w:szCs w:val="24"/>
          <w:lang w:val="hr-HR"/>
        </w:rPr>
      </w:pP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t>Sudac</w:t>
      </w:r>
    </w:p>
    <w:p w:rsidRDefault="003E0E85" w:rsidP="003E0E85" w:rsidR="003E0E85" w:rsidRPr="00495693">
      <w:pPr>
        <w:jc w:val="both"/>
        <w:rPr>
          <w:sz w:val="24"/>
          <w:szCs w:val="24"/>
          <w:lang w:val="hr-HR"/>
        </w:rPr>
      </w:pPr>
      <w:r w:rsidRPr="00495693">
        <w:rPr>
          <w:sz w:val="24"/>
          <w:szCs w:val="24"/>
          <w:lang w:val="hr-HR"/>
        </w:rPr>
        <w:t xml:space="preserve"> </w:t>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r>
      <w:r w:rsidRPr="00495693">
        <w:rPr>
          <w:sz w:val="24"/>
          <w:szCs w:val="24"/>
          <w:lang w:val="hr-HR"/>
        </w:rPr>
        <w:tab/>
        <w:t>Marija Bakula Vugrinec</w:t>
      </w:r>
    </w:p>
    <w:p w:rsidRDefault="003E0E85" w:rsidP="003E0E85" w:rsidR="003E0E85" w:rsidRPr="00495693">
      <w:pPr>
        <w:jc w:val="both"/>
        <w:rPr>
          <w:sz w:val="24"/>
          <w:szCs w:val="24"/>
          <w:lang w:val="hr-HR"/>
        </w:rPr>
      </w:pPr>
      <w:r w:rsidRPr="00495693">
        <w:rPr>
          <w:sz w:val="24"/>
          <w:szCs w:val="24"/>
          <w:lang w:val="hr-HR"/>
        </w:rPr>
        <w:t>Uputa o pravnom lijeku:</w:t>
      </w:r>
    </w:p>
    <w:p w:rsidRDefault="003E0E85" w:rsidP="003E0E85" w:rsidR="003E0E85" w:rsidRPr="00495693">
      <w:pPr>
        <w:jc w:val="both"/>
        <w:rPr>
          <w:sz w:val="24"/>
          <w:szCs w:val="24"/>
          <w:lang w:val="hr-HR"/>
        </w:rPr>
      </w:pPr>
      <w:r w:rsidRPr="00495693">
        <w:rPr>
          <w:sz w:val="24"/>
          <w:szCs w:val="24"/>
          <w:lang w:val="hr-HR"/>
        </w:rPr>
        <w:t>Protiv ovog rješenja nezadovoljna stranka može izjaviti žalbu Visokom trgovačkom sudu Republike Hrvatske u roku od 8 dana od dostave rješenja, a izjavljuje se putem ovog suda u dva (2) primjerka. Dostava se smatra obavljenom istekom osmoga dana od dana objave ovog rješenja na mrežnoj stranici e-oglasna ploča Trgovačkog suda u Zagrebu (čl. 12. st. 1. SZ-a).</w:t>
      </w:r>
    </w:p>
    <w:p w:rsidRDefault="003E0E85" w:rsidP="003E0E85" w:rsidR="003E0E85" w:rsidRPr="00495693">
      <w:pPr>
        <w:jc w:val="both"/>
        <w:rPr>
          <w:sz w:val="24"/>
          <w:szCs w:val="24"/>
          <w:lang w:val="hr-HR"/>
        </w:rPr>
      </w:pPr>
    </w:p>
    <w:p w:rsidRDefault="003E0E85" w:rsidP="003E0E85" w:rsidR="003E0E85" w:rsidRPr="00495693">
      <w:pPr>
        <w:jc w:val="both"/>
        <w:rPr>
          <w:sz w:val="24"/>
          <w:szCs w:val="24"/>
          <w:lang w:val="hr-HR"/>
        </w:rPr>
      </w:pPr>
    </w:p>
    <w:p w:rsidRDefault="008F1AB7" w:rsidP="008F1AB7" w:rsidR="008F1AB7" w:rsidRPr="00495693">
      <w:pPr>
        <w:jc w:val="both"/>
        <w:rPr>
          <w:sz w:val="24"/>
          <w:szCs w:val="24"/>
          <w:lang w:val="hr-HR"/>
        </w:rPr>
      </w:pPr>
      <w:r w:rsidRPr="00495693">
        <w:rPr>
          <w:sz w:val="24"/>
          <w:szCs w:val="24"/>
          <w:lang w:val="hr-HR"/>
        </w:rPr>
        <w:t xml:space="preserve">DNA: </w:t>
      </w:r>
    </w:p>
    <w:p w:rsidRDefault="008F1AB7" w:rsidP="008F1AB7" w:rsidR="008F1AB7" w:rsidRPr="00495693">
      <w:pPr>
        <w:pStyle w:val="Odlomakpopisa"/>
        <w:numPr>
          <w:ilvl w:val="0"/>
          <w:numId w:val="2"/>
        </w:numPr>
      </w:pPr>
      <w:r w:rsidRPr="00495693">
        <w:t>dužnik</w:t>
      </w:r>
      <w:r w:rsidR="006F787A" w:rsidRPr="00495693">
        <w:t xml:space="preserve"> po punomoćniku </w:t>
      </w:r>
      <w:r w:rsidR="00A42492" w:rsidRPr="00495693">
        <w:t>Arsen</w:t>
      </w:r>
      <w:r w:rsidR="0092534C">
        <w:t>u</w:t>
      </w:r>
      <w:r w:rsidR="00A42492" w:rsidRPr="00495693">
        <w:t xml:space="preserve"> Stipinović</w:t>
      </w:r>
      <w:r w:rsidR="0092534C">
        <w:t>u</w:t>
      </w:r>
      <w:r w:rsidR="00A42492" w:rsidRPr="00495693">
        <w:t>, odvjetnik</w:t>
      </w:r>
      <w:r w:rsidR="0092534C">
        <w:t>u</w:t>
      </w:r>
      <w:r w:rsidR="00A42492" w:rsidRPr="00495693">
        <w:t xml:space="preserve"> u Rijeci</w:t>
      </w:r>
    </w:p>
    <w:p w:rsidRDefault="00F206DD" w:rsidP="008F1AB7" w:rsidR="00F206DD" w:rsidRPr="00495693">
      <w:pPr>
        <w:numPr>
          <w:ilvl w:val="0"/>
          <w:numId w:val="2"/>
        </w:numPr>
        <w:ind w:hanging="345" w:left="705"/>
        <w:contextualSpacing/>
        <w:rPr>
          <w:sz w:val="24"/>
          <w:szCs w:val="24"/>
          <w:lang w:val="hr-HR"/>
        </w:rPr>
      </w:pPr>
      <w:r w:rsidRPr="00495693">
        <w:rPr>
          <w:sz w:val="24"/>
          <w:szCs w:val="24"/>
          <w:lang w:val="hr-HR"/>
        </w:rPr>
        <w:t>povjerenik</w:t>
      </w:r>
    </w:p>
    <w:p w:rsidRDefault="008F1AB7" w:rsidP="008F1AB7" w:rsidR="008F1AB7" w:rsidRPr="00495693">
      <w:pPr>
        <w:numPr>
          <w:ilvl w:val="0"/>
          <w:numId w:val="2"/>
        </w:numPr>
        <w:ind w:hanging="345" w:left="705"/>
        <w:contextualSpacing/>
        <w:rPr>
          <w:sz w:val="24"/>
          <w:szCs w:val="24"/>
          <w:lang w:val="hr-HR"/>
        </w:rPr>
      </w:pPr>
      <w:r w:rsidRPr="00495693">
        <w:rPr>
          <w:sz w:val="24"/>
          <w:szCs w:val="24"/>
          <w:lang w:val="hr-HR"/>
        </w:rPr>
        <w:t>e-oglasna ploča</w:t>
      </w:r>
    </w:p>
    <w:p w:rsidRDefault="007842A0" w:rsidR="007842A0" w:rsidRPr="00495693">
      <w:pPr>
        <w:rPr>
          <w:sz w:val="24"/>
          <w:szCs w:val="24"/>
          <w:lang w:val="hr-HR"/>
        </w:rPr>
      </w:pPr>
    </w:p>
    <w:sectPr w:rsidSect="00CD5F73" w:rsidR="007842A0" w:rsidRPr="00495693">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D5F73" w:rsidP="00CD5F73" w:rsidR="00CD5F73">
      <w:r>
        <w:separator/>
      </w:r>
    </w:p>
  </w:endnote>
  <w:endnote w:id="0" w:type="continuationSeparator">
    <w:p w:rsidRDefault="00CD5F73" w:rsidP="00CD5F73" w:rsidR="00CD5F7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5B" w:usb0="E0002EFF"/>
  </w:font>
  <w:font w:name="Courier New">
    <w:panose1 w:val="02070309020205020404"/>
    <w:charset w:val="EE"/>
    <w:family w:val="modern"/>
    <w:pitch w:val="fixed"/>
    <w:sig w:csb1="00000000" w:csb0="000001FF" w:usb3="00000000" w:usb2="00000009" w:usb1="C0007843" w:usb0="E0002E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FF" w:usb3="00000000" w:usb2="00000009" w:usb1="C000247B" w:usb0="E0002AFF"/>
  </w:font>
  <w:font w:name="Calibri Light">
    <w:panose1 w:val="020F0302020204030204"/>
    <w:charset w:val="EE"/>
    <w:family w:val="swiss"/>
    <w:pitch w:val="variable"/>
    <w:sig w:csb1="00000000" w:csb0="000001FF" w:usb3="00000000" w:usb2="00000009" w:usb1="C000247B" w:usb0="E0002A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D5F73" w:rsidP="00CD5F73" w:rsidR="00CD5F73">
      <w:r>
        <w:separator/>
      </w:r>
    </w:p>
  </w:footnote>
  <w:footnote w:id="0" w:type="continuationSeparator">
    <w:p w:rsidRDefault="00CD5F73" w:rsidP="00CD5F73" w:rsidR="00CD5F7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83390022"/>
      <w:docPartObj>
        <w:docPartGallery w:val="Page Numbers (Top of Page)"/>
        <w:docPartUnique/>
      </w:docPartObj>
    </w:sdtPr>
    <w:sdtEndPr>
      <w:rPr>
        <w:sz w:val="24"/>
        <w:szCs w:val="24"/>
      </w:rPr>
    </w:sdtEndPr>
    <w:sdtContent>
      <w:p w:rsidRDefault="00CD5F73" w:rsidR="00CD5F73" w:rsidRPr="00CD5F73">
        <w:pPr>
          <w:pStyle w:val="Zaglavlje"/>
          <w:jc w:val="center"/>
          <w:rPr>
            <w:sz w:val="24"/>
            <w:szCs w:val="24"/>
          </w:rPr>
        </w:pPr>
        <w:r w:rsidRPr="00CD5F73">
          <w:rPr>
            <w:sz w:val="24"/>
            <w:szCs w:val="24"/>
          </w:rPr>
          <w:fldChar w:fldCharType="begin"/>
        </w:r>
        <w:r w:rsidRPr="00CD5F73">
          <w:rPr>
            <w:sz w:val="24"/>
            <w:szCs w:val="24"/>
          </w:rPr>
          <w:instrText>PAGE   \* MERGEFORMAT</w:instrText>
        </w:r>
        <w:r w:rsidRPr="00CD5F73">
          <w:rPr>
            <w:sz w:val="24"/>
            <w:szCs w:val="24"/>
          </w:rPr>
          <w:fldChar w:fldCharType="separate"/>
        </w:r>
        <w:r w:rsidR="00383A5A" w:rsidRPr="00383A5A">
          <w:rPr>
            <w:noProof/>
            <w:sz w:val="24"/>
            <w:szCs w:val="24"/>
            <w:lang w:val="hr-HR"/>
          </w:rPr>
          <w:t>4</w:t>
        </w:r>
        <w:r w:rsidRPr="00CD5F73">
          <w:rPr>
            <w:sz w:val="24"/>
            <w:szCs w:val="24"/>
          </w:rPr>
          <w:fldChar w:fldCharType="end"/>
        </w:r>
      </w:p>
    </w:sdtContent>
  </w:sdt>
  <w:p w:rsidRDefault="00CD5F73" w:rsidR="00CD5F73">
    <w:pPr>
      <w:pStyle w:val="Zaglavlje"/>
    </w:pPr>
  </w:p>
  <w:p w:rsidRDefault="0029615D" w:rsidP="00CD5F73" w:rsidR="00CD5F73">
    <w:pPr>
      <w:pStyle w:val="Zaglavlje"/>
      <w:jc w:val="right"/>
      <w:rPr>
        <w:sz w:val="24"/>
        <w:szCs w:val="24"/>
        <w:lang w:val="hr-HR"/>
      </w:rPr>
    </w:pPr>
    <w:r w:rsidRPr="005F6F4B">
      <w:rPr>
        <w:sz w:val="24"/>
        <w:szCs w:val="24"/>
        <w:lang w:val="hr-HR"/>
      </w:rPr>
      <w:t xml:space="preserve">                                                       </w:t>
    </w:r>
    <w:r w:rsidRPr="00AA49A0">
      <w:rPr>
        <w:sz w:val="24"/>
        <w:szCs w:val="24"/>
      </w:rPr>
      <w:t>87. St-2426/2018</w:t>
    </w:r>
    <w:r w:rsidRPr="005F6F4B">
      <w:rPr>
        <w:sz w:val="24"/>
        <w:szCs w:val="24"/>
        <w:lang w:val="hr-HR"/>
      </w:rPr>
      <w:t xml:space="preserve">  </w:t>
    </w:r>
  </w:p>
  <w:p w:rsidRDefault="0029615D" w:rsidP="00CD5F73" w:rsidR="0029615D">
    <w:pPr>
      <w:pStyle w:val="Zaglavlje"/>
      <w:jc w:val="right"/>
      <w:rPr>
        <w:sz w:val="24"/>
        <w:szCs w:val="24"/>
        <w:lang w:val="hr-HR"/>
      </w:rPr>
    </w:pPr>
  </w:p>
  <w:p w:rsidRDefault="0029615D" w:rsidP="00CD5F73" w:rsidR="0029615D">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99457E"/>
    <w:multiLevelType w:val="hybridMultilevel"/>
    <w:tmpl w:val="7DD61974"/>
    <w:lvl w:tplc="F176C4AC" w:ilvl="0">
      <w:start w:val="154"/>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4D975232"/>
    <w:multiLevelType w:val="hybridMultilevel"/>
    <w:tmpl w:val="DA324D44"/>
    <w:lvl w:tplc="8BCEE866" w:ilvl="0">
      <w:start w:val="1"/>
      <w:numFmt w:val="decimal"/>
      <w:lvlText w:val="%1."/>
      <w:lvlJc w:val="left"/>
      <w:pPr>
        <w:ind w:hanging="360" w:left="720"/>
      </w:pPr>
      <w:rPr>
        <w:rFonts w:cs="Times New Roman" w:eastAsia="Times New Roman"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2A666A9"/>
    <w:multiLevelType w:val="hybridMultilevel"/>
    <w:tmpl w:val="EBE09B40"/>
    <w:lvl w:tplc="895C121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2"/>
  </w:num>
  <w:num w:numId="2">
    <w:abstractNumId w:val="1"/>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val="15"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Setting w:val="1" w:uri="http://schemas.microsoft.com/office/word" w:name="differentiateMultirowTableHeaders"/>
  </w:compat>
  <w:rsids>
    <w:rsidRoot w:val="003E0E85"/>
    <w:rsid w:val="00004563"/>
    <w:rsid w:val="00043904"/>
    <w:rsid w:val="000B5D5B"/>
    <w:rsid w:val="000C5AF0"/>
    <w:rsid w:val="001640EE"/>
    <w:rsid w:val="001A60B4"/>
    <w:rsid w:val="001D53EC"/>
    <w:rsid w:val="0026283E"/>
    <w:rsid w:val="002679E3"/>
    <w:rsid w:val="0029615D"/>
    <w:rsid w:val="002C468D"/>
    <w:rsid w:val="002F5DB7"/>
    <w:rsid w:val="00332298"/>
    <w:rsid w:val="00383A5A"/>
    <w:rsid w:val="003B5CE6"/>
    <w:rsid w:val="003C5F40"/>
    <w:rsid w:val="003E0E85"/>
    <w:rsid w:val="00401E3C"/>
    <w:rsid w:val="00457665"/>
    <w:rsid w:val="00495693"/>
    <w:rsid w:val="004E5134"/>
    <w:rsid w:val="004F7D74"/>
    <w:rsid w:val="0053272F"/>
    <w:rsid w:val="005715AF"/>
    <w:rsid w:val="005C2BF1"/>
    <w:rsid w:val="005F6F4B"/>
    <w:rsid w:val="006352A0"/>
    <w:rsid w:val="00636018"/>
    <w:rsid w:val="0065365F"/>
    <w:rsid w:val="006D4C0F"/>
    <w:rsid w:val="006D6F2A"/>
    <w:rsid w:val="006E4AC7"/>
    <w:rsid w:val="006F5759"/>
    <w:rsid w:val="006F787A"/>
    <w:rsid w:val="007261BE"/>
    <w:rsid w:val="0073479E"/>
    <w:rsid w:val="00737A21"/>
    <w:rsid w:val="00757CBF"/>
    <w:rsid w:val="00763FD0"/>
    <w:rsid w:val="007842A0"/>
    <w:rsid w:val="00795D16"/>
    <w:rsid w:val="00877279"/>
    <w:rsid w:val="008B675D"/>
    <w:rsid w:val="008F1AB7"/>
    <w:rsid w:val="00922175"/>
    <w:rsid w:val="0092534C"/>
    <w:rsid w:val="009630E4"/>
    <w:rsid w:val="009A7233"/>
    <w:rsid w:val="00A0585A"/>
    <w:rsid w:val="00A42492"/>
    <w:rsid w:val="00A455F6"/>
    <w:rsid w:val="00A97276"/>
    <w:rsid w:val="00AA48C6"/>
    <w:rsid w:val="00AD6EDD"/>
    <w:rsid w:val="00B5591B"/>
    <w:rsid w:val="00B93668"/>
    <w:rsid w:val="00BC579C"/>
    <w:rsid w:val="00C13374"/>
    <w:rsid w:val="00C31D25"/>
    <w:rsid w:val="00C4458C"/>
    <w:rsid w:val="00C64FAA"/>
    <w:rsid w:val="00CD5F73"/>
    <w:rsid w:val="00CE16A3"/>
    <w:rsid w:val="00D17F4B"/>
    <w:rsid w:val="00D4443C"/>
    <w:rsid w:val="00D73168"/>
    <w:rsid w:val="00D9756F"/>
    <w:rsid w:val="00DC3FF8"/>
    <w:rsid w:val="00DE6F91"/>
    <w:rsid w:val="00DF577E"/>
    <w:rsid w:val="00ED254C"/>
    <w:rsid w:val="00ED4262"/>
    <w:rsid w:val="00F156A5"/>
    <w:rsid w:val="00F206DD"/>
    <w:rsid w:val="00FA63B1"/>
    <w:rsid w:val="00FF64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15:chartTrackingRefBased/>
  <w15:docId w15:val="{95521C83-2F5F-44D2-967D-33D7F756C85B}"/>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371" w:defQFormat="false" w:defUnhideWhenUsed="false" w:defSemiHidden="false" w:defUIPriority="99" w:defLockedState="false">
    <w:lsdException w:qFormat="true" w:uiPriority="0"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nhideWhenUsed="true" w:semiHidden="true" w:name="index 1"/>
    <w:lsdException w:unhideWhenUsed="true" w:semiHidden="true" w:name="index 2"/>
    <w:lsdException w:unhideWhenUsed="true" w:semiHidden="true" w:name="index 3"/>
    <w:lsdException w:unhideWhenUsed="true" w:semiHidden="true" w:name="index 4"/>
    <w:lsdException w:unhideWhenUsed="true" w:semiHidden="true" w:name="index 5"/>
    <w:lsdException w:unhideWhenUsed="true" w:semiHidden="true" w:name="index 6"/>
    <w:lsdException w:unhideWhenUsed="true" w:semiHidden="true" w:name="index 7"/>
    <w:lsdException w:unhideWhenUsed="true" w:semiHidden="true" w:name="index 8"/>
    <w:lsdException w:unhideWhenUsed="true" w:semiHidden="true" w:name="index 9"/>
    <w:lsdException w:unhideWhenUsed="true" w:semiHidden="true" w:uiPriority="39" w:name="toc 1"/>
    <w:lsdException w:unhideWhenUsed="true" w:semiHidden="true" w:uiPriority="39" w:name="toc 2"/>
    <w:lsdException w:unhideWhenUsed="true" w:semiHidden="true" w:uiPriority="39" w:name="toc 3"/>
    <w:lsdException w:unhideWhenUsed="true" w:semiHidden="true" w:uiPriority="39" w:name="toc 4"/>
    <w:lsdException w:unhideWhenUsed="true" w:semiHidden="true" w:uiPriority="39" w:name="toc 5"/>
    <w:lsdException w:unhideWhenUsed="true" w:semiHidden="true" w:uiPriority="39" w:name="toc 6"/>
    <w:lsdException w:unhideWhenUsed="true" w:semiHidden="true" w:uiPriority="39" w:name="toc 7"/>
    <w:lsdException w:unhideWhenUsed="true" w:semiHidden="true" w:uiPriority="39" w:name="toc 8"/>
    <w:lsdException w:unhideWhenUsed="true" w:semiHidden="true" w:uiPriority="39" w:name="toc 9"/>
    <w:lsdException w:unhideWhenUsed="true" w:semiHidden="true" w:name="Normal Indent"/>
    <w:lsdException w:unhideWhenUsed="true" w:semiHidden="true" w:name="footnote text"/>
    <w:lsdException w:unhideWhenUsed="true" w:semiHidden="true" w:name="annotation text"/>
    <w:lsdException w:unhideWhenUsed="true" w:semiHidden="true" w:name="header"/>
    <w:lsdException w:unhideWhenUsed="true" w:semiHidden="true" w:name="footer"/>
    <w:lsdException w:unhideWhenUsed="true" w:semiHidden="true" w:name="index heading"/>
    <w:lsdException w:qFormat="true" w:unhideWhenUsed="true" w:semiHidden="true" w:uiPriority="35" w:name="caption"/>
    <w:lsdException w:unhideWhenUsed="true" w:semiHidden="true" w:name="table of figures"/>
    <w:lsdException w:unhideWhenUsed="true" w:semiHidden="true" w:name="envelope address"/>
    <w:lsdException w:unhideWhenUsed="true" w:semiHidden="true" w:name="envelope return"/>
    <w:lsdException w:unhideWhenUsed="true" w:semiHidden="true" w:name="footnote reference"/>
    <w:lsdException w:unhideWhenUsed="true" w:semiHidden="true" w:name="annotation reference"/>
    <w:lsdException w:unhideWhenUsed="true" w:semiHidden="true" w:name="line number"/>
    <w:lsdException w:unhideWhenUsed="true" w:semiHidden="true" w:name="page number"/>
    <w:lsdException w:unhideWhenUsed="true" w:semiHidden="true" w:name="endnote reference"/>
    <w:lsdException w:unhideWhenUsed="true" w:semiHidden="true" w:name="endnote text"/>
    <w:lsdException w:unhideWhenUsed="true" w:semiHidden="true" w:name="table of authorities"/>
    <w:lsdException w:unhideWhenUsed="true" w:semiHidden="true" w:name="macro"/>
    <w:lsdException w:unhideWhenUsed="true" w:semiHidden="true" w:name="toa heading"/>
    <w:lsdException w:unhideWhenUsed="true" w:semiHidden="true" w:name="List"/>
    <w:lsdException w:unhideWhenUsed="true" w:semiHidden="true" w:name="List Bullet"/>
    <w:lsdException w:unhideWhenUsed="true" w:semiHidden="true" w:name="List Number"/>
    <w:lsdException w:unhideWhenUsed="true" w:semiHidden="true" w:name="List 2"/>
    <w:lsdException w:unhideWhenUsed="true" w:semiHidden="true" w:name="List 3"/>
    <w:lsdException w:unhideWhenUsed="true" w:semiHidden="true" w:name="List 4"/>
    <w:lsdException w:unhideWhenUsed="true" w:semiHidden="true" w:name="List 5"/>
    <w:lsdException w:unhideWhenUsed="true" w:semiHidden="true" w:name="List Bullet 2"/>
    <w:lsdException w:unhideWhenUsed="true" w:semiHidden="true" w:name="List Bullet 3"/>
    <w:lsdException w:unhideWhenUsed="true" w:semiHidden="true" w:name="List Bullet 4"/>
    <w:lsdException w:unhideWhenUsed="true" w:semiHidden="true" w:name="List Bullet 5"/>
    <w:lsdException w:unhideWhenUsed="true" w:semiHidden="true" w:name="List Number 2"/>
    <w:lsdException w:unhideWhenUsed="true" w:semiHidden="true" w:name="List Number 3"/>
    <w:lsdException w:unhideWhenUsed="true" w:semiHidden="true" w:name="List Number 4"/>
    <w:lsdException w:unhideWhenUsed="true" w:semiHidden="true" w:name="List Number 5"/>
    <w:lsdException w:qFormat="true" w:uiPriority="10" w:name="Title"/>
    <w:lsdException w:unhideWhenUsed="true" w:semiHidden="true" w:name="Closing"/>
    <w:lsdException w:unhideWhenUsed="true" w:semiHidden="true" w:name="Signature"/>
    <w:lsdException w:unhideWhenUsed="true" w:semiHidden="true" w:uiPriority="1" w:name="Default Paragraph Font"/>
    <w:lsdException w:unhideWhenUsed="true" w:semiHidden="true" w:uiPriority="0" w:name="Body Text"/>
    <w:lsdException w:unhideWhenUsed="true" w:semiHidden="true" w:name="Body Text Indent"/>
    <w:lsdException w:unhideWhenUsed="true" w:semiHidden="true" w:name="List Continue"/>
    <w:lsdException w:unhideWhenUsed="true" w:semiHidden="true" w:name="List Continue 2"/>
    <w:lsdException w:unhideWhenUsed="true" w:semiHidden="true" w:name="List Continue 3"/>
    <w:lsdException w:unhideWhenUsed="true" w:semiHidden="true" w:name="List Continue 4"/>
    <w:lsdException w:unhideWhenUsed="true" w:semiHidden="true" w:name="List Continue 5"/>
    <w:lsdException w:unhideWhenUsed="true" w:semiHidden="true" w:name="Message Header"/>
    <w:lsdException w:qFormat="true" w:uiPriority="11" w:name="Subtitle"/>
    <w:lsdException w:unhideWhenUsed="true" w:semiHidden="true" w:name="Salutation"/>
    <w:lsdException w:unhideWhenUsed="true" w:semiHidden="true" w:name="Date"/>
    <w:lsdException w:unhideWhenUsed="true" w:semiHidden="true" w:name="Body Text First Indent"/>
    <w:lsdException w:unhideWhenUsed="true" w:semiHidden="true" w:name="Body Text First Indent 2"/>
    <w:lsdException w:unhideWhenUsed="true" w:semiHidden="true" w:name="Note Heading"/>
    <w:lsdException w:unhideWhenUsed="true" w:semiHidden="true" w:name="Body Text 2"/>
    <w:lsdException w:unhideWhenUsed="true" w:semiHidden="true" w:name="Body Text 3"/>
    <w:lsdException w:unhideWhenUsed="true" w:semiHidden="true" w:name="Body Text Indent 2"/>
    <w:lsdException w:unhideWhenUsed="true" w:semiHidden="true" w:name="Body Text Indent 3"/>
    <w:lsdException w:unhideWhenUsed="true" w:semiHidden="true" w:name="Block Text"/>
    <w:lsdException w:unhideWhenUsed="true" w:semiHidden="true" w:name="Hyperlink"/>
    <w:lsdException w:unhideWhenUsed="true" w:semiHidden="true" w:name="FollowedHyperlink"/>
    <w:lsdException w:qFormat="true" w:uiPriority="22" w:name="Strong"/>
    <w:lsdException w:qFormat="true" w:uiPriority="20" w:name="Emphasis"/>
    <w:lsdException w:unhideWhenUsed="true" w:semiHidden="true" w:name="Document Map"/>
    <w:lsdException w:unhideWhenUsed="true" w:semiHidden="true" w:name="Plain Text"/>
    <w:lsdException w:unhideWhenUsed="true" w:semiHidden="true" w:name="E-mail Signature"/>
    <w:lsdException w:unhideWhenUsed="true" w:semiHidden="true" w:name="HTML Top of Form"/>
    <w:lsdException w:unhideWhenUsed="true" w:semiHidden="true" w:name="HTML Bottom of Form"/>
    <w:lsdException w:unhideWhenUsed="true" w:semiHidden="true" w:name="Normal (Web)"/>
    <w:lsdException w:unhideWhenUsed="true" w:semiHidden="true" w:name="HTML Acronym"/>
    <w:lsdException w:unhideWhenUsed="true" w:semiHidden="true" w:name="HTML Address"/>
    <w:lsdException w:unhideWhenUsed="true" w:semiHidden="true" w:name="HTML Cite"/>
    <w:lsdException w:unhideWhenUsed="true" w:semiHidden="true" w:name="HTML Code"/>
    <w:lsdException w:unhideWhenUsed="true" w:semiHidden="true" w:name="HTML Definition"/>
    <w:lsdException w:unhideWhenUsed="true" w:semiHidden="true" w:name="HTML Keyboard"/>
    <w:lsdException w:unhideWhenUsed="true" w:semiHidden="true" w:name="HTML Preformatted"/>
    <w:lsdException w:unhideWhenUsed="true" w:semiHidden="true" w:name="HTML Sample"/>
    <w:lsdException w:unhideWhenUsed="true" w:semiHidden="true" w:name="HTML Typewriter"/>
    <w:lsdException w:unhideWhenUsed="true" w:semiHidden="true" w:name="HTML Variable"/>
    <w:lsdException w:unhideWhenUsed="true" w:semiHidden="true" w:name="Normal Table"/>
    <w:lsdException w:unhideWhenUsed="true" w:semiHidden="true" w:name="annotation subject"/>
    <w:lsdException w:unhideWhenUsed="true" w:semiHidden="true" w:name="No List"/>
    <w:lsdException w:unhideWhenUsed="true" w:semiHidden="true" w:name="Outline List 1"/>
    <w:lsdException w:unhideWhenUsed="true" w:semiHidden="true" w:name="Outline List 2"/>
    <w:lsdException w:unhideWhenUsed="true" w:semiHidden="true" w:name="Outline List 3"/>
    <w:lsdException w:unhideWhenUsed="true" w:semiHidden="true" w:name="Table Simple 1"/>
    <w:lsdException w:unhideWhenUsed="true" w:semiHidden="true" w:name="Table Simple 2"/>
    <w:lsdException w:unhideWhenUsed="true" w:semiHidden="true" w:name="Table Simple 3"/>
    <w:lsdException w:unhideWhenUsed="true" w:semiHidden="true" w:name="Table Classic 1"/>
    <w:lsdException w:unhideWhenUsed="true" w:semiHidden="true" w:name="Table Classic 2"/>
    <w:lsdException w:unhideWhenUsed="true" w:semiHidden="true" w:name="Table Classic 3"/>
    <w:lsdException w:unhideWhenUsed="true" w:semiHidden="true" w:name="Table Classic 4"/>
    <w:lsdException w:unhideWhenUsed="true" w:semiHidden="true" w:name="Table Colorful 1"/>
    <w:lsdException w:unhideWhenUsed="true" w:semiHidden="true" w:name="Table Colorful 2"/>
    <w:lsdException w:unhideWhenUsed="true" w:semiHidden="true" w:name="Table Colorful 3"/>
    <w:lsdException w:unhideWhenUsed="true" w:semiHidden="true" w:name="Table Columns 1"/>
    <w:lsdException w:unhideWhenUsed="true" w:semiHidden="true" w:name="Table Columns 2"/>
    <w:lsdException w:unhideWhenUsed="true" w:semiHidden="true" w:name="Table Columns 3"/>
    <w:lsdException w:unhideWhenUsed="true" w:semiHidden="true" w:name="Table Columns 4"/>
    <w:lsdException w:unhideWhenUsed="true" w:semiHidden="true" w:name="Table Columns 5"/>
    <w:lsdException w:unhideWhenUsed="true" w:semiHidden="true" w:name="Table Grid 1"/>
    <w:lsdException w:unhideWhenUsed="true" w:semiHidden="true" w:name="Table Grid 2"/>
    <w:lsdException w:unhideWhenUsed="true" w:semiHidden="true" w:name="Table Grid 3"/>
    <w:lsdException w:unhideWhenUsed="true" w:semiHidden="true" w:name="Table Grid 4"/>
    <w:lsdException w:unhideWhenUsed="true" w:semiHidden="true" w:name="Table Grid 5"/>
    <w:lsdException w:unhideWhenUsed="true" w:semiHidden="true" w:name="Table Grid 6"/>
    <w:lsdException w:unhideWhenUsed="true" w:semiHidden="true" w:name="Table Grid 7"/>
    <w:lsdException w:unhideWhenUsed="true" w:semiHidden="true" w:name="Table Grid 8"/>
    <w:lsdException w:unhideWhenUsed="true" w:semiHidden="true" w:name="Table List 1"/>
    <w:lsdException w:unhideWhenUsed="true" w:semiHidden="true" w:name="Table List 2"/>
    <w:lsdException w:unhideWhenUsed="true" w:semiHidden="true" w:name="Table List 3"/>
    <w:lsdException w:unhideWhenUsed="true" w:semiHidden="true" w:name="Table List 4"/>
    <w:lsdException w:unhideWhenUsed="true" w:semiHidden="true" w:name="Table List 5"/>
    <w:lsdException w:unhideWhenUsed="true" w:semiHidden="true" w:name="Table List 6"/>
    <w:lsdException w:unhideWhenUsed="true" w:semiHidden="true" w:name="Table List 7"/>
    <w:lsdException w:unhideWhenUsed="true" w:semiHidden="true" w:name="Table List 8"/>
    <w:lsdException w:unhideWhenUsed="true" w:semiHidden="true" w:name="Table 3D effects 1"/>
    <w:lsdException w:unhideWhenUsed="true" w:semiHidden="true" w:name="Table 3D effects 2"/>
    <w:lsdException w:unhideWhenUsed="true" w:semiHidden="true" w:name="Table 3D effects 3"/>
    <w:lsdException w:unhideWhenUsed="true" w:semiHidden="true" w:name="Table Contemporary"/>
    <w:lsdException w:unhideWhenUsed="true" w:semiHidden="true" w:name="Table Elegant"/>
    <w:lsdException w:unhideWhenUsed="true" w:semiHidden="true" w:name="Table Professional"/>
    <w:lsdException w:unhideWhenUsed="true" w:semiHidden="true" w:name="Table Subtle 1"/>
    <w:lsdException w:unhideWhenUsed="true" w:semiHidden="true" w:name="Table Subtle 2"/>
    <w:lsdException w:unhideWhenUsed="true" w:semiHidden="true" w:name="Table Web 1"/>
    <w:lsdException w:unhideWhenUsed="true" w:semiHidden="true" w:name="Table Web 2"/>
    <w:lsdException w:unhideWhenUsed="true" w:semiHidden="true" w:name="Table Web 3"/>
    <w:lsdException w:unhideWhenUsed="true" w:semiHidden="true" w:name="Balloon Text"/>
    <w:lsdException w:uiPriority="59" w:name="Table Grid"/>
    <w:lsdException w:unhideWhenUsed="true" w:semiHidden="true" w:name="Table Theme"/>
    <w:lsdException w:semiHidden="true"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sdException w:uiPriority="41" w:name="Plain Table 1"/>
    <w:lsdException w:uiPriority="42" w:name="Plain Table 2"/>
    <w:lsdException w:uiPriority="43" w:name="Plain Table 3"/>
    <w:lsdException w:uiPriority="44" w:name="Plain Table 4"/>
    <w:lsdException w:uiPriority="45" w:name="Plain Table 5"/>
    <w:lsdException w:uiPriority="40" w:name="Grid Table Light"/>
    <w:lsdException w:uiPriority="46" w:name="Grid Table 1 Light"/>
    <w:lsdException w:uiPriority="47" w:name="Grid Table 2"/>
    <w:lsdException w:uiPriority="48" w:name="Grid Table 3"/>
    <w:lsdException w:uiPriority="49" w:name="Grid Table 4"/>
    <w:lsdException w:uiPriority="50" w:name="Grid Table 5 Dark"/>
    <w:lsdException w:uiPriority="51" w:name="Grid Table 6 Colorful"/>
    <w:lsdException w:uiPriority="52" w:name="Grid Table 7 Colorful"/>
    <w:lsdException w:uiPriority="46" w:name="Grid Table 1 Light Accent 1"/>
    <w:lsdException w:uiPriority="47" w:name="Grid Table 2 Accent 1"/>
    <w:lsdException w:uiPriority="48" w:name="Grid Table 3 Accent 1"/>
    <w:lsdException w:uiPriority="49" w:name="Grid Table 4 Accent 1"/>
    <w:lsdException w:uiPriority="50" w:name="Grid Table 5 Dark Accent 1"/>
    <w:lsdException w:uiPriority="51" w:name="Grid Table 6 Colorful Accent 1"/>
    <w:lsdException w:uiPriority="52" w:name="Grid Table 7 Colorful Accent 1"/>
    <w:lsdException w:uiPriority="46" w:name="Grid Table 1 Light Accent 2"/>
    <w:lsdException w:uiPriority="47" w:name="Grid Table 2 Accent 2"/>
    <w:lsdException w:uiPriority="48" w:name="Grid Table 3 Accent 2"/>
    <w:lsdException w:uiPriority="49" w:name="Grid Table 4 Accent 2"/>
    <w:lsdException w:uiPriority="50" w:name="Grid Table 5 Dark Accent 2"/>
    <w:lsdException w:uiPriority="51" w:name="Grid Table 6 Colorful Accent 2"/>
    <w:lsdException w:uiPriority="52" w:name="Grid Table 7 Colorful Accent 2"/>
    <w:lsdException w:uiPriority="46" w:name="Grid Table 1 Light Accent 3"/>
    <w:lsdException w:uiPriority="47" w:name="Grid Table 2 Accent 3"/>
    <w:lsdException w:uiPriority="48" w:name="Grid Table 3 Accent 3"/>
    <w:lsdException w:uiPriority="49" w:name="Grid Table 4 Accent 3"/>
    <w:lsdException w:uiPriority="50" w:name="Grid Table 5 Dark Accent 3"/>
    <w:lsdException w:uiPriority="51" w:name="Grid Table 6 Colorful Accent 3"/>
    <w:lsdException w:uiPriority="52" w:name="Grid Table 7 Colorful Accent 3"/>
    <w:lsdException w:uiPriority="46" w:name="Grid Table 1 Light Accent 4"/>
    <w:lsdException w:uiPriority="47" w:name="Grid Table 2 Accent 4"/>
    <w:lsdException w:uiPriority="48" w:name="Grid Table 3 Accent 4"/>
    <w:lsdException w:uiPriority="49" w:name="Grid Table 4 Accent 4"/>
    <w:lsdException w:uiPriority="50" w:name="Grid Table 5 Dark Accent 4"/>
    <w:lsdException w:uiPriority="51" w:name="Grid Table 6 Colorful Accent 4"/>
    <w:lsdException w:uiPriority="52" w:name="Grid Table 7 Colorful Accent 4"/>
    <w:lsdException w:uiPriority="46" w:name="Grid Table 1 Light Accent 5"/>
    <w:lsdException w:uiPriority="47" w:name="Grid Table 2 Accent 5"/>
    <w:lsdException w:uiPriority="48" w:name="Grid Table 3 Accent 5"/>
    <w:lsdException w:uiPriority="49" w:name="Grid Table 4 Accent 5"/>
    <w:lsdException w:uiPriority="50" w:name="Grid Table 5 Dark Accent 5"/>
    <w:lsdException w:uiPriority="51" w:name="Grid Table 6 Colorful Accent 5"/>
    <w:lsdException w:uiPriority="52" w:name="Grid Table 7 Colorful Accent 5"/>
    <w:lsdException w:uiPriority="46" w:name="Grid Table 1 Light Accent 6"/>
    <w:lsdException w:uiPriority="47" w:name="Grid Table 2 Accent 6"/>
    <w:lsdException w:uiPriority="48" w:name="Grid Table 3 Accent 6"/>
    <w:lsdException w:uiPriority="49" w:name="Grid Table 4 Accent 6"/>
    <w:lsdException w:uiPriority="50" w:name="Grid Table 5 Dark Accent 6"/>
    <w:lsdException w:uiPriority="51" w:name="Grid Table 6 Colorful Accent 6"/>
    <w:lsdException w:uiPriority="52" w:name="Grid Table 7 Colorful Accent 6"/>
    <w:lsdException w:uiPriority="46" w:name="List Table 1 Light"/>
    <w:lsdException w:uiPriority="47" w:name="List Table 2"/>
    <w:lsdException w:uiPriority="48" w:name="List Table 3"/>
    <w:lsdException w:uiPriority="49" w:name="List Table 4"/>
    <w:lsdException w:uiPriority="50" w:name="List Table 5 Dark"/>
    <w:lsdException w:uiPriority="51" w:name="List Table 6 Colorful"/>
    <w:lsdException w:uiPriority="52" w:name="List Table 7 Colorful"/>
    <w:lsdException w:uiPriority="46" w:name="List Table 1 Light Accent 1"/>
    <w:lsdException w:uiPriority="47" w:name="List Table 2 Accent 1"/>
    <w:lsdException w:uiPriority="48" w:name="List Table 3 Accent 1"/>
    <w:lsdException w:uiPriority="49" w:name="List Table 4 Accent 1"/>
    <w:lsdException w:uiPriority="50" w:name="List Table 5 Dark Accent 1"/>
    <w:lsdException w:uiPriority="51" w:name="List Table 6 Colorful Accent 1"/>
    <w:lsdException w:uiPriority="52" w:name="List Table 7 Colorful Accent 1"/>
    <w:lsdException w:uiPriority="46" w:name="List Table 1 Light Accent 2"/>
    <w:lsdException w:uiPriority="47" w:name="List Table 2 Accent 2"/>
    <w:lsdException w:uiPriority="48" w:name="List Table 3 Accent 2"/>
    <w:lsdException w:uiPriority="49" w:name="List Table 4 Accent 2"/>
    <w:lsdException w:uiPriority="50" w:name="List Table 5 Dark Accent 2"/>
    <w:lsdException w:uiPriority="51" w:name="List Table 6 Colorful Accent 2"/>
    <w:lsdException w:uiPriority="52" w:name="List Table 7 Colorful Accent 2"/>
    <w:lsdException w:uiPriority="46" w:name="List Table 1 Light Accent 3"/>
    <w:lsdException w:uiPriority="47" w:name="List Table 2 Accent 3"/>
    <w:lsdException w:uiPriority="48" w:name="List Table 3 Accent 3"/>
    <w:lsdException w:uiPriority="49" w:name="List Table 4 Accent 3"/>
    <w:lsdException w:uiPriority="50" w:name="List Table 5 Dark Accent 3"/>
    <w:lsdException w:uiPriority="51" w:name="List Table 6 Colorful Accent 3"/>
    <w:lsdException w:uiPriority="52" w:name="List Table 7 Colorful Accent 3"/>
    <w:lsdException w:uiPriority="46" w:name="List Table 1 Light Accent 4"/>
    <w:lsdException w:uiPriority="47" w:name="List Table 2 Accent 4"/>
    <w:lsdException w:uiPriority="48" w:name="List Table 3 Accent 4"/>
    <w:lsdException w:uiPriority="49" w:name="List Table 4 Accent 4"/>
    <w:lsdException w:uiPriority="50" w:name="List Table 5 Dark Accent 4"/>
    <w:lsdException w:uiPriority="51" w:name="List Table 6 Colorful Accent 4"/>
    <w:lsdException w:uiPriority="52" w:name="List Table 7 Colorful Accent 4"/>
    <w:lsdException w:uiPriority="46" w:name="List Table 1 Light Accent 5"/>
    <w:lsdException w:uiPriority="47" w:name="List Table 2 Accent 5"/>
    <w:lsdException w:uiPriority="48" w:name="List Table 3 Accent 5"/>
    <w:lsdException w:uiPriority="49" w:name="List Table 4 Accent 5"/>
    <w:lsdException w:uiPriority="50" w:name="List Table 5 Dark Accent 5"/>
    <w:lsdException w:uiPriority="51" w:name="List Table 6 Colorful Accent 5"/>
    <w:lsdException w:uiPriority="52" w:name="List Table 7 Colorful Accent 5"/>
    <w:lsdException w:uiPriority="46" w:name="List Table 1 Light Accent 6"/>
    <w:lsdException w:uiPriority="47" w:name="List Table 2 Accent 6"/>
    <w:lsdException w:uiPriority="48" w:name="List Table 3 Accent 6"/>
    <w:lsdException w:uiPriority="49" w:name="List Table 4 Accent 6"/>
    <w:lsdException w:uiPriority="50" w:name="List Table 5 Dark Accent 6"/>
    <w:lsdException w:uiPriority="51" w:name="List Table 6 Colorful Accent 6"/>
    <w:lsdException w:uiPriority="52" w:name="List Table 7 Colorful Accent 6"/>
  </w:latentStyles>
  <w:style w:default="true" w:styleId="Normal" w:type="paragraph">
    <w:name w:val="Normal"/>
    <w:qFormat/>
    <w:rsid w:val="003E0E85"/>
    <w:pPr>
      <w:overflowPunct w:val="false"/>
      <w:autoSpaceDE w:val="false"/>
      <w:autoSpaceDN w:val="false"/>
      <w:adjustRightInd w:val="false"/>
      <w:textAlignment w:val="baseline"/>
    </w:pPr>
    <w:rPr>
      <w:rFonts w:cs="Times New Roman" w:eastAsia="Times New Roman"/>
      <w:sz w:val="22"/>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3E0E85"/>
    <w:pPr>
      <w:spacing w:after="120"/>
    </w:pPr>
  </w:style>
  <w:style w:customStyle="true" w:styleId="TijelotekstaChar" w:type="character">
    <w:name w:val="Tijelo teksta Char"/>
    <w:basedOn w:val="Zadanifontodlomka"/>
    <w:link w:val="Tijeloteksta"/>
    <w:rsid w:val="003E0E85"/>
    <w:rPr>
      <w:rFonts w:cs="Times New Roman" w:eastAsia="Times New Roman"/>
      <w:sz w:val="22"/>
      <w:szCs w:val="20"/>
      <w:lang w:eastAsia="hr-HR" w:val="en-GB"/>
    </w:rPr>
  </w:style>
  <w:style w:styleId="Odlomakpopisa" w:type="paragraph">
    <w:name w:val="List Paragraph"/>
    <w:basedOn w:val="Normal"/>
    <w:uiPriority w:val="34"/>
    <w:qFormat/>
    <w:rsid w:val="003E0E85"/>
    <w:pPr>
      <w:overflowPunct/>
      <w:autoSpaceDE/>
      <w:autoSpaceDN/>
      <w:adjustRightInd/>
      <w:ind w:left="720"/>
      <w:contextualSpacing/>
      <w:textAlignment w:val="auto"/>
    </w:pPr>
    <w:rPr>
      <w:sz w:val="24"/>
      <w:szCs w:val="24"/>
      <w:lang w:eastAsia="en-US" w:val="hr-HR"/>
    </w:rPr>
  </w:style>
  <w:style w:styleId="Zaglavlje" w:type="paragraph">
    <w:name w:val="header"/>
    <w:basedOn w:val="Normal"/>
    <w:link w:val="ZaglavljeChar"/>
    <w:uiPriority w:val="99"/>
    <w:unhideWhenUsed/>
    <w:rsid w:val="00CD5F73"/>
    <w:pPr>
      <w:tabs>
        <w:tab w:pos="4536" w:val="center"/>
        <w:tab w:pos="9072" w:val="right"/>
      </w:tabs>
    </w:pPr>
  </w:style>
  <w:style w:customStyle="true" w:styleId="ZaglavljeChar" w:type="character">
    <w:name w:val="Zaglavlje Char"/>
    <w:basedOn w:val="Zadanifontodlomka"/>
    <w:link w:val="Zaglavlje"/>
    <w:uiPriority w:val="99"/>
    <w:rsid w:val="00CD5F73"/>
    <w:rPr>
      <w:rFonts w:cs="Times New Roman" w:eastAsia="Times New Roman"/>
      <w:sz w:val="22"/>
      <w:szCs w:val="20"/>
      <w:lang w:eastAsia="hr-HR" w:val="en-GB"/>
    </w:rPr>
  </w:style>
  <w:style w:styleId="Podnoje" w:type="paragraph">
    <w:name w:val="footer"/>
    <w:basedOn w:val="Normal"/>
    <w:link w:val="PodnojeChar"/>
    <w:uiPriority w:val="99"/>
    <w:unhideWhenUsed/>
    <w:rsid w:val="00CD5F73"/>
    <w:pPr>
      <w:tabs>
        <w:tab w:pos="4536" w:val="center"/>
        <w:tab w:pos="9072" w:val="right"/>
      </w:tabs>
    </w:pPr>
  </w:style>
  <w:style w:customStyle="true" w:styleId="PodnojeChar" w:type="character">
    <w:name w:val="Podnožje Char"/>
    <w:basedOn w:val="Zadanifontodlomka"/>
    <w:link w:val="Podnoje"/>
    <w:uiPriority w:val="99"/>
    <w:rsid w:val="00CD5F73"/>
    <w:rPr>
      <w:rFonts w:cs="Times New Roman" w:eastAsia="Times New Roman"/>
      <w:sz w:val="22"/>
      <w:szCs w:val="20"/>
      <w:lang w:eastAsia="hr-HR" w:val="en-GB"/>
    </w:rPr>
  </w:style>
  <w:style w:styleId="Reetkatablice" w:type="table">
    <w:name w:val="Table Grid"/>
    <w:basedOn w:val="Obinatablica"/>
    <w:uiPriority w:val="59"/>
    <w:rsid w:val="00CE16A3"/>
    <w:rPr>
      <w:rFonts w:cs="Times New Roman" w:eastAsia="Times New Roman"/>
      <w:sz w:val="20"/>
      <w:szCs w:val="20"/>
      <w:lang w:eastAsia="hr-HR"/>
    </w:rPr>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st1" w:type="character">
    <w:name w:val="st1"/>
    <w:basedOn w:val="Zadanifontodlomka"/>
    <w:rsid w:val="00795D16"/>
  </w:style>
  <w:style w:styleId="Tekstrezerviranogmjesta" w:type="character">
    <w:name w:val="Placeholder Text"/>
    <w:basedOn w:val="Zadanifontodlomka"/>
    <w:uiPriority w:val="99"/>
    <w:semiHidden/>
    <w:rsid w:val="00383A5A"/>
    <w:rPr>
      <w:color w:val="808080"/>
      <w:bdr w:space="0" w:sz="0" w:color="auto" w:val="none"/>
      <w:shd w:fill="auto" w:color="auto" w:val="clear"/>
    </w:rPr>
  </w:style>
  <w:style w:customStyle="true" w:styleId="eSPISCCParagraphDefaultFont" w:type="character">
    <w:name w:val="eSPIS_CC_Paragraph Default Font"/>
    <w:basedOn w:val="Zadanifontodlomka"/>
    <w:rsid w:val="00383A5A"/>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383A5A"/>
    <w:rPr>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383A5A"/>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83A5A"/>
    <w:rPr>
      <w:rFonts w:cs="Times New Roman" w:hAnsi="Times New Roman" w:ascii="Times New Roman"/>
      <w:b w:val="false"/>
      <w:sz w:val="24"/>
      <w:szCs w:val="24"/>
      <w:bdr w:space="0" w:sz="0" w:color="auto" w:val="none"/>
      <w:shd w:fill="CCFFCC" w:color="auto"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travnja 2019.</izvorni_sadrzaj>
    <derivirana_varijabla naziv="DomainObject.DatumDonosenjaOdluke_1">29. travnja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2426</izvorni_sadrzaj>
    <derivirana_varijabla naziv="DomainObject.Predmet.Broj_1">2426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rujna 2018.</izvorni_sadrzaj>
    <derivirana_varijabla naziv="DomainObject.Predmet.DatumOsnivanja_1">24. rujna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St-2426/2018</izvorni_sadrzaj>
    <derivirana_varijabla naziv="DomainObject.Predmet.OznakaBroj_1">St-2426/2018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JANKOMIR NEKRETNINE d.o.o.</izvorni_sadrzaj>
    <derivirana_varijabla naziv="DomainObject.Predmet.ProtustrankaFormated_1">  JANKOMIR NEKRETNINE d.o.o.</derivirana_varijabla>
  </DomainObject.Predmet.ProtustrankaFormated>
  <DomainObject.Predmet.ProtustrankaFormatedOIB>
    <izvorni_sadrzaj>  JANKOMIR NEKRETNINE d.o.o., OIB 68860828547</izvorni_sadrzaj>
    <derivirana_varijabla naziv="DomainObject.Predmet.ProtustrankaFormatedOIB_1">  JANKOMIR NEKRETNINE d.o.o., OIB 68860828547</derivirana_varijabla>
  </DomainObject.Predmet.ProtustrankaFormatedOIB>
  <DomainObject.Predmet.ProtustrankaFormatedWithAdress>
    <izvorni_sadrzaj> JANKOMIR NEKRETNINE d.o.o., Vladimira Filakovca 13, 10000 Zagreb</izvorni_sadrzaj>
    <derivirana_varijabla naziv="DomainObject.Predmet.ProtustrankaFormatedWithAdress_1"> JANKOMIR NEKRETNINE d.o.o., Vladimira Filakovca 13, 10000 Zagreb</derivirana_varijabla>
  </DomainObject.Predmet.ProtustrankaFormatedWithAdress>
  <DomainObject.Predmet.ProtustrankaFormatedWithAdressOIB>
    <izvorni_sadrzaj> JANKOMIR NEKRETNINE d.o.o., OIB 68860828547, Vladimira Filakovca 13, 10000 Zagreb</izvorni_sadrzaj>
    <derivirana_varijabla naziv="DomainObject.Predmet.ProtustrankaFormatedWithAdressOIB_1"> JANKOMIR NEKRETNINE d.o.o., OIB 68860828547, Vladimira Filakovca 13, 10000 Zagreb</derivirana_varijabla>
  </DomainObject.Predmet.ProtustrankaFormatedWithAdressOIB>
  <DomainObject.Predmet.ProtustrankaWithAdress>
    <izvorni_sadrzaj>JANKOMIR NEKRETNINE d.o.o. Vladimira Filakovca 13, 10000 Zagreb</izvorni_sadrzaj>
    <derivirana_varijabla naziv="DomainObject.Predmet.ProtustrankaWithAdress_1">JANKOMIR NEKRETNINE d.o.o. Vladimira Filakovca 13, 10000 Zagreb</derivirana_varijabla>
  </DomainObject.Predmet.ProtustrankaWithAdress>
  <DomainObject.Predmet.ProtustrankaWithAdressOIB>
    <izvorni_sadrzaj>JANKOMIR NEKRETNINE d.o.o., OIB 68860828547, Vladimira Filakovca 13, 10000 Zagreb</izvorni_sadrzaj>
    <derivirana_varijabla naziv="DomainObject.Predmet.ProtustrankaWithAdressOIB_1">JANKOMIR NEKRETNINE d.o.o., OIB 68860828547, Vladimira Filakovca 13, 10000 Zagreb</derivirana_varijabla>
  </DomainObject.Predmet.ProtustrankaWithAdressOIB>
  <DomainObject.Predmet.ProtustrankaNazivFormated>
    <izvorni_sadrzaj>JANKOMIR NEKRETNINE d.o.o.</izvorni_sadrzaj>
    <derivirana_varijabla naziv="DomainObject.Predmet.ProtustrankaNazivFormated_1">JANKOMIR NEKRETNINE d.o.o.</derivirana_varijabla>
  </DomainObject.Predmet.ProtustrankaNazivFormated>
  <DomainObject.Predmet.ProtustrankaNazivFormatedOIB>
    <izvorni_sadrzaj>JANKOMIR NEKRETNINE d.o.o., OIB 68860828547</izvorni_sadrzaj>
    <derivirana_varijabla naziv="DomainObject.Predmet.ProtustrankaNazivFormatedOIB_1">JANKOMIR NEKRETNINE d.o.o., OIB 68860828547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JANKOMIR NEKRETNINE d.o.o.</izvorni_sadrzaj>
    <derivirana_varijabla naziv="DomainObject.Predmet.StrankaFormated_1">  JANKOMIR NEKRETNINE d.o.o.</derivirana_varijabla>
  </DomainObject.Predmet.StrankaFormated>
  <DomainObject.Predmet.StrankaFormatedOIB>
    <izvorni_sadrzaj>  JANKOMIR NEKRETNINE d.o.o., OIB 68860828547</izvorni_sadrzaj>
    <derivirana_varijabla naziv="DomainObject.Predmet.StrankaFormatedOIB_1">  JANKOMIR NEKRETNINE d.o.o., OIB 68860828547</derivirana_varijabla>
  </DomainObject.Predmet.StrankaFormatedOIB>
  <DomainObject.Predmet.StrankaFormatedWithAdress>
    <izvorni_sadrzaj> JANKOMIR NEKRETNINE d.o.o., Vladimira Filakovca 13, 10000 Zagreb</izvorni_sadrzaj>
    <derivirana_varijabla naziv="DomainObject.Predmet.StrankaFormatedWithAdress_1"> JANKOMIR NEKRETNINE d.o.o., Vladimira Filakovca 13, 10000 Zagreb</derivirana_varijabla>
  </DomainObject.Predmet.StrankaFormatedWithAdress>
  <DomainObject.Predmet.StrankaFormatedWithAdressOIB>
    <izvorni_sadrzaj> JANKOMIR NEKRETNINE d.o.o., OIB 68860828547, Vladimira Filakovca 13, 10000 Zagreb</izvorni_sadrzaj>
    <derivirana_varijabla naziv="DomainObject.Predmet.StrankaFormatedWithAdressOIB_1"> JANKOMIR NEKRETNINE d.o.o., OIB 68860828547, Vladimira Filakovca 13, 10000 Zagreb</derivirana_varijabla>
  </DomainObject.Predmet.StrankaFormatedWithAdressOIB>
  <DomainObject.Predmet.StrankaWithAdress>
    <izvorni_sadrzaj>JANKOMIR NEKRETNINE d.o.o. Vladimira Filakovca 13,10000 Zagreb</izvorni_sadrzaj>
    <derivirana_varijabla naziv="DomainObject.Predmet.StrankaWithAdress_1">JANKOMIR NEKRETNINE d.o.o. Vladimira Filakovca 13,10000 Zagreb</derivirana_varijabla>
  </DomainObject.Predmet.StrankaWithAdress>
  <DomainObject.Predmet.StrankaWithAdressOIB>
    <izvorni_sadrzaj>JANKOMIR NEKRETNINE d.o.o., OIB 68860828547, Vladimira Filakovca 13,10000 Zagreb</izvorni_sadrzaj>
    <derivirana_varijabla naziv="DomainObject.Predmet.StrankaWithAdressOIB_1">JANKOMIR NEKRETNINE d.o.o., OIB 68860828547, Vladimira Filakovca 13,10000 Zagreb</derivirana_varijabla>
  </DomainObject.Predmet.StrankaWithAdressOIB>
  <DomainObject.Predmet.StrankaNazivFormated>
    <izvorni_sadrzaj>JANKOMIR NEKRETNINE d.o.o.</izvorni_sadrzaj>
    <derivirana_varijabla naziv="DomainObject.Predmet.StrankaNazivFormated_1">JANKOMIR NEKRETNINE d.o.o.</derivirana_varijabla>
  </DomainObject.Predmet.StrankaNazivFormated>
  <DomainObject.Predmet.StrankaNazivFormatedOIB>
    <izvorni_sadrzaj>JANKOMIR NEKRETNINE d.o.o., OIB 68860828547</izvorni_sadrzaj>
    <derivirana_varijabla naziv="DomainObject.Predmet.StrankaNazivFormatedOIB_1">JANKOMIR NEKRETNINE d.o.o., OIB 68860828547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JANKOMIR NEKRETNINE d.o.o.</item>
    </izvorni_sadrzaj>
    <derivirana_varijabla naziv="DomainObject.Predmet.StrankaListFormated_1">
      <item>JANKOMIR NEKRETNINE d.o.o.</item>
    </derivirana_varijabla>
  </DomainObject.Predmet.StrankaListFormated>
  <DomainObject.Predmet.StrankaListFormatedOIB>
    <izvorni_sadrzaj>
      <item>JANKOMIR NEKRETNINE d.o.o., OIB 68860828547</item>
    </izvorni_sadrzaj>
    <derivirana_varijabla naziv="DomainObject.Predmet.StrankaListFormatedOIB_1">
      <item>JANKOMIR NEKRETNINE d.o.o., OIB 68860828547</item>
    </derivirana_varijabla>
  </DomainObject.Predmet.StrankaListFormatedOIB>
  <DomainObject.Predmet.StrankaListFormatedWithAdress>
    <izvorni_sadrzaj>
      <item>JANKOMIR NEKRETNINE d.o.o., Vladimira Filakovca 13, 10000 Zagreb</item>
    </izvorni_sadrzaj>
    <derivirana_varijabla naziv="DomainObject.Predmet.StrankaListFormatedWithAdress_1">
      <item>JANKOMIR NEKRETNINE d.o.o., Vladimira Filakovca 13, 10000 Zagreb</item>
    </derivirana_varijabla>
  </DomainObject.Predmet.StrankaListFormatedWithAdress>
  <DomainObject.Predmet.StrankaListFormatedWithAdressOIB>
    <izvorni_sadrzaj>
      <item>JANKOMIR NEKRETNINE d.o.o., OIB 68860828547, Vladimira Filakovca 13, 10000 Zagreb</item>
    </izvorni_sadrzaj>
    <derivirana_varijabla naziv="DomainObject.Predmet.StrankaListFormatedWithAdressOIB_1">
      <item>JANKOMIR NEKRETNINE d.o.o., OIB 68860828547, Vladimira Filakovca 13, 10000 Zagreb</item>
    </derivirana_varijabla>
  </DomainObject.Predmet.StrankaListFormatedWithAdressOIB>
  <DomainObject.Predmet.StrankaListNazivFormated>
    <izvorni_sadrzaj>
      <item>JANKOMIR NEKRETNINE d.o.o.</item>
    </izvorni_sadrzaj>
    <derivirana_varijabla naziv="DomainObject.Predmet.StrankaListNazivFormated_1">
      <item>JANKOMIR NEKRETNINE d.o.o.</item>
    </derivirana_varijabla>
  </DomainObject.Predmet.StrankaListNazivFormated>
  <DomainObject.Predmet.StrankaListNazivFormatedOIB>
    <izvorni_sadrzaj>
      <item>JANKOMIR NEKRETNINE d.o.o., OIB 68860828547</item>
    </izvorni_sadrzaj>
    <derivirana_varijabla naziv="DomainObject.Predmet.StrankaListNazivFormatedOIB_1">
      <item>JANKOMIR NEKRETNINE d.o.o., OIB 68860828547</item>
    </derivirana_varijabla>
  </DomainObject.Predmet.StrankaListNazivFormatedOIB>
  <DomainObject.Predmet.ProtuStrankaListFormated>
    <izvorni_sadrzaj>
      <item>JANKOMIR NEKRETNINE d.o.o.</item>
    </izvorni_sadrzaj>
    <derivirana_varijabla naziv="DomainObject.Predmet.ProtuStrankaListFormated_1">
      <item>JANKOMIR NEKRETNINE d.o.o.</item>
    </derivirana_varijabla>
  </DomainObject.Predmet.ProtuStrankaListFormated>
  <DomainObject.Predmet.ProtuStrankaListFormatedOIB>
    <izvorni_sadrzaj>
      <item>JANKOMIR NEKRETNINE d.o.o., OIB 68860828547</item>
    </izvorni_sadrzaj>
    <derivirana_varijabla naziv="DomainObject.Predmet.ProtuStrankaListFormatedOIB_1">
      <item>JANKOMIR NEKRETNINE d.o.o., OIB 68860828547</item>
    </derivirana_varijabla>
  </DomainObject.Predmet.ProtuStrankaListFormatedOIB>
  <DomainObject.Predmet.ProtuStrankaListFormatedWithAdress>
    <izvorni_sadrzaj>
      <item>JANKOMIR NEKRETNINE d.o.o., Vladimira Filakovca 13, 10000 Zagreb</item>
    </izvorni_sadrzaj>
    <derivirana_varijabla naziv="DomainObject.Predmet.ProtuStrankaListFormatedWithAdress_1">
      <item>JANKOMIR NEKRETNINE d.o.o., Vladimira Filakovca 13, 10000 Zagreb</item>
    </derivirana_varijabla>
  </DomainObject.Predmet.ProtuStrankaListFormatedWithAdress>
  <DomainObject.Predmet.ProtuStrankaListFormatedWithAdressOIB>
    <izvorni_sadrzaj>
      <item>JANKOMIR NEKRETNINE d.o.o., OIB 68860828547, Vladimira Filakovca 13, 10000 Zagreb</item>
    </izvorni_sadrzaj>
    <derivirana_varijabla naziv="DomainObject.Predmet.ProtuStrankaListFormatedWithAdressOIB_1">
      <item>JANKOMIR NEKRETNINE d.o.o., OIB 68860828547, Vladimira Filakovca 13, 10000 Zagreb</item>
    </derivirana_varijabla>
  </DomainObject.Predmet.ProtuStrankaListFormatedWithAdressOIB>
  <DomainObject.Predmet.ProtuStrankaListNazivFormated>
    <izvorni_sadrzaj>
      <item>JANKOMIR NEKRETNINE d.o.o.</item>
    </izvorni_sadrzaj>
    <derivirana_varijabla naziv="DomainObject.Predmet.ProtuStrankaListNazivFormated_1">
      <item>JANKOMIR NEKRETNINE d.o.o.</item>
    </derivirana_varijabla>
  </DomainObject.Predmet.ProtuStrankaListNazivFormated>
  <DomainObject.Predmet.ProtuStrankaListNazivFormatedOIB>
    <izvorni_sadrzaj>
      <item>JANKOMIR NEKRETNINE d.o.o., OIB 68860828547</item>
    </izvorni_sadrzaj>
    <derivirana_varijabla naziv="DomainObject.Predmet.ProtuStrankaListNazivFormatedOIB_1">
      <item>JANKOMIR NEKRETNINE d.o.o., OIB 68860828547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travnja 2019.</izvorni_sadrzaj>
    <derivirana_varijabla naziv="DomainObject.Datum_1">29. travnja 2019.</derivirana_varijabla>
  </DomainObject.Datum>
  <DomainObject.PoslovniBrojDokumenta>
    <izvorni_sadrzaj/>
    <derivirana_varijabla naziv="DomainObject.PoslovniBrojDokumenta_1"/>
  </DomainObject.PoslovniBrojDokumenta>
  <DomainObject.Predmet.StrankaIDrugi>
    <izvorni_sadrzaj>JANKOMIR NEKRETNINE d.o.o.</izvorni_sadrzaj>
    <derivirana_varijabla naziv="DomainObject.Predmet.StrankaIDrugi_1">JANKOMIR NEKRETNINE d.o.o.</derivirana_varijabla>
  </DomainObject.Predmet.StrankaIDrugi>
  <DomainObject.Predmet.ProtustrankaIDrugi>
    <izvorni_sadrzaj>JANKOMIR NEKRETNINE d.o.o.</izvorni_sadrzaj>
    <derivirana_varijabla naziv="DomainObject.Predmet.ProtustrankaIDrugi_1">JANKOMIR NEKRETNINE d.o.o.</derivirana_varijabla>
  </DomainObject.Predmet.ProtustrankaIDrugi>
  <DomainObject.Predmet.StrankaIDrugiAdressOIB>
    <izvorni_sadrzaj>JANKOMIR NEKRETNINE d.o.o., OIB 68860828547, Vladimira Filakovca 13, 10000 Zagreb</izvorni_sadrzaj>
    <derivirana_varijabla naziv="DomainObject.Predmet.StrankaIDrugiAdressOIB_1">JANKOMIR NEKRETNINE d.o.o., OIB 68860828547, Vladimira Filakovca 13, 10000 Zagreb</derivirana_varijabla>
  </DomainObject.Predmet.StrankaIDrugiAdressOIB>
  <DomainObject.Predmet.ProtustrankaIDrugiAdressOIB>
    <izvorni_sadrzaj>JANKOMIR NEKRETNINE d.o.o., OIB 68860828547, Vladimira Filakovca 13, 10000 Zagreb</izvorni_sadrzaj>
    <derivirana_varijabla naziv="DomainObject.Predmet.ProtustrankaIDrugiAdressOIB_1">JANKOMIR NEKRETNINE d.o.o., OIB 68860828547, Vladimira Filakovca 13,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JANKOMIR NEKRETNINE d.o.o.</item>
      <item>JANKOMIR NEKRETNINE d.o.o.</item>
    </izvorni_sadrzaj>
    <derivirana_varijabla naziv="DomainObject.Predmet.SudioniciListNaziv_1">
      <item>JANKOMIR NEKRETNINE d.o.o.</item>
      <item>JANKOMIR NEKRETNINE d.o.o.</item>
    </derivirana_varijabla>
  </DomainObject.Predmet.SudioniciListNaziv>
  <DomainObject.Predmet.SudioniciListAdressOIB>
    <izvorni_sadrzaj>
      <item>JANKOMIR NEKRETNINE d.o.o., OIB 68860828547, Vladimira Filakovca 13,10000 Zagreb</item>
      <item>JANKOMIR NEKRETNINE d.o.o., OIB 68860828547, Vladimira Filakovca 13,10000 Zagreb</item>
    </izvorni_sadrzaj>
    <derivirana_varijabla naziv="DomainObject.Predmet.SudioniciListAdressOIB_1">
      <item>JANKOMIR NEKRETNINE d.o.o., OIB 68860828547, Vladimira Filakovca 13,10000 Zagreb</item>
      <item>JANKOMIR NEKRETNINE d.o.o., OIB 68860828547, Vladimira Filakovca 13,10000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68860828547</item>
      <item>, OIB 68860828547</item>
    </izvorni_sadrzaj>
    <derivirana_varijabla naziv="DomainObject.Predmet.SudioniciListNazivOIB_1">
      <item>, OIB 68860828547</item>
      <item>, OIB 68860828547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Branka Malbašić, OIB 93517569919, Tina Ujevića 13 Zagreb</item>
    </izvorni_sadrzaj>
    <derivirana_varijabla naziv="DomainObject.Predmet.StecajniUpraviteljiListAddressOIB_1">
      <item>Branka Malbašić, OIB 93517569919, Tina Ujevića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26. travnja 2019.</izvorni_sadrzaj>
    <derivirana_varijabla naziv="DomainObject.Predmet.DatumZadnjeOdrzaneSudskeRadnje_1">26. travnja 2019.</derivirana_varijabla>
  </DomainObject.Predmet.DatumZadnjeOdrzaneSudskeRadnje>
  <DomainObject.PredzadnjaOdlukaIzPredmeta.DatumDonosenjaOdluke>
    <izvorni_sadrzaj>21. prosinca 2018.</izvorni_sadrzaj>
    <derivirana_varijabla naziv="DomainObject.PredzadnjaOdlukaIzPredmeta.DatumDonosenjaOdluke_1">21. prosinca 2018.</derivirana_varijabla>
  </DomainObject.PredzadnjaOdlukaIzPredmeta.DatumDonosenjaOdluke>
  <DomainObject.PredzadnjaOdlukaIzPredmeta.Oznaka>
    <izvorni_sadrzaj>St-2426/2018-35</izvorni_sadrzaj>
    <derivirana_varijabla naziv="DomainObject.PredzadnjaOdlukaIzPredmeta.Oznaka_1">St-2426/2018-35</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3D9F3CE-3AEA-4AE9-9839-D618A7CB723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4</properties:Pages>
  <properties:Words>1435</properties:Words>
  <properties:Characters>7995</properties:Characters>
  <properties:Lines>158</properties:Lines>
  <properties:Paragraphs>39</properties:Paragraphs>
  <properties:TotalTime>86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9490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2019-04-26T11:25:00Z</dcterms:created>
  <dc:creator>Marija Bakula Vugrinec</dc:creator>
  <dc:description/>
  <cp:keywords/>
  <cp:lastModifiedBy>Marija Bakula Vugrinec</cp:lastModifiedBy>
  <dcterms:modified xmlns:xsi="http://www.w3.org/2001/XMLSchema-instance" xsi:type="dcterms:W3CDTF">2019-04-29T11:02:00Z</dcterms:modified>
  <cp:revision>12</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(Rješenje - odbijen prijedlog za prekid predstečajnog postupka.docx)</vt:lpwstr>
  </prop:property>
  <prop:property name="CC_coloring" pid="4" fmtid="{D5CDD505-2E9C-101B-9397-08002B2CF9AE}">
    <vt:bool>false</vt:bool>
  </prop:property>
  <prop:property name="BrojStranica" pid="5" fmtid="{D5CDD505-2E9C-101B-9397-08002B2CF9AE}">
    <vt:i4>4</vt:i4>
  </prop:property>
</prop:Properties>
</file>