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cc05" w14:paraId="c84cc0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85A6A" w:rsidR="00185A6A" w:rsidRPr="00185A6A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5A6A" w:rsidRPr="00185A6A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85A6A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185A6A">
        <w:rPr>
          <w:rFonts w:cs="Times New Roman" w:eastAsia="Times New Roman"/>
          <w:lang w:eastAsia="hr-HR" w:val="en-AU"/>
        </w:rPr>
        <w:t xml:space="preserve">            </w:t>
      </w:r>
      <w:r w:rsidRPr="00185A6A">
        <w:rPr>
          <w:rFonts w:cs="Times New Roman" w:eastAsia="Times New Roman"/>
          <w:lang w:eastAsia="hr-HR" w:val="en-AU"/>
        </w:rPr>
        <w:tab/>
      </w:r>
      <w:r w:rsidRPr="00185A6A">
        <w:rPr>
          <w:rFonts w:cs="Times New Roman" w:eastAsia="Times New Roman"/>
          <w:lang w:eastAsia="hr-HR" w:val="en-AU"/>
        </w:rPr>
        <w:tab/>
      </w:r>
      <w:r w:rsidRPr="00185A6A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185A6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85A6A">
        <w:rPr>
          <w:rFonts w:cs="Times New Roman" w:eastAsia="Times New Roman"/>
          <w:b/>
          <w:lang w:eastAsia="hr-HR" w:val="en-AU"/>
        </w:rPr>
        <w:t xml:space="preserve">: 14. </w:t>
      </w:r>
      <w:r w:rsidRPr="00185A6A">
        <w:rPr>
          <w:rFonts w:cs="Times New Roman" w:eastAsia="Times New Roman"/>
          <w:b/>
          <w:lang w:eastAsia="hr-HR"/>
        </w:rPr>
        <w:t>St-96/2017.</w:t>
      </w:r>
    </w:p>
    <w:p w:rsidRDefault="00185A6A" w:rsidP="00185A6A" w:rsidR="00185A6A" w:rsidRPr="00185A6A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185A6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85A6A">
        <w:rPr>
          <w:rFonts w:cs="Times New Roman" w:eastAsia="Times New Roman"/>
          <w:b/>
          <w:szCs w:val="20"/>
          <w:lang w:eastAsia="hr-HR"/>
        </w:rPr>
        <w:t xml:space="preserve"> 6. - 21 000  S P L I T</w:t>
      </w:r>
    </w:p>
    <w:p w:rsidRDefault="00185A6A" w:rsidP="00185A6A" w:rsidR="00185A6A" w:rsidRPr="00185A6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5A6A" w:rsidP="00185A6A" w:rsidR="00185A6A" w:rsidRPr="00185A6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5A6A" w:rsidP="00185A6A" w:rsidR="00185A6A" w:rsidRPr="00185A6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185A6A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185A6A" w:rsidP="00185A6A" w:rsidR="00185A6A" w:rsidRPr="00185A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5A6A" w:rsidP="00185A6A" w:rsidR="00185A6A" w:rsidRPr="00185A6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85A6A">
        <w:rPr>
          <w:rFonts w:cs="Times New Roman" w:eastAsia="Times New Roman"/>
          <w:b/>
          <w:lang w:eastAsia="hr-HR"/>
        </w:rPr>
        <w:t>Z A K L J U Č A K</w:t>
      </w:r>
    </w:p>
    <w:p w:rsidRDefault="00185A6A" w:rsidP="00185A6A" w:rsidR="00185A6A" w:rsidRPr="00185A6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5A6A" w:rsidP="00185A6A" w:rsidR="00185A6A" w:rsidRPr="00185A6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 w:val="en-US"/>
        </w:rPr>
      </w:pPr>
      <w:r w:rsidRPr="00185A6A">
        <w:rPr>
          <w:rFonts w:cs="Times New Roman" w:eastAsia="Times New Roman"/>
          <w:lang w:eastAsia="hr-HR" w:val="en-US"/>
        </w:rPr>
        <w:tab/>
      </w:r>
      <w:proofErr w:type="spellStart"/>
      <w:r w:rsidRPr="00185A6A">
        <w:rPr>
          <w:rFonts w:cs="Times New Roman" w:eastAsia="Times New Roman"/>
          <w:lang w:eastAsia="hr-HR" w:val="en-US"/>
        </w:rPr>
        <w:t>Trgovački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5A6A">
        <w:rPr>
          <w:rFonts w:cs="Times New Roman" w:eastAsia="Times New Roman"/>
          <w:lang w:eastAsia="hr-HR" w:val="en-US"/>
        </w:rPr>
        <w:t>sud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85A6A">
        <w:rPr>
          <w:rFonts w:cs="Times New Roman" w:eastAsia="Times New Roman"/>
          <w:lang w:eastAsia="hr-HR" w:val="en-US"/>
        </w:rPr>
        <w:t>Splitu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85A6A">
        <w:rPr>
          <w:rFonts w:cs="Times New Roman" w:eastAsia="Times New Roman"/>
          <w:lang w:eastAsia="hr-HR" w:val="en-US"/>
        </w:rPr>
        <w:t>po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5A6A">
        <w:rPr>
          <w:rFonts w:cs="Times New Roman" w:eastAsia="Times New Roman"/>
          <w:lang w:eastAsia="hr-HR" w:val="en-US"/>
        </w:rPr>
        <w:t>sudcu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5A6A">
        <w:rPr>
          <w:rFonts w:cs="Times New Roman" w:eastAsia="Times New Roman"/>
          <w:lang w:eastAsia="hr-HR" w:val="en-US"/>
        </w:rPr>
        <w:t>Jozi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5A6A">
        <w:rPr>
          <w:rFonts w:cs="Times New Roman" w:eastAsia="Times New Roman"/>
          <w:lang w:eastAsia="hr-HR" w:val="en-US"/>
        </w:rPr>
        <w:t>Ćaleti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85A6A">
        <w:rPr>
          <w:rFonts w:cs="Times New Roman" w:eastAsia="Times New Roman"/>
          <w:lang w:eastAsia="hr-HR" w:val="en-US"/>
        </w:rPr>
        <w:t>predstečajnom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5A6A">
        <w:rPr>
          <w:rFonts w:cs="Times New Roman" w:eastAsia="Times New Roman"/>
          <w:lang w:eastAsia="hr-HR" w:val="en-US"/>
        </w:rPr>
        <w:t>postupku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5A6A">
        <w:rPr>
          <w:rFonts w:cs="Times New Roman" w:eastAsia="Times New Roman"/>
          <w:lang w:eastAsia="hr-HR" w:val="en-US"/>
        </w:rPr>
        <w:t>nad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5A6A">
        <w:rPr>
          <w:rFonts w:cs="Times New Roman" w:eastAsia="Times New Roman"/>
          <w:lang w:eastAsia="hr-HR" w:val="en-US"/>
        </w:rPr>
        <w:t>Dužnikom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: KAPPA HRVATSKA, </w:t>
      </w:r>
      <w:proofErr w:type="spellStart"/>
      <w:r w:rsidRPr="00185A6A">
        <w:rPr>
          <w:rFonts w:cs="Times New Roman" w:eastAsia="Times New Roman"/>
          <w:lang w:eastAsia="hr-HR" w:val="en-US"/>
        </w:rPr>
        <w:t>d.o.o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185A6A">
        <w:rPr>
          <w:rFonts w:cs="Times New Roman" w:eastAsia="Times New Roman"/>
          <w:lang w:eastAsia="hr-HR" w:val="en-US"/>
        </w:rPr>
        <w:t>Imotski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185A6A">
        <w:rPr>
          <w:rFonts w:cs="Times New Roman" w:eastAsia="Times New Roman"/>
          <w:lang w:eastAsia="hr-HR" w:val="en-US"/>
        </w:rPr>
        <w:t>Imotski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), Fra </w:t>
      </w:r>
      <w:proofErr w:type="spellStart"/>
      <w:r w:rsidRPr="00185A6A">
        <w:rPr>
          <w:rFonts w:cs="Times New Roman" w:eastAsia="Times New Roman"/>
          <w:lang w:eastAsia="hr-HR" w:val="en-US"/>
        </w:rPr>
        <w:t>Rajmonda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5A6A">
        <w:rPr>
          <w:rFonts w:cs="Times New Roman" w:eastAsia="Times New Roman"/>
          <w:lang w:eastAsia="hr-HR" w:val="en-US"/>
        </w:rPr>
        <w:t>Rudeža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1, OIB: 95243098448, dana 13. </w:t>
      </w:r>
      <w:proofErr w:type="spellStart"/>
      <w:r w:rsidRPr="00185A6A">
        <w:rPr>
          <w:rFonts w:cs="Times New Roman" w:eastAsia="Times New Roman"/>
          <w:lang w:eastAsia="hr-HR" w:val="en-US"/>
        </w:rPr>
        <w:t>ožujka</w:t>
      </w:r>
      <w:proofErr w:type="spellEnd"/>
      <w:r w:rsidRPr="00185A6A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185A6A">
        <w:rPr>
          <w:rFonts w:cs="Times New Roman" w:eastAsia="Times New Roman"/>
          <w:lang w:eastAsia="hr-HR" w:val="en-US"/>
        </w:rPr>
        <w:t>izvanraspravno</w:t>
      </w:r>
      <w:proofErr w:type="spellEnd"/>
      <w:r w:rsidRPr="00185A6A">
        <w:rPr>
          <w:rFonts w:cs="Times New Roman" w:eastAsia="Times New Roman"/>
          <w:lang w:eastAsia="hr-HR" w:val="en-US"/>
        </w:rPr>
        <w:t>,</w:t>
      </w:r>
    </w:p>
    <w:p w:rsidRDefault="00185A6A" w:rsidP="00185A6A" w:rsidR="00185A6A" w:rsidRPr="00185A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5A6A" w:rsidP="00185A6A" w:rsidR="00185A6A" w:rsidRPr="00185A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5A6A" w:rsidP="00185A6A" w:rsidR="00185A6A" w:rsidRPr="00185A6A">
      <w:pPr>
        <w:spacing w:after="0"/>
        <w:jc w:val="center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lang w:eastAsia="hr-HR"/>
        </w:rPr>
        <w:t>z a k l j u č i o    j e</w:t>
      </w:r>
    </w:p>
    <w:p w:rsidRDefault="00185A6A" w:rsidP="00185A6A" w:rsidR="00185A6A" w:rsidRPr="00185A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lang w:eastAsia="hr-HR"/>
        </w:rPr>
        <w:tab/>
        <w:t xml:space="preserve">U </w:t>
      </w:r>
      <w:proofErr w:type="spellStart"/>
      <w:r w:rsidRPr="00185A6A">
        <w:rPr>
          <w:rFonts w:cs="Times New Roman" w:eastAsia="Times New Roman"/>
          <w:lang w:eastAsia="hr-HR"/>
        </w:rPr>
        <w:t>predstečajnom</w:t>
      </w:r>
      <w:proofErr w:type="spellEnd"/>
      <w:r w:rsidRPr="00185A6A">
        <w:rPr>
          <w:rFonts w:cs="Times New Roman" w:eastAsia="Times New Roman"/>
          <w:lang w:eastAsia="hr-HR"/>
        </w:rPr>
        <w:t xml:space="preserve"> postupku nad Dužnikom: KAPPA HRVATSKA, d.o.o., Imotski (Grad Imotski), Fra </w:t>
      </w:r>
      <w:proofErr w:type="spellStart"/>
      <w:r w:rsidRPr="00185A6A">
        <w:rPr>
          <w:rFonts w:cs="Times New Roman" w:eastAsia="Times New Roman"/>
          <w:lang w:eastAsia="hr-HR"/>
        </w:rPr>
        <w:t>Rajmonda</w:t>
      </w:r>
      <w:proofErr w:type="spellEnd"/>
      <w:r w:rsidRPr="00185A6A">
        <w:rPr>
          <w:rFonts w:cs="Times New Roman" w:eastAsia="Times New Roman"/>
          <w:lang w:eastAsia="hr-HR"/>
        </w:rPr>
        <w:t xml:space="preserve"> </w:t>
      </w:r>
      <w:proofErr w:type="spellStart"/>
      <w:r w:rsidRPr="00185A6A">
        <w:rPr>
          <w:rFonts w:cs="Times New Roman" w:eastAsia="Times New Roman"/>
          <w:lang w:eastAsia="hr-HR"/>
        </w:rPr>
        <w:t>Rudeža</w:t>
      </w:r>
      <w:proofErr w:type="spellEnd"/>
      <w:r w:rsidRPr="00185A6A">
        <w:rPr>
          <w:rFonts w:cs="Times New Roman" w:eastAsia="Times New Roman"/>
          <w:lang w:eastAsia="hr-HR"/>
        </w:rPr>
        <w:t xml:space="preserve"> 1, OIB: 95243098448, (dalje: Dužnik) Sud izvješćuje Dužnika, povjerenika i sve druge zainteresirane osobe, kako je 10. ožujka 2017. godine u Sudu fizički zaprimljena žalba, izjavljena od PRVI FAKTOR d.o.o., u likvidaciji, Zagreb, </w:t>
      </w:r>
      <w:proofErr w:type="spellStart"/>
      <w:r w:rsidRPr="00185A6A">
        <w:rPr>
          <w:rFonts w:cs="Times New Roman" w:eastAsia="Times New Roman"/>
          <w:lang w:eastAsia="hr-HR"/>
        </w:rPr>
        <w:t>Hektorovićeva</w:t>
      </w:r>
      <w:proofErr w:type="spellEnd"/>
      <w:r w:rsidRPr="00185A6A">
        <w:rPr>
          <w:rFonts w:cs="Times New Roman" w:eastAsia="Times New Roman"/>
          <w:lang w:eastAsia="hr-HR"/>
        </w:rPr>
        <w:t xml:space="preserve"> 2, OIB: 63278028623, kojega kao punomoćnik zastupa Martina </w:t>
      </w:r>
      <w:proofErr w:type="spellStart"/>
      <w:r w:rsidRPr="00185A6A">
        <w:rPr>
          <w:rFonts w:cs="Times New Roman" w:eastAsia="Times New Roman"/>
          <w:lang w:eastAsia="hr-HR"/>
        </w:rPr>
        <w:t>Pancer</w:t>
      </w:r>
      <w:proofErr w:type="spellEnd"/>
      <w:r w:rsidRPr="00185A6A">
        <w:rPr>
          <w:rFonts w:cs="Times New Roman" w:eastAsia="Times New Roman"/>
          <w:lang w:eastAsia="hr-HR"/>
        </w:rPr>
        <w:t xml:space="preserve">, odvjetnica iz Zagreba a protiv Rješenja o otvaranju </w:t>
      </w:r>
      <w:proofErr w:type="spellStart"/>
      <w:r w:rsidRPr="00185A6A">
        <w:rPr>
          <w:rFonts w:cs="Times New Roman" w:eastAsia="Times New Roman"/>
          <w:lang w:eastAsia="hr-HR"/>
        </w:rPr>
        <w:t>predstečajnog</w:t>
      </w:r>
      <w:proofErr w:type="spellEnd"/>
      <w:r w:rsidRPr="00185A6A">
        <w:rPr>
          <w:rFonts w:cs="Times New Roman" w:eastAsia="Times New Roman"/>
          <w:lang w:eastAsia="hr-HR"/>
        </w:rPr>
        <w:t xml:space="preserve"> postupka ovog Suda od 21. veljače 2017. godine. Uz ovaj Zaključak se ista žalba objavljuje na mrežnoj stranici e-Oglasna ploča sudova. </w:t>
      </w: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lang w:eastAsia="hr-HR"/>
        </w:rPr>
        <w:tab/>
        <w:t>Objava žalbe na mrežnoj stranici e-Oglasna ploča sudova smatra se kako je ista dostavljena Dužniku, povjereniku i svim zainteresiranim osobama.</w:t>
      </w:r>
    </w:p>
    <w:p w:rsidRDefault="00185A6A" w:rsidP="00185A6A" w:rsidR="00185A6A" w:rsidRPr="00185A6A">
      <w:pPr>
        <w:spacing w:after="0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lang w:eastAsia="hr-HR"/>
        </w:rPr>
        <w:t xml:space="preserve">                                                    Split, 13. ožujka 2017. godine</w:t>
      </w:r>
    </w:p>
    <w:p w:rsidRDefault="00185A6A" w:rsidP="00185A6A" w:rsidR="00185A6A" w:rsidRPr="00185A6A">
      <w:pPr>
        <w:spacing w:after="0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u w:val="single"/>
          <w:lang w:eastAsia="hr-HR"/>
        </w:rPr>
        <w:t>Pravna pouka:</w:t>
      </w:r>
      <w:r w:rsidRPr="00185A6A">
        <w:rPr>
          <w:rFonts w:cs="Times New Roman" w:eastAsia="Times New Roman"/>
          <w:lang w:eastAsia="hr-HR"/>
        </w:rPr>
        <w:t xml:space="preserve"> Protiv ovog Zaključka nije dopušten pravni lijek (čl. 19., st. 7., SZ). </w:t>
      </w: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5A6A">
        <w:rPr>
          <w:rFonts w:cs="Times New Roman" w:eastAsia="Times New Roman"/>
          <w:u w:val="single"/>
          <w:lang w:eastAsia="hr-HR"/>
        </w:rPr>
        <w:t>DNA:</w:t>
      </w:r>
      <w:r w:rsidRPr="00185A6A">
        <w:rPr>
          <w:rFonts w:cs="Times New Roman" w:eastAsia="Times New Roman"/>
          <w:lang w:eastAsia="hr-HR"/>
        </w:rPr>
        <w:t xml:space="preserve">  1. </w:t>
      </w:r>
      <w:r w:rsidRPr="00185A6A">
        <w:rPr>
          <w:rFonts w:cs="Times New Roman" w:eastAsia="Times New Roman"/>
          <w:bCs/>
          <w:lang w:eastAsia="hr-HR"/>
        </w:rPr>
        <w:t>e-Oglasna ploča Suda – rok 30, dana</w:t>
      </w: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lang w:eastAsia="hr-HR"/>
        </w:rPr>
        <w:t xml:space="preserve">            2.  Spis.</w:t>
      </w: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lang w:eastAsia="hr-HR"/>
        </w:rPr>
        <w:t>Split, 13. ožujka 2017.  godine                                                                   S U D A C:</w:t>
      </w: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  <w:r w:rsidRPr="00185A6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Jozo Ćaleta</w:t>
      </w: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5A6A" w:rsidP="00185A6A" w:rsidR="00185A6A" w:rsidRPr="00185A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A6A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2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St-96/2017-19</izvorni_sadrzaj>
    <derivirana_varijabla naziv="DomainObject.Oznaka_1">St-96/2017-19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St-96/2017-19</izvorni_sadrzaj>
    <derivirana_varijabla naziv="DomainObject.PoslovniBrojDokumenta_1">St-96/2017-19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1E05D-AE32-475F-9F06-6AC1C9E65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1158</properties:Characters>
  <properties:Lines>51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2017-03-13T09:45:00Z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St-96/2017-19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