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72ad" w14:paraId="d4872ad" w:rsidRDefault="00AE649C" w:rsidP="00FA5B5E" w:rsidR="00AE649C" w:rsidRPr="00B76F3C">
      <w:pPr>
        <w:pStyle w:val="Naslov3"/>
        <w15:collapsed w:val="false"/>
      </w:pPr>
    </w:p>
    <w:p w:rsidRDefault="00A7399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7399C" w:rsidP="00A7399C" w:rsidR="00A7399C" w:rsidRPr="00A7399C">
      <w:pPr>
        <w:spacing w:after="0"/>
        <w:ind w:left="5664"/>
        <w:jc w:val="center"/>
        <w:rPr>
          <w:rFonts w:cs="Times New Roman" w:eastAsia="Times New Roman"/>
          <w:lang w:eastAsia="hr-HR"/>
        </w:rPr>
      </w:pPr>
      <w:r w:rsidRPr="00A7399C">
        <w:rPr>
          <w:rFonts w:cs="Times New Roman" w:eastAsia="Times New Roman"/>
          <w:lang w:eastAsia="hr-HR"/>
        </w:rPr>
        <w:t>Poslovni broj 3. Stpn-17/2016-11</w:t>
      </w:r>
    </w:p>
    <w:p w:rsidRDefault="00A7399C" w:rsidP="00A7399C" w:rsidR="00A7399C" w:rsidRPr="00A7399C">
      <w:pPr>
        <w:spacing w:after="0"/>
        <w:rPr>
          <w:rFonts w:cs="Times New Roman" w:eastAsia="Times New Roman"/>
          <w:lang w:eastAsia="hr-HR"/>
        </w:rPr>
      </w:pPr>
    </w:p>
    <w:p w:rsidRDefault="00A7399C" w:rsidP="00A7399C" w:rsidR="00A7399C" w:rsidRPr="00A7399C">
      <w:pPr>
        <w:spacing w:after="0"/>
        <w:rPr>
          <w:rFonts w:cs="Times New Roman" w:eastAsia="Times New Roman"/>
          <w:lang w:eastAsia="hr-HR"/>
        </w:rPr>
      </w:pPr>
    </w:p>
    <w:p w:rsidRDefault="00A7399C" w:rsidP="00A7399C" w:rsidR="00A7399C" w:rsidRPr="00A7399C">
      <w:pPr>
        <w:spacing w:after="0"/>
        <w:ind w:firstLine="708"/>
        <w:rPr>
          <w:rFonts w:cs="Times New Roman" w:eastAsia="Times New Roman"/>
          <w:lang w:eastAsia="hr-HR"/>
        </w:rPr>
      </w:pPr>
      <w:r w:rsidRPr="00A7399C">
        <w:rPr>
          <w:rFonts w:cs="Times New Roman" w:eastAsia="Times New Roman"/>
          <w:lang w:eastAsia="hr-HR"/>
        </w:rPr>
        <w:t>REPUBLIKA HRVATSKA</w:t>
      </w:r>
    </w:p>
    <w:p w:rsidRDefault="00A7399C" w:rsidP="00A7399C" w:rsidR="00A7399C" w:rsidRPr="00A7399C">
      <w:pPr>
        <w:spacing w:after="0"/>
        <w:ind w:firstLine="708"/>
        <w:rPr>
          <w:rFonts w:cs="Times New Roman" w:eastAsia="Times New Roman"/>
          <w:lang w:eastAsia="hr-HR"/>
        </w:rPr>
      </w:pPr>
      <w:r w:rsidRPr="00A7399C">
        <w:rPr>
          <w:rFonts w:cs="Times New Roman" w:eastAsia="Times New Roman"/>
          <w:lang w:eastAsia="hr-HR"/>
        </w:rPr>
        <w:t>TRGOVAČKI SUD U ZADRU</w:t>
      </w:r>
    </w:p>
    <w:p w:rsidRDefault="00A7399C" w:rsidP="00A7399C" w:rsidR="00A7399C" w:rsidRPr="00A7399C">
      <w:pPr>
        <w:spacing w:after="0"/>
        <w:ind w:firstLine="708"/>
        <w:rPr>
          <w:rFonts w:cs="Times New Roman" w:eastAsia="Times New Roman"/>
          <w:lang w:eastAsia="hr-HR"/>
        </w:rPr>
      </w:pPr>
      <w:r w:rsidRPr="00A7399C">
        <w:rPr>
          <w:rFonts w:cs="Times New Roman" w:eastAsia="Times New Roman"/>
          <w:lang w:eastAsia="hr-HR"/>
        </w:rPr>
        <w:t>Zadar, Dr. Franje Tuđmana 35</w:t>
      </w:r>
      <w:r w:rsidRPr="00A7399C">
        <w:rPr>
          <w:rFonts w:cs="Times New Roman" w:eastAsia="Times New Roman"/>
          <w:lang w:eastAsia="hr-HR"/>
        </w:rPr>
        <w:tab/>
      </w:r>
      <w:r w:rsidRPr="00A7399C">
        <w:rPr>
          <w:rFonts w:cs="Times New Roman" w:eastAsia="Times New Roman"/>
          <w:lang w:eastAsia="hr-HR"/>
        </w:rPr>
        <w:tab/>
      </w:r>
      <w:r w:rsidRPr="00A7399C">
        <w:rPr>
          <w:rFonts w:cs="Times New Roman" w:eastAsia="Times New Roman"/>
          <w:lang w:eastAsia="hr-HR"/>
        </w:rPr>
        <w:tab/>
      </w:r>
      <w:r w:rsidRPr="00A7399C">
        <w:rPr>
          <w:rFonts w:cs="Times New Roman" w:eastAsia="Times New Roman"/>
          <w:lang w:eastAsia="hr-HR"/>
        </w:rPr>
        <w:tab/>
      </w:r>
      <w:r w:rsidRPr="00A7399C">
        <w:rPr>
          <w:rFonts w:cs="Times New Roman" w:eastAsia="Times New Roman"/>
          <w:lang w:eastAsia="hr-HR"/>
        </w:rPr>
        <w:tab/>
      </w:r>
      <w:r w:rsidRPr="00A7399C">
        <w:rPr>
          <w:rFonts w:cs="Times New Roman" w:eastAsia="Times New Roman"/>
          <w:lang w:eastAsia="hr-HR"/>
        </w:rPr>
        <w:tab/>
      </w:r>
    </w:p>
    <w:p w:rsidRDefault="00A7399C" w:rsidP="00A7399C" w:rsidR="00A7399C" w:rsidRPr="00A7399C">
      <w:pPr>
        <w:spacing w:after="0"/>
        <w:rPr>
          <w:rFonts w:cs="Times New Roman" w:eastAsia="Times New Roman"/>
          <w:lang w:eastAsia="hr-HR"/>
        </w:rPr>
      </w:pPr>
    </w:p>
    <w:p w:rsidRDefault="00A7399C" w:rsidP="00A7399C" w:rsidR="00A7399C" w:rsidRPr="00A7399C">
      <w:pPr>
        <w:spacing w:after="0"/>
        <w:rPr>
          <w:rFonts w:cs="Times New Roman" w:eastAsia="Times New Roman"/>
          <w:lang w:eastAsia="hr-HR"/>
        </w:rPr>
      </w:pPr>
    </w:p>
    <w:p w:rsidRDefault="00A7399C" w:rsidP="00A7399C" w:rsidR="00A7399C" w:rsidRPr="00A7399C">
      <w:pPr>
        <w:spacing w:after="0"/>
        <w:jc w:val="center"/>
        <w:rPr>
          <w:rFonts w:cs="Times New Roman" w:eastAsia="Times New Roman"/>
          <w:lang w:eastAsia="hr-HR"/>
        </w:rPr>
      </w:pPr>
      <w:r w:rsidRPr="00A7399C">
        <w:rPr>
          <w:rFonts w:cs="Times New Roman" w:eastAsia="Times New Roman"/>
          <w:lang w:eastAsia="hr-HR"/>
        </w:rPr>
        <w:t>U  I M E  R E P U B L I K E  H R V A T S K E</w:t>
      </w:r>
    </w:p>
    <w:p w:rsidRDefault="00A7399C" w:rsidP="00A7399C" w:rsidR="00A7399C" w:rsidRPr="00A7399C">
      <w:pPr>
        <w:spacing w:after="0"/>
        <w:jc w:val="center"/>
        <w:rPr>
          <w:rFonts w:cs="Times New Roman" w:eastAsia="Times New Roman"/>
          <w:lang w:eastAsia="hr-HR"/>
        </w:rPr>
      </w:pPr>
    </w:p>
    <w:p w:rsidRDefault="00A7399C" w:rsidP="00A7399C" w:rsidR="00A7399C" w:rsidRPr="00A7399C">
      <w:pPr>
        <w:spacing w:after="0"/>
        <w:jc w:val="center"/>
        <w:rPr>
          <w:rFonts w:cs="Times New Roman" w:eastAsia="Times New Roman"/>
          <w:lang w:eastAsia="hr-HR"/>
        </w:rPr>
      </w:pPr>
      <w:r w:rsidRPr="00A7399C">
        <w:rPr>
          <w:rFonts w:cs="Times New Roman" w:eastAsia="Times New Roman"/>
          <w:lang w:eastAsia="hr-HR"/>
        </w:rPr>
        <w:t>R J E Š E N J E</w:t>
      </w:r>
    </w:p>
    <w:p w:rsidRDefault="00A7399C" w:rsidP="00A7399C" w:rsidR="00A7399C" w:rsidRPr="00A7399C">
      <w:pPr>
        <w:spacing w:after="0"/>
        <w:rPr>
          <w:rFonts w:cs="Times New Roman" w:eastAsia="Times New Roman"/>
          <w:lang w:eastAsia="hr-HR"/>
        </w:rPr>
      </w:pPr>
    </w:p>
    <w:p w:rsidRDefault="00A7399C" w:rsidP="00A7399C" w:rsidR="00A7399C" w:rsidRPr="00A7399C">
      <w:pPr>
        <w:spacing w:after="0"/>
        <w:jc w:val="both"/>
        <w:rPr>
          <w:rFonts w:cs="Times New Roman" w:eastAsia="Times New Roman"/>
          <w:lang w:eastAsia="hr-HR"/>
        </w:rPr>
      </w:pPr>
      <w:r w:rsidRPr="00A7399C">
        <w:rPr>
          <w:rFonts w:cs="Times New Roman" w:eastAsia="Times New Roman"/>
          <w:lang w:eastAsia="hr-HR"/>
        </w:rPr>
        <w:tab/>
        <w:t>Trgovački sud u Zadru, OIB: 39670464653, po sutkinji Tini Grgas, povodom prijedloga dužnika PINK GROUP j.d.o.o. sa sjedištem u Zadru, Ivana Lucića 18c, OIB: 67663721766, zastupanog po direktoru Franku Paviću iz Sukošana od 8. lipnja 2016. za sklapanje predstečajne nagodbe,</w:t>
      </w:r>
      <w:r w:rsidRPr="00A7399C">
        <w:rPr>
          <w:rFonts w:cs="Times New Roman" w:eastAsia="Times New Roman"/>
          <w:bCs/>
          <w:lang w:eastAsia="hr-HR"/>
        </w:rPr>
        <w:t xml:space="preserve"> na ročištu od 12. srpnja 2016. </w:t>
      </w:r>
    </w:p>
    <w:p w:rsidRDefault="00A7399C" w:rsidP="00A7399C" w:rsidR="00A7399C" w:rsidRPr="00A7399C">
      <w:pPr>
        <w:spacing w:after="0"/>
        <w:jc w:val="both"/>
        <w:rPr>
          <w:rFonts w:cs="Times New Roman" w:eastAsia="Times New Roman"/>
          <w:lang w:eastAsia="hr-HR"/>
        </w:rPr>
      </w:pPr>
    </w:p>
    <w:p w:rsidRDefault="00A7399C" w:rsidP="00A7399C" w:rsidR="00A7399C" w:rsidRPr="00A7399C">
      <w:pPr>
        <w:spacing w:after="0"/>
        <w:jc w:val="center"/>
        <w:rPr>
          <w:rFonts w:cs="Times New Roman" w:eastAsia="Times New Roman"/>
          <w:lang w:eastAsia="hr-HR"/>
        </w:rPr>
      </w:pPr>
      <w:r w:rsidRPr="00A7399C">
        <w:rPr>
          <w:rFonts w:cs="Times New Roman" w:eastAsia="Times New Roman"/>
          <w:lang w:eastAsia="hr-HR"/>
        </w:rPr>
        <w:t>r i j e š i o   j e</w:t>
      </w:r>
    </w:p>
    <w:p w:rsidRDefault="00A7399C" w:rsidP="00A7399C" w:rsidR="00A7399C" w:rsidRPr="00A7399C">
      <w:pPr>
        <w:spacing w:after="0"/>
        <w:jc w:val="center"/>
        <w:rPr>
          <w:rFonts w:cs="Times New Roman" w:eastAsia="Times New Roman"/>
          <w:b/>
          <w:lang w:eastAsia="hr-HR"/>
        </w:rPr>
      </w:pPr>
    </w:p>
    <w:p w:rsidRDefault="00A7399C" w:rsidP="00A7399C" w:rsidR="00A7399C" w:rsidRPr="00A7399C">
      <w:pPr>
        <w:spacing w:after="0"/>
        <w:ind w:firstLine="708"/>
        <w:jc w:val="both"/>
        <w:rPr>
          <w:rFonts w:cs="Times New Roman" w:eastAsia="Times New Roman"/>
          <w:lang w:eastAsia="hr-HR"/>
        </w:rPr>
      </w:pPr>
      <w:r w:rsidRPr="00A7399C">
        <w:rPr>
          <w:rFonts w:cs="Times New Roman" w:eastAsia="Times New Roman"/>
          <w:lang w:eastAsia="hr-HR"/>
        </w:rPr>
        <w:t>Odobrava se sklapanje predstečajne nagodbe koja glasi: "</w:t>
      </w:r>
    </w:p>
    <w:p w:rsidRDefault="00A7399C" w:rsidP="00A7399C" w:rsidR="00A7399C" w:rsidRPr="00A7399C">
      <w:pPr>
        <w:spacing w:after="0"/>
        <w:ind w:firstLine="708"/>
        <w:jc w:val="both"/>
        <w:rPr>
          <w:rFonts w:cs="Times New Roman" w:eastAsia="Times New Roman"/>
          <w:lang w:eastAsia="hr-HR"/>
        </w:rPr>
      </w:pPr>
    </w:p>
    <w:p w:rsidRDefault="00A7399C" w:rsidP="00A7399C" w:rsidR="00A7399C" w:rsidRPr="00A7399C">
      <w:pPr>
        <w:widowControl w:val="false"/>
        <w:suppressAutoHyphens/>
        <w:spacing w:after="140"/>
        <w:ind w:firstLine="708"/>
        <w:jc w:val="both"/>
        <w:rPr>
          <w:rFonts w:cs="Times New Roman" w:eastAsia="SimSun"/>
          <w:kern w:val="2"/>
          <w:lang w:bidi="hi-IN" w:eastAsia="zh-CN"/>
        </w:rPr>
      </w:pPr>
      <w:r w:rsidRPr="00A7399C">
        <w:rPr>
          <w:rFonts w:cs="Times New Roman" w:eastAsia="SimSun"/>
          <w:kern w:val="2"/>
          <w:lang w:bidi="hi-IN" w:eastAsia="zh-CN"/>
        </w:rPr>
        <w:t xml:space="preserve">Sukladno čl. 46.a Zakona o financijskom poslovanju i predstečajnoj nagodbi („Narodne novine“, br.108/12, 144/12, 81/13 i 112/13), </w:t>
      </w:r>
      <w:r w:rsidRPr="00A7399C">
        <w:rPr>
          <w:rFonts w:cs="Times New Roman" w:eastAsia="Calibri"/>
          <w:lang w:eastAsia="hr-HR"/>
        </w:rPr>
        <w:t>dužnik PINK GROUP j.d.o.o., za radijsku i televizijsku djelatnost i marketing, OIB: 67663721766, Ivana Lucića 18c, Zadar, (u nastavku: Dužnik)</w:t>
      </w:r>
      <w:r w:rsidRPr="00A7399C">
        <w:rPr>
          <w:rFonts w:cs="Times New Roman" w:eastAsia="SimSun"/>
          <w:kern w:val="2"/>
          <w:lang w:bidi="hi-IN" w:eastAsia="zh-CN"/>
        </w:rPr>
        <w:t xml:space="preserve"> </w:t>
      </w:r>
    </w:p>
    <w:p w:rsidRDefault="00A7399C" w:rsidP="00A7399C" w:rsidR="00A7399C" w:rsidRPr="00A7399C">
      <w:pPr>
        <w:widowControl w:val="false"/>
        <w:suppressAutoHyphens/>
        <w:spacing w:after="140"/>
        <w:jc w:val="center"/>
        <w:rPr>
          <w:rFonts w:cs="Times New Roman" w:eastAsia="SimSun"/>
          <w:kern w:val="2"/>
          <w:lang w:bidi="hi-IN" w:eastAsia="zh-CN"/>
        </w:rPr>
      </w:pPr>
      <w:r w:rsidRPr="00A7399C">
        <w:rPr>
          <w:rFonts w:cs="Times New Roman" w:eastAsia="Calibri"/>
          <w:lang w:eastAsia="hr-HR"/>
        </w:rPr>
        <w:t>i</w:t>
      </w:r>
    </w:p>
    <w:p w:rsidRDefault="00A7399C" w:rsidP="00A7399C" w:rsidR="00A7399C" w:rsidRPr="00A7399C">
      <w:pPr>
        <w:widowControl w:val="false"/>
        <w:suppressAutoHyphens/>
        <w:spacing w:after="140"/>
        <w:jc w:val="both"/>
        <w:rPr>
          <w:rFonts w:cs="Times New Roman" w:eastAsia="Calibri"/>
          <w:lang w:eastAsia="hr-HR"/>
        </w:rPr>
      </w:pPr>
      <w:r w:rsidRPr="00A7399C">
        <w:rPr>
          <w:rFonts w:cs="Times New Roman" w:eastAsia="Calibri"/>
          <w:lang w:eastAsia="hr-HR"/>
        </w:rPr>
        <w:t>vjerovnici predstečajne nagodbe (u nastavku skupno: vjerovnici predstečajne nagodbe), kako su poimence navedeni:</w:t>
      </w:r>
    </w:p>
    <w:p w:rsidRDefault="00A7399C" w:rsidP="00A7399C" w:rsidR="00A7399C" w:rsidRPr="00A7399C">
      <w:pPr>
        <w:tabs>
          <w:tab w:pos="6804" w:val="center"/>
        </w:tabs>
        <w:spacing w:after="0"/>
        <w:rPr>
          <w:rFonts w:cs="Times New Roman" w:eastAsia="Calibri"/>
          <w:lang w:eastAsia="hr-HR"/>
        </w:rPr>
      </w:pPr>
    </w:p>
    <w:tbl>
      <w:tblPr>
        <w:tblW w:type="dxa" w:w="9513"/>
        <w:tblInd w:type="dxa" w:w="93"/>
        <w:tblLook w:val="04A0" w:noVBand="1" w:noHBand="0" w:lastColumn="0" w:firstColumn="1" w:lastRow="0" w:firstRow="1"/>
      </w:tblPr>
      <w:tblGrid>
        <w:gridCol w:w="724"/>
        <w:gridCol w:w="2268"/>
        <w:gridCol w:w="2693"/>
        <w:gridCol w:w="1560"/>
        <w:gridCol w:w="1417"/>
        <w:gridCol w:w="1116"/>
      </w:tblGrid>
      <w:tr w:rsidTr="00A7399C" w:rsidR="00A7399C" w:rsidRPr="00A7399C">
        <w:trPr>
          <w:trHeight w:val="1230"/>
        </w:trPr>
        <w:tc>
          <w:tcPr>
            <w:tcW w:type="dxa" w:w="724"/>
            <w:tcBorders>
              <w:top w:space="0" w:sz="4" w:color="auto" w:val="single"/>
              <w:left w:space="0" w:sz="4" w:color="auto" w:val="single"/>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R.br.</w:t>
            </w:r>
          </w:p>
        </w:tc>
        <w:tc>
          <w:tcPr>
            <w:tcW w:type="dxa" w:w="2268"/>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Vjerovnik:</w:t>
            </w:r>
          </w:p>
        </w:tc>
        <w:tc>
          <w:tcPr>
            <w:tcW w:type="dxa" w:w="2693"/>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Sjedište vjerovnika:</w:t>
            </w:r>
          </w:p>
        </w:tc>
        <w:tc>
          <w:tcPr>
            <w:tcW w:type="dxa" w:w="1560"/>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OIB:</w:t>
            </w:r>
          </w:p>
        </w:tc>
        <w:tc>
          <w:tcPr>
            <w:tcW w:type="dxa" w:w="1417"/>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Iznos utvrđene tražbine</w:t>
            </w:r>
          </w:p>
        </w:tc>
        <w:tc>
          <w:tcPr>
            <w:tcW w:type="dxa" w:w="851"/>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Udio</w:t>
            </w:r>
          </w:p>
        </w:tc>
      </w:tr>
      <w:tr w:rsidTr="00A7399C" w:rsidR="00A7399C" w:rsidRPr="00A7399C">
        <w:trPr>
          <w:trHeight w:val="315"/>
        </w:trPr>
        <w:tc>
          <w:tcPr>
            <w:tcW w:type="dxa" w:w="724"/>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1</w:t>
            </w:r>
          </w:p>
        </w:tc>
        <w:tc>
          <w:tcPr>
            <w:tcW w:type="dxa" w:w="226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EURO TEKSTIL j.d.o.o.</w:t>
            </w:r>
          </w:p>
        </w:tc>
        <w:tc>
          <w:tcPr>
            <w:tcW w:type="dxa" w:w="2693"/>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rPr>
            </w:pPr>
            <w:r w:rsidRPr="00A7399C">
              <w:rPr>
                <w:rFonts w:cs="Times New Roman" w:eastAsia="Times New Roman"/>
              </w:rPr>
              <w:t>23000 Zadar, Široka ulica 4</w:t>
            </w:r>
          </w:p>
        </w:tc>
        <w:tc>
          <w:tcPr>
            <w:tcW w:type="dxa" w:w="1560"/>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rPr>
            </w:pPr>
            <w:r w:rsidRPr="00A7399C">
              <w:rPr>
                <w:rFonts w:cs="Times New Roman" w:eastAsia="Times New Roman"/>
              </w:rPr>
              <w:t>17112194449</w:t>
            </w:r>
          </w:p>
        </w:tc>
        <w:tc>
          <w:tcPr>
            <w:tcW w:type="dxa" w:w="1417"/>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548.221,00</w:t>
            </w:r>
          </w:p>
        </w:tc>
        <w:tc>
          <w:tcPr>
            <w:tcW w:type="dxa" w:w="851"/>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55,39%</w:t>
            </w:r>
          </w:p>
        </w:tc>
      </w:tr>
      <w:tr w:rsidTr="00A7399C" w:rsidR="00A7399C" w:rsidRPr="00A7399C">
        <w:trPr>
          <w:trHeight w:val="315"/>
        </w:trPr>
        <w:tc>
          <w:tcPr>
            <w:tcW w:type="dxa" w:w="724"/>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2</w:t>
            </w:r>
          </w:p>
        </w:tc>
        <w:tc>
          <w:tcPr>
            <w:tcW w:type="dxa" w:w="226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 xml:space="preserve">GRAD ZADAR </w:t>
            </w:r>
          </w:p>
        </w:tc>
        <w:tc>
          <w:tcPr>
            <w:tcW w:type="dxa" w:w="2693"/>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23000 Zadar, Narodni trg 1</w:t>
            </w:r>
          </w:p>
        </w:tc>
        <w:tc>
          <w:tcPr>
            <w:tcW w:type="dxa" w:w="1560"/>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09933651854</w:t>
            </w:r>
          </w:p>
        </w:tc>
        <w:tc>
          <w:tcPr>
            <w:tcW w:type="dxa" w:w="1417"/>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6.115,43</w:t>
            </w:r>
          </w:p>
        </w:tc>
        <w:tc>
          <w:tcPr>
            <w:tcW w:type="dxa" w:w="851"/>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0,62%</w:t>
            </w:r>
          </w:p>
        </w:tc>
      </w:tr>
      <w:tr w:rsidTr="00A7399C" w:rsidR="00A7399C" w:rsidRPr="00A7399C">
        <w:trPr>
          <w:trHeight w:val="315"/>
        </w:trPr>
        <w:tc>
          <w:tcPr>
            <w:tcW w:type="dxa" w:w="724"/>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3</w:t>
            </w:r>
          </w:p>
        </w:tc>
        <w:tc>
          <w:tcPr>
            <w:tcW w:type="dxa" w:w="226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Hrvatski Telekom d.d.</w:t>
            </w:r>
          </w:p>
        </w:tc>
        <w:tc>
          <w:tcPr>
            <w:tcW w:type="dxa" w:w="2693"/>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 xml:space="preserve">10000 Zagreb, Savska cesta 32, </w:t>
            </w:r>
          </w:p>
        </w:tc>
        <w:tc>
          <w:tcPr>
            <w:tcW w:type="dxa" w:w="1560"/>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81793146560</w:t>
            </w:r>
          </w:p>
        </w:tc>
        <w:tc>
          <w:tcPr>
            <w:tcW w:type="dxa" w:w="1417"/>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47.040,81</w:t>
            </w:r>
          </w:p>
        </w:tc>
        <w:tc>
          <w:tcPr>
            <w:tcW w:type="dxa" w:w="851"/>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4,75%</w:t>
            </w:r>
          </w:p>
        </w:tc>
      </w:tr>
      <w:tr w:rsidTr="00A7399C" w:rsidR="00A7399C" w:rsidRPr="00A7399C">
        <w:trPr>
          <w:trHeight w:val="315"/>
        </w:trPr>
        <w:tc>
          <w:tcPr>
            <w:tcW w:type="dxa" w:w="724"/>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4</w:t>
            </w:r>
          </w:p>
        </w:tc>
        <w:tc>
          <w:tcPr>
            <w:tcW w:type="dxa" w:w="226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IN TEKSTIL  j.d.o.o.</w:t>
            </w:r>
          </w:p>
        </w:tc>
        <w:tc>
          <w:tcPr>
            <w:tcW w:type="dxa" w:w="2693"/>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23000 Zadar, Zrinsko Frankopanska 14</w:t>
            </w:r>
          </w:p>
        </w:tc>
        <w:tc>
          <w:tcPr>
            <w:tcW w:type="dxa" w:w="1560"/>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81916134010</w:t>
            </w:r>
          </w:p>
        </w:tc>
        <w:tc>
          <w:tcPr>
            <w:tcW w:type="dxa" w:w="1417"/>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220.317,00</w:t>
            </w:r>
          </w:p>
        </w:tc>
        <w:tc>
          <w:tcPr>
            <w:tcW w:type="dxa" w:w="851"/>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22,26%</w:t>
            </w:r>
          </w:p>
        </w:tc>
      </w:tr>
      <w:tr w:rsidTr="00A7399C" w:rsidR="00A7399C" w:rsidRPr="00A7399C">
        <w:trPr>
          <w:trHeight w:val="315"/>
        </w:trPr>
        <w:tc>
          <w:tcPr>
            <w:tcW w:type="dxa" w:w="724"/>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lastRenderedPageBreak/>
              <w:t>5</w:t>
            </w:r>
          </w:p>
        </w:tc>
        <w:tc>
          <w:tcPr>
            <w:tcW w:type="dxa" w:w="226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VIPNET d.o.o.</w:t>
            </w:r>
          </w:p>
        </w:tc>
        <w:tc>
          <w:tcPr>
            <w:tcW w:type="dxa" w:w="2693"/>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10000 Zagreb, J.J.Strossmayera 1a</w:t>
            </w:r>
          </w:p>
        </w:tc>
        <w:tc>
          <w:tcPr>
            <w:tcW w:type="dxa" w:w="1560"/>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29524210204</w:t>
            </w:r>
          </w:p>
        </w:tc>
        <w:tc>
          <w:tcPr>
            <w:tcW w:type="dxa" w:w="1417"/>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168.139,31</w:t>
            </w:r>
          </w:p>
        </w:tc>
        <w:tc>
          <w:tcPr>
            <w:tcW w:type="dxa" w:w="851"/>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16,99%</w:t>
            </w:r>
          </w:p>
        </w:tc>
      </w:tr>
      <w:tr w:rsidTr="00A7399C" w:rsidR="00A7399C" w:rsidRPr="00A7399C">
        <w:trPr>
          <w:trHeight w:val="315"/>
        </w:trPr>
        <w:tc>
          <w:tcPr>
            <w:tcW w:type="dxa" w:w="724"/>
            <w:tcBorders>
              <w:top w:val="nil"/>
              <w:left w:space="0" w:sz="4" w:color="auto" w:val="single"/>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color w:val="000000"/>
              </w:rPr>
            </w:pPr>
            <w:r w:rsidRPr="00A7399C">
              <w:rPr>
                <w:rFonts w:cs="Times New Roman" w:eastAsia="Times New Roman"/>
                <w:color w:val="000000"/>
              </w:rPr>
              <w:t> </w:t>
            </w:r>
          </w:p>
        </w:tc>
        <w:tc>
          <w:tcPr>
            <w:tcW w:type="dxa" w:w="2268"/>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b/>
                <w:bCs/>
                <w:color w:val="000000"/>
              </w:rPr>
            </w:pPr>
            <w:r w:rsidRPr="00A7399C">
              <w:rPr>
                <w:rFonts w:cs="Times New Roman" w:eastAsia="Times New Roman"/>
                <w:b/>
                <w:bCs/>
                <w:color w:val="000000"/>
              </w:rPr>
              <w:t>UKUPNO:</w:t>
            </w:r>
          </w:p>
        </w:tc>
        <w:tc>
          <w:tcPr>
            <w:tcW w:type="dxa" w:w="2693"/>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b/>
                <w:bCs/>
                <w:color w:val="000000"/>
              </w:rPr>
            </w:pPr>
            <w:r w:rsidRPr="00A7399C">
              <w:rPr>
                <w:rFonts w:cs="Times New Roman" w:eastAsia="Times New Roman"/>
                <w:b/>
                <w:bCs/>
                <w:color w:val="000000"/>
              </w:rPr>
              <w:t> </w:t>
            </w:r>
          </w:p>
        </w:tc>
        <w:tc>
          <w:tcPr>
            <w:tcW w:type="dxa" w:w="1560"/>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b/>
                <w:bCs/>
                <w:color w:val="000000"/>
              </w:rPr>
            </w:pPr>
            <w:r w:rsidRPr="00A7399C">
              <w:rPr>
                <w:rFonts w:cs="Times New Roman" w:eastAsia="Times New Roman"/>
                <w:b/>
                <w:bCs/>
                <w:color w:val="000000"/>
              </w:rPr>
              <w:t> </w:t>
            </w:r>
          </w:p>
        </w:tc>
        <w:tc>
          <w:tcPr>
            <w:tcW w:type="dxa" w:w="1417"/>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b/>
                <w:bCs/>
                <w:color w:val="000000"/>
              </w:rPr>
            </w:pPr>
            <w:r w:rsidRPr="00A7399C">
              <w:rPr>
                <w:rFonts w:cs="Times New Roman" w:eastAsia="Times New Roman"/>
                <w:b/>
                <w:bCs/>
                <w:color w:val="000000"/>
              </w:rPr>
              <w:t>989.833,55</w:t>
            </w:r>
          </w:p>
        </w:tc>
        <w:tc>
          <w:tcPr>
            <w:tcW w:type="dxa" w:w="851"/>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b/>
                <w:bCs/>
                <w:color w:val="000000"/>
              </w:rPr>
            </w:pPr>
            <w:r w:rsidRPr="00A7399C">
              <w:rPr>
                <w:rFonts w:cs="Times New Roman" w:eastAsia="Times New Roman"/>
                <w:b/>
                <w:bCs/>
                <w:color w:val="000000"/>
              </w:rPr>
              <w:t>100,00%</w:t>
            </w:r>
          </w:p>
        </w:tc>
      </w:tr>
    </w:tbl>
    <w:p w:rsidRDefault="00A7399C" w:rsidP="00A7399C" w:rsidR="00A7399C" w:rsidRPr="00A7399C">
      <w:pPr>
        <w:tabs>
          <w:tab w:pos="6804" w:val="center"/>
        </w:tabs>
        <w:spacing w:after="0"/>
        <w:rPr>
          <w:rFonts w:cs="Times New Roman" w:eastAsia="Calibri"/>
          <w:lang w:eastAsia="hr-HR"/>
        </w:rPr>
      </w:pPr>
    </w:p>
    <w:p w:rsidRDefault="00A7399C" w:rsidP="00A7399C" w:rsidR="00A7399C" w:rsidRPr="00A7399C">
      <w:pPr>
        <w:tabs>
          <w:tab w:pos="6804" w:val="center"/>
        </w:tabs>
        <w:spacing w:after="0"/>
        <w:rPr>
          <w:rFonts w:cs="Times New Roman" w:eastAsia="Calibri"/>
          <w:lang w:eastAsia="hr-HR"/>
        </w:rPr>
      </w:pPr>
      <w:r w:rsidRPr="00A7399C">
        <w:rPr>
          <w:rFonts w:cs="Times New Roman" w:eastAsia="Calibri"/>
          <w:lang w:eastAsia="hr-HR"/>
        </w:rPr>
        <w:t>sklapaju</w:t>
      </w:r>
    </w:p>
    <w:p w:rsidRDefault="00A7399C" w:rsidP="00A7399C" w:rsidR="00A7399C" w:rsidRPr="00A7399C">
      <w:pPr>
        <w:tabs>
          <w:tab w:pos="6804" w:val="center"/>
        </w:tabs>
        <w:spacing w:after="0"/>
        <w:jc w:val="center"/>
        <w:rPr>
          <w:rFonts w:cs="Times New Roman" w:eastAsia="Calibri"/>
          <w:b/>
          <w:lang w:eastAsia="hr-HR"/>
        </w:rPr>
      </w:pPr>
    </w:p>
    <w:p w:rsidRDefault="00A7399C" w:rsidP="00A7399C" w:rsidR="00A7399C" w:rsidRPr="00A7399C">
      <w:pPr>
        <w:tabs>
          <w:tab w:pos="6804" w:val="center"/>
        </w:tabs>
        <w:spacing w:after="0"/>
        <w:rPr>
          <w:rFonts w:cs="Times New Roman" w:eastAsia="Calibri"/>
          <w:b/>
          <w:lang w:eastAsia="hr-HR"/>
        </w:rPr>
      </w:pPr>
    </w:p>
    <w:p w:rsidRDefault="00A7399C" w:rsidP="00A7399C" w:rsidR="00A7399C" w:rsidRPr="00A7399C">
      <w:pPr>
        <w:tabs>
          <w:tab w:pos="6804" w:val="center"/>
        </w:tabs>
        <w:spacing w:after="0"/>
        <w:rPr>
          <w:rFonts w:cs="Times New Roman" w:eastAsia="Calibri"/>
          <w:b/>
          <w:lang w:eastAsia="hr-HR"/>
        </w:rPr>
      </w:pPr>
    </w:p>
    <w:p w:rsidRDefault="00A7399C" w:rsidP="00A7399C" w:rsidR="00A7399C" w:rsidRPr="00A7399C">
      <w:pPr>
        <w:tabs>
          <w:tab w:pos="6804" w:val="center"/>
        </w:tabs>
        <w:spacing w:after="0"/>
        <w:rPr>
          <w:rFonts w:cs="Times New Roman" w:eastAsia="Calibri"/>
          <w:b/>
          <w:lang w:eastAsia="hr-HR"/>
        </w:rPr>
      </w:pPr>
    </w:p>
    <w:p w:rsidRDefault="00A7399C" w:rsidP="00A7399C" w:rsidR="00A7399C" w:rsidRPr="00A7399C">
      <w:pPr>
        <w:tabs>
          <w:tab w:pos="6804" w:val="center"/>
        </w:tabs>
        <w:spacing w:after="0"/>
        <w:jc w:val="center"/>
        <w:rPr>
          <w:rFonts w:cs="Times New Roman" w:eastAsia="Calibri"/>
          <w:b/>
          <w:lang w:eastAsia="hr-HR"/>
        </w:rPr>
      </w:pPr>
      <w:r w:rsidRPr="00A7399C">
        <w:rPr>
          <w:rFonts w:cs="Times New Roman" w:eastAsia="Calibri"/>
          <w:b/>
          <w:lang w:eastAsia="hr-HR"/>
        </w:rPr>
        <w:t>PREDSTEČAJNU NAGODBU</w:t>
      </w:r>
    </w:p>
    <w:p w:rsidRDefault="00A7399C" w:rsidP="00A7399C" w:rsidR="00A7399C" w:rsidRPr="00A7399C">
      <w:pPr>
        <w:tabs>
          <w:tab w:pos="6804" w:val="center"/>
        </w:tabs>
        <w:spacing w:after="0"/>
        <w:rPr>
          <w:rFonts w:cs="Times New Roman" w:eastAsia="Calibri"/>
          <w:b/>
          <w:lang w:eastAsia="hr-HR"/>
        </w:rPr>
      </w:pPr>
    </w:p>
    <w:p w:rsidRDefault="00A7399C" w:rsidP="00A7399C" w:rsidR="00A7399C" w:rsidRPr="00A7399C">
      <w:pPr>
        <w:tabs>
          <w:tab w:pos="6804" w:val="center"/>
        </w:tabs>
        <w:spacing w:after="0"/>
        <w:jc w:val="center"/>
        <w:rPr>
          <w:rFonts w:cs="Times New Roman" w:eastAsia="Calibri"/>
          <w:b/>
          <w:lang w:eastAsia="hr-HR"/>
        </w:rPr>
      </w:pPr>
      <w:r w:rsidRPr="00A7399C">
        <w:rPr>
          <w:rFonts w:cs="Times New Roman" w:eastAsia="Calibri"/>
          <w:b/>
          <w:lang w:eastAsia="hr-HR"/>
        </w:rPr>
        <w:t>Članak 1.</w:t>
      </w:r>
    </w:p>
    <w:p w:rsidRDefault="00A7399C" w:rsidP="00A7399C" w:rsidR="00A7399C" w:rsidRPr="00A7399C">
      <w:pPr>
        <w:tabs>
          <w:tab w:pos="6804" w:val="center"/>
        </w:tabs>
        <w:spacing w:after="0"/>
        <w:jc w:val="center"/>
        <w:rPr>
          <w:rFonts w:cs="Times New Roman" w:eastAsia="Calibri"/>
          <w:lang w:eastAsia="hr-HR"/>
        </w:rPr>
      </w:pPr>
    </w:p>
    <w:p w:rsidRDefault="00A7399C" w:rsidP="00A7399C" w:rsidR="00A7399C" w:rsidRPr="00A7399C">
      <w:pPr>
        <w:tabs>
          <w:tab w:pos="6804" w:val="center"/>
        </w:tabs>
        <w:spacing w:after="0"/>
        <w:jc w:val="both"/>
        <w:rPr>
          <w:rFonts w:cs="Times New Roman" w:eastAsia="Calibri"/>
          <w:lang w:eastAsia="hr-HR"/>
        </w:rPr>
      </w:pPr>
      <w:r w:rsidRPr="00A7399C">
        <w:rPr>
          <w:rFonts w:cs="Times New Roman" w:eastAsia="Calibri"/>
          <w:lang w:eastAsia="hr-HR"/>
        </w:rPr>
        <w:t>Počevši od svrhe samog postupka predstečajne nagodbe, te svrhe Zakona, Vjerovnici predstečajne nagodbe i Dužnik utvrđuju sljedeće:</w:t>
      </w:r>
    </w:p>
    <w:p w:rsidRDefault="00A7399C" w:rsidP="00A7399C" w:rsidR="00A7399C" w:rsidRPr="00A7399C">
      <w:pPr>
        <w:numPr>
          <w:ilvl w:val="0"/>
          <w:numId w:val="47"/>
        </w:numPr>
        <w:tabs>
          <w:tab w:pos="709" w:val="center"/>
        </w:tabs>
        <w:spacing w:lineRule="auto" w:line="276" w:after="200"/>
        <w:jc w:val="both"/>
        <w:rPr>
          <w:rFonts w:cs="Times New Roman" w:eastAsia="Calibri"/>
          <w:lang w:eastAsia="hr-HR"/>
        </w:rPr>
      </w:pPr>
      <w:r w:rsidRPr="00A7399C">
        <w:rPr>
          <w:rFonts w:cs="Times New Roman" w:eastAsia="Calibri"/>
          <w:lang w:eastAsia="hr-HR"/>
        </w:rPr>
        <w:t>da ovom Nagodbom ne dolazi do novacije niti jedne obveze Dužnika prema Vjerovnicima predstečajne nagodbe, osim ako je drugačije određeno ovom nagodbom, nego da se isključivo radi o reprogramiranju postojećih obveza na način da se ponovno ugovaraju rokovi i način otplate duga Dužnika, osim ako je drugačije određeno ovom nagodbom,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A7399C" w:rsidP="00A7399C" w:rsidR="00A7399C" w:rsidRPr="00A7399C">
      <w:pPr>
        <w:numPr>
          <w:ilvl w:val="0"/>
          <w:numId w:val="47"/>
        </w:numPr>
        <w:tabs>
          <w:tab w:pos="709" w:val="center"/>
        </w:tabs>
        <w:spacing w:lineRule="auto" w:line="276" w:after="200"/>
        <w:jc w:val="both"/>
        <w:rPr>
          <w:rFonts w:cs="Times New Roman" w:eastAsia="Calibri"/>
          <w:lang w:eastAsia="hr-HR"/>
        </w:rPr>
      </w:pPr>
      <w:r w:rsidRPr="00A7399C">
        <w:rPr>
          <w:rFonts w:cs="Times New Roman" w:eastAsia="Calibri"/>
          <w:lang w:eastAsia="hr-HR"/>
        </w:rPr>
        <w:t>da se tražbine Vjerovnika predstečajne nagodbe smatraju dospjelim na dan otvaranja postupka predstečajne nagodbe isključivo radi ponovnog ugovaranja rokova i načina plaćanja obveza ( u skladu s odredbama,a Zakona o financijskom poslovanju i predstečajnoj nagodbi), a na način kako je dogovoreno ovom nagodbom;</w:t>
      </w:r>
    </w:p>
    <w:p w:rsidRDefault="00A7399C" w:rsidP="00A7399C" w:rsidR="00A7399C" w:rsidRPr="00A7399C">
      <w:pPr>
        <w:numPr>
          <w:ilvl w:val="0"/>
          <w:numId w:val="47"/>
        </w:numPr>
        <w:tabs>
          <w:tab w:pos="709" w:val="center"/>
        </w:tabs>
        <w:spacing w:lineRule="auto" w:line="276" w:after="200"/>
        <w:jc w:val="both"/>
        <w:rPr>
          <w:rFonts w:cs="Times New Roman" w:eastAsia="Calibri"/>
          <w:lang w:eastAsia="hr-HR"/>
        </w:rPr>
      </w:pPr>
      <w:r w:rsidRPr="00A7399C">
        <w:rPr>
          <w:rFonts w:cs="Times New Roman" w:eastAsia="Calibri"/>
          <w:lang w:eastAsia="hr-HR"/>
        </w:rPr>
        <w:t>da se nagodbom uređuju odnosi između Dužnika i Vjerovnika predstečajne nagodbe, ali da se nagodba pojedinačno primjenjuje prema svakom pojedinom Vjerovniku predstečajne nagodbe, kako su popisani u uvodu ove nagodbe;</w:t>
      </w:r>
    </w:p>
    <w:p w:rsidRDefault="00A7399C" w:rsidP="00A7399C" w:rsidR="00A7399C" w:rsidRPr="00A7399C">
      <w:pPr>
        <w:numPr>
          <w:ilvl w:val="0"/>
          <w:numId w:val="47"/>
        </w:numPr>
        <w:tabs>
          <w:tab w:pos="709" w:val="center"/>
        </w:tabs>
        <w:spacing w:lineRule="auto" w:line="276" w:after="200"/>
        <w:jc w:val="both"/>
        <w:rPr>
          <w:rFonts w:cs="Times New Roman" w:eastAsia="Calibri"/>
          <w:lang w:eastAsia="hr-HR"/>
        </w:rPr>
      </w:pPr>
      <w:r w:rsidRPr="00A7399C">
        <w:rPr>
          <w:rFonts w:cs="Times New Roman" w:eastAsia="Calibri"/>
          <w:lang w:eastAsia="hr-HR"/>
        </w:rPr>
        <w:t>prava radnika isključena su iz postupka predstečajne nagodbe i prioritetna su za podmirenje. Plaćanje dospjelih obveza provodit će se ovisno o razini novčanih priljeva, uz uvjet da se ne ugrozi stabilizacija poslovanja i održavanje radnog procesa.</w:t>
      </w:r>
    </w:p>
    <w:p w:rsidRDefault="00A7399C" w:rsidP="00A7399C" w:rsidR="00A7399C" w:rsidRPr="00A7399C">
      <w:pPr>
        <w:tabs>
          <w:tab w:pos="6804" w:val="center"/>
        </w:tabs>
        <w:spacing w:after="0"/>
        <w:rPr>
          <w:rFonts w:cs="Times New Roman" w:eastAsia="Calibri"/>
          <w:b/>
          <w:lang w:eastAsia="hr-HR"/>
        </w:rPr>
      </w:pPr>
      <w:r w:rsidRPr="00A7399C">
        <w:rPr>
          <w:rFonts w:cs="Times New Roman" w:eastAsia="Calibri"/>
          <w:b/>
          <w:lang w:eastAsia="hr-HR"/>
        </w:rPr>
        <w:t>Kategorija tražbina</w:t>
      </w:r>
    </w:p>
    <w:p w:rsidRDefault="00A7399C" w:rsidP="00A7399C" w:rsidR="00A7399C" w:rsidRPr="00A7399C">
      <w:pPr>
        <w:tabs>
          <w:tab w:pos="6804" w:val="center"/>
        </w:tabs>
        <w:spacing w:after="0"/>
        <w:rPr>
          <w:rFonts w:cs="Times New Roman" w:eastAsia="Calibri"/>
          <w:b/>
          <w:lang w:eastAsia="hr-HR"/>
        </w:rPr>
      </w:pPr>
    </w:p>
    <w:p w:rsidRDefault="00A7399C" w:rsidP="00A7399C" w:rsidR="00A7399C" w:rsidRPr="00A7399C">
      <w:pPr>
        <w:tabs>
          <w:tab w:pos="6804" w:val="center"/>
        </w:tabs>
        <w:spacing w:after="0"/>
        <w:jc w:val="center"/>
        <w:rPr>
          <w:rFonts w:cs="Times New Roman" w:eastAsia="Calibri"/>
          <w:b/>
          <w:lang w:eastAsia="hr-HR"/>
        </w:rPr>
      </w:pPr>
      <w:r w:rsidRPr="00A7399C">
        <w:rPr>
          <w:rFonts w:cs="Times New Roman" w:eastAsia="Calibri"/>
          <w:b/>
          <w:lang w:eastAsia="hr-HR"/>
        </w:rPr>
        <w:t>Članak 2.</w:t>
      </w:r>
    </w:p>
    <w:p w:rsidRDefault="00A7399C" w:rsidP="00A7399C" w:rsidR="00A7399C" w:rsidRPr="00A7399C">
      <w:pPr>
        <w:tabs>
          <w:tab w:pos="6804" w:val="center"/>
        </w:tabs>
        <w:spacing w:after="0"/>
        <w:jc w:val="center"/>
        <w:rPr>
          <w:rFonts w:cs="Times New Roman" w:eastAsia="Calibri"/>
          <w:lang w:eastAsia="hr-HR"/>
        </w:rPr>
      </w:pPr>
    </w:p>
    <w:p w:rsidRDefault="00A7399C" w:rsidP="00A7399C" w:rsidR="00A7399C" w:rsidRPr="00A7399C">
      <w:pPr>
        <w:tabs>
          <w:tab w:pos="6804" w:val="center"/>
        </w:tabs>
        <w:spacing w:after="0"/>
        <w:jc w:val="both"/>
        <w:rPr>
          <w:rFonts w:cs="Times New Roman" w:eastAsia="Calibri"/>
          <w:lang w:eastAsia="hr-HR"/>
        </w:rPr>
      </w:pPr>
      <w:r w:rsidRPr="00A7399C">
        <w:rPr>
          <w:rFonts w:cs="Times New Roman" w:eastAsia="Calibri"/>
          <w:lang w:eastAsia="hr-HR"/>
        </w:rPr>
        <w:t>Utvrđene tražbine na koje se ova nagodba odnosi formiraju se u jedinstvenu grupu ovisno o svojim specifičnim objektivnim karakteristikama (vrsta obveze, sredstva osiguranja, iznos obveze) i za svaku od tražbina predviđen je isti način namirenja.</w:t>
      </w:r>
    </w:p>
    <w:p w:rsidRDefault="00A7399C" w:rsidP="00A7399C" w:rsidR="00A7399C" w:rsidRPr="00A7399C">
      <w:pPr>
        <w:tabs>
          <w:tab w:pos="6804" w:val="center"/>
        </w:tabs>
        <w:spacing w:after="0"/>
        <w:jc w:val="both"/>
        <w:rPr>
          <w:rFonts w:cs="Times New Roman" w:eastAsia="Calibri"/>
          <w:lang w:eastAsia="hr-HR"/>
        </w:rPr>
      </w:pPr>
      <w:r w:rsidRPr="00A7399C">
        <w:rPr>
          <w:rFonts w:cs="Times New Roman" w:eastAsia="Calibri"/>
          <w:lang w:eastAsia="hr-HR"/>
        </w:rPr>
        <w:lastRenderedPageBreak/>
        <w:t>Dužnik je predložio u Planu financijskog restrukturiranja i Nacrtu predstečajne nagodbe, a Nagodbeno vijeće ST06 Financijske agencije prihvatilo, jedinstvenu grupu vjerovnika s obzirom da je svim vjerovnicima predložio isti način i rok namirenja.</w:t>
      </w:r>
    </w:p>
    <w:p w:rsidRDefault="00A7399C" w:rsidP="00A7399C" w:rsidR="00A7399C" w:rsidRPr="00A7399C">
      <w:pPr>
        <w:tabs>
          <w:tab w:pos="851" w:val="center"/>
        </w:tabs>
        <w:spacing w:after="0"/>
        <w:jc w:val="both"/>
        <w:rPr>
          <w:rFonts w:cs="Times New Roman" w:eastAsia="Calibri"/>
          <w:lang w:eastAsia="hr-HR"/>
        </w:rPr>
      </w:pPr>
    </w:p>
    <w:p w:rsidRDefault="00A7399C" w:rsidP="00A7399C" w:rsidR="00A7399C" w:rsidRPr="00A7399C">
      <w:pPr>
        <w:tabs>
          <w:tab w:pos="851" w:val="center"/>
        </w:tabs>
        <w:spacing w:after="0"/>
        <w:jc w:val="both"/>
        <w:rPr>
          <w:rFonts w:cs="Times New Roman" w:eastAsia="Calibri"/>
          <w:b/>
          <w:lang w:eastAsia="hr-HR"/>
        </w:rPr>
      </w:pPr>
      <w:r w:rsidRPr="00A7399C">
        <w:rPr>
          <w:rFonts w:cs="Times New Roman" w:eastAsia="Calibri"/>
          <w:b/>
          <w:lang w:eastAsia="hr-HR"/>
        </w:rPr>
        <w:t>Tražbine koje ulaze u plan financijskog restrukturiranja</w:t>
      </w:r>
    </w:p>
    <w:p w:rsidRDefault="00A7399C" w:rsidP="00A7399C" w:rsidR="00A7399C" w:rsidRPr="00A7399C">
      <w:pPr>
        <w:tabs>
          <w:tab w:pos="851" w:val="center"/>
        </w:tabs>
        <w:spacing w:after="0"/>
        <w:jc w:val="both"/>
        <w:rPr>
          <w:rFonts w:cs="Times New Roman" w:eastAsia="Calibri"/>
          <w:b/>
          <w:lang w:eastAsia="hr-HR"/>
        </w:rPr>
      </w:pPr>
    </w:p>
    <w:p w:rsidRDefault="00A7399C" w:rsidP="00A7399C" w:rsidR="00A7399C" w:rsidRPr="00A7399C">
      <w:pPr>
        <w:tabs>
          <w:tab w:pos="851" w:val="center"/>
        </w:tabs>
        <w:spacing w:after="0"/>
        <w:jc w:val="center"/>
        <w:rPr>
          <w:rFonts w:cs="Times New Roman" w:eastAsia="Calibri"/>
          <w:b/>
          <w:lang w:eastAsia="hr-HR"/>
        </w:rPr>
      </w:pPr>
      <w:r w:rsidRPr="00A7399C">
        <w:rPr>
          <w:rFonts w:cs="Times New Roman" w:eastAsia="Calibri"/>
          <w:b/>
          <w:lang w:eastAsia="hr-HR"/>
        </w:rPr>
        <w:t>Članak 3.</w:t>
      </w:r>
    </w:p>
    <w:p w:rsidRDefault="00A7399C" w:rsidP="00A7399C" w:rsidR="00A7399C" w:rsidRPr="00A7399C">
      <w:pPr>
        <w:tabs>
          <w:tab w:pos="851" w:val="center"/>
        </w:tabs>
        <w:spacing w:after="0"/>
        <w:jc w:val="both"/>
        <w:rPr>
          <w:rFonts w:cs="Times New Roman" w:eastAsia="Calibri"/>
          <w:lang w:eastAsia="hr-HR"/>
        </w:rPr>
      </w:pPr>
    </w:p>
    <w:p w:rsidRDefault="00A7399C" w:rsidP="00A7399C" w:rsidR="00A7399C" w:rsidRPr="00A7399C">
      <w:pPr>
        <w:tabs>
          <w:tab w:pos="851" w:val="center"/>
        </w:tabs>
        <w:spacing w:after="0"/>
        <w:jc w:val="both"/>
        <w:rPr>
          <w:rFonts w:cs="Times New Roman" w:eastAsia="Calibri"/>
          <w:lang w:eastAsia="hr-HR"/>
        </w:rPr>
      </w:pPr>
      <w:r w:rsidRPr="00A7399C">
        <w:rPr>
          <w:rFonts w:cs="Times New Roman" w:eastAsia="Calibri"/>
          <w:lang w:eastAsia="hr-HR"/>
        </w:rPr>
        <w:t xml:space="preserve"> U skraćenom postupku predstečajne nagodbe tražbine su utvrđene izvan ročišta pisanim putem. Tražbine su utvrđene prema prijavama vjerovnika i ispravama koje je dostavio dužnik.</w:t>
      </w:r>
    </w:p>
    <w:p w:rsidRDefault="00A7399C" w:rsidP="00A7399C" w:rsidR="00A7399C" w:rsidRPr="00A7399C">
      <w:pPr>
        <w:tabs>
          <w:tab w:pos="851" w:val="center"/>
        </w:tabs>
        <w:spacing w:after="0"/>
        <w:jc w:val="both"/>
        <w:rPr>
          <w:rFonts w:cs="Times New Roman" w:eastAsia="Calibri"/>
          <w:lang w:eastAsia="hr-HR"/>
        </w:rPr>
      </w:pPr>
      <w:r w:rsidRPr="00A7399C">
        <w:rPr>
          <w:rFonts w:cs="Times New Roman" w:eastAsia="Calibri"/>
          <w:lang w:eastAsia="hr-HR"/>
        </w:rPr>
        <w:t>Sve valjano prijavljene tražbine su ispitane, te je Nagodbeno vijeće ST06 sastavilo posebnu tablicu utvrđenih i osporenih tražbina, temeljem koje je Nagodbeno vijeće ST06 dana 25.svibnja 2016 godine donijelo Rješenje KLASA: UP-I/110/07/15-01/8560 i UR.BR.: 04-06-16-8560-51, kojim je odlučeno koje su tražbine utvrđene i u kojem iznosu, a koje tražbine su osporene i u kojem iznosu (u nastavku: Rješenje).</w:t>
      </w:r>
    </w:p>
    <w:p w:rsidRDefault="00A7399C" w:rsidP="00A7399C" w:rsidR="00A7399C" w:rsidRPr="00A7399C">
      <w:pPr>
        <w:tabs>
          <w:tab w:pos="851" w:val="center"/>
        </w:tabs>
        <w:spacing w:after="0"/>
        <w:jc w:val="both"/>
        <w:rPr>
          <w:rFonts w:cs="Times New Roman" w:eastAsia="Calibri"/>
          <w:lang w:eastAsia="hr-HR"/>
        </w:rPr>
      </w:pPr>
      <w:r w:rsidRPr="00A7399C">
        <w:rPr>
          <w:rFonts w:cs="Times New Roman" w:eastAsia="Calibri"/>
          <w:lang w:eastAsia="hr-HR"/>
        </w:rPr>
        <w:t>Na održanom ročištu od dana 25.05.2016. Nagodbeno vijeće ST06 je utvrdilo da je iznos tražbine za koju vjerovnici imaju pravo glasa 989.833,55 kn, od čega je ukupan iznos glasova ZA 768.538,00 kuna, što znači da je za prihvaćanje Plana glasovalo 77,64 % vjerovnika, te se sukladno Zakonu o financijskom poslovanju i predstečajnoj nagodbi članak 63. stavka 2 Plan smatra prihvaćenim.</w:t>
      </w:r>
    </w:p>
    <w:p w:rsidRDefault="00A7399C" w:rsidP="00A7399C" w:rsidR="00A7399C" w:rsidRPr="00A7399C">
      <w:pPr>
        <w:tabs>
          <w:tab w:pos="851" w:val="center"/>
        </w:tabs>
        <w:spacing w:after="0"/>
        <w:jc w:val="both"/>
        <w:rPr>
          <w:rFonts w:cs="Times New Roman" w:eastAsia="Calibri"/>
          <w:lang w:eastAsia="hr-HR"/>
        </w:rPr>
      </w:pPr>
      <w:r w:rsidRPr="00A7399C">
        <w:rPr>
          <w:rFonts w:cs="Times New Roman" w:eastAsia="Calibri"/>
          <w:lang w:eastAsia="hr-HR"/>
        </w:rPr>
        <w:t xml:space="preserve">Utvrđene tražbine na koje se ova nagodba odnosi formirane su u jedinstvenu grupu vjerovnika jer je svim vjerovnicima predviđen isti način namirenja.  </w:t>
      </w:r>
    </w:p>
    <w:p w:rsidRDefault="00A7399C" w:rsidP="00A7399C" w:rsidR="00A7399C" w:rsidRPr="00A7399C">
      <w:pPr>
        <w:tabs>
          <w:tab w:pos="851" w:val="center"/>
        </w:tabs>
        <w:spacing w:after="0"/>
        <w:jc w:val="both"/>
        <w:rPr>
          <w:rFonts w:cs="Times New Roman" w:eastAsia="Calibri"/>
          <w:lang w:eastAsia="hr-HR"/>
        </w:rPr>
      </w:pPr>
    </w:p>
    <w:p w:rsidRDefault="00A7399C" w:rsidP="00A7399C" w:rsidR="00A7399C" w:rsidRPr="00A7399C">
      <w:pPr>
        <w:tabs>
          <w:tab w:pos="851" w:val="center"/>
        </w:tabs>
        <w:spacing w:after="0"/>
        <w:rPr>
          <w:rFonts w:cs="Times New Roman" w:eastAsia="Calibri"/>
          <w:b/>
          <w:lang w:eastAsia="hr-HR"/>
        </w:rPr>
      </w:pPr>
      <w:r w:rsidRPr="00A7399C">
        <w:rPr>
          <w:rFonts w:cs="Times New Roman" w:eastAsia="Calibri"/>
          <w:b/>
          <w:lang w:eastAsia="hr-HR"/>
        </w:rPr>
        <w:t xml:space="preserve"> Opće obveze Dužnika prema Vjerovnicima predstečajne nagodbe</w:t>
      </w:r>
    </w:p>
    <w:p w:rsidRDefault="00A7399C" w:rsidP="00A7399C" w:rsidR="00A7399C" w:rsidRPr="00A7399C">
      <w:pPr>
        <w:tabs>
          <w:tab w:pos="851" w:val="center"/>
        </w:tabs>
        <w:spacing w:after="0"/>
        <w:rPr>
          <w:rFonts w:cs="Times New Roman" w:eastAsia="Calibri"/>
          <w:b/>
          <w:lang w:eastAsia="hr-HR"/>
        </w:rPr>
      </w:pPr>
    </w:p>
    <w:p w:rsidRDefault="00A7399C" w:rsidP="00A7399C" w:rsidR="00A7399C" w:rsidRPr="00A7399C">
      <w:pPr>
        <w:tabs>
          <w:tab w:pos="851" w:val="center"/>
        </w:tabs>
        <w:spacing w:after="0"/>
        <w:jc w:val="center"/>
        <w:rPr>
          <w:rFonts w:cs="Times New Roman" w:eastAsia="Calibri"/>
          <w:b/>
          <w:lang w:eastAsia="hr-HR"/>
        </w:rPr>
      </w:pPr>
      <w:r w:rsidRPr="00A7399C">
        <w:rPr>
          <w:rFonts w:cs="Times New Roman" w:eastAsia="Calibri"/>
          <w:b/>
          <w:lang w:eastAsia="hr-HR"/>
        </w:rPr>
        <w:t>Članak 4.</w:t>
      </w:r>
    </w:p>
    <w:p w:rsidRDefault="00A7399C" w:rsidP="00A7399C" w:rsidR="00A7399C" w:rsidRPr="00A7399C">
      <w:pPr>
        <w:tabs>
          <w:tab w:pos="709" w:val="center"/>
        </w:tabs>
        <w:spacing w:after="0"/>
        <w:outlineLvl w:val="0"/>
        <w:rPr>
          <w:rFonts w:cs="Times New Roman" w:eastAsia="Calibri"/>
          <w:lang w:eastAsia="hr-HR"/>
        </w:rPr>
      </w:pPr>
    </w:p>
    <w:p w:rsidRDefault="00A7399C" w:rsidP="00A7399C" w:rsidR="00A7399C" w:rsidRPr="00A7399C">
      <w:pPr>
        <w:tabs>
          <w:tab w:pos="0" w:val="center"/>
        </w:tabs>
        <w:spacing w:after="0"/>
        <w:ind w:hanging="284" w:left="284"/>
        <w:outlineLvl w:val="0"/>
        <w:rPr>
          <w:rFonts w:cs="Times New Roman" w:eastAsia="Calibri"/>
          <w:lang w:eastAsia="hr-HR"/>
        </w:rPr>
      </w:pPr>
      <w:r w:rsidRPr="00A7399C">
        <w:rPr>
          <w:rFonts w:cs="Times New Roman" w:eastAsia="Calibri"/>
          <w:lang w:eastAsia="hr-HR"/>
        </w:rPr>
        <w:t xml:space="preserve">Dužnik se u poslovanju, a posebno u slučaju potrebe za novim zaduženjem obvezuje postupati </w:t>
      </w:r>
    </w:p>
    <w:p w:rsidRDefault="00A7399C" w:rsidP="00A7399C" w:rsidR="00A7399C" w:rsidRPr="00A7399C">
      <w:pPr>
        <w:tabs>
          <w:tab w:pos="0" w:val="center"/>
        </w:tabs>
        <w:spacing w:after="0"/>
        <w:ind w:hanging="284" w:left="284"/>
        <w:outlineLvl w:val="0"/>
        <w:rPr>
          <w:rFonts w:cs="Times New Roman" w:eastAsia="Calibri"/>
          <w:lang w:eastAsia="hr-HR"/>
        </w:rPr>
      </w:pPr>
      <w:r w:rsidRPr="00A7399C">
        <w:rPr>
          <w:rFonts w:cs="Times New Roman" w:eastAsia="Calibri"/>
          <w:lang w:eastAsia="hr-HR"/>
        </w:rPr>
        <w:t xml:space="preserve">s pažnjom dobrog gospodarstvenika, poduzimajući radnje i poslove u interesu Dužnika, i   </w:t>
      </w:r>
    </w:p>
    <w:p w:rsidRDefault="00A7399C" w:rsidP="00A7399C" w:rsidR="00A7399C" w:rsidRPr="00A7399C">
      <w:pPr>
        <w:tabs>
          <w:tab w:pos="0" w:val="center"/>
        </w:tabs>
        <w:spacing w:after="0"/>
        <w:ind w:hanging="284" w:left="284"/>
        <w:outlineLvl w:val="0"/>
        <w:rPr>
          <w:rFonts w:cs="Times New Roman" w:eastAsia="Calibri"/>
          <w:lang w:eastAsia="hr-HR"/>
        </w:rPr>
      </w:pPr>
      <w:r w:rsidRPr="00A7399C">
        <w:rPr>
          <w:rFonts w:cs="Times New Roman" w:eastAsia="Calibri"/>
          <w:lang w:eastAsia="hr-HR"/>
        </w:rPr>
        <w:t>postupajući pritom s dužnom pažnjom prema obvezama preuzetim nagodbom.</w:t>
      </w:r>
    </w:p>
    <w:p w:rsidRDefault="00A7399C" w:rsidP="00A7399C" w:rsidR="00A7399C" w:rsidRPr="00A7399C">
      <w:pPr>
        <w:tabs>
          <w:tab w:pos="284" w:val="center"/>
        </w:tabs>
        <w:spacing w:after="0"/>
        <w:ind w:hanging="284" w:left="284"/>
        <w:jc w:val="both"/>
        <w:outlineLvl w:val="0"/>
        <w:rPr>
          <w:rFonts w:cs="Times New Roman" w:eastAsia="Calibri"/>
          <w:lang w:eastAsia="hr-HR"/>
        </w:rPr>
      </w:pPr>
      <w:r w:rsidRPr="00A7399C">
        <w:rPr>
          <w:rFonts w:cs="Times New Roman" w:eastAsia="Calibri"/>
          <w:lang w:eastAsia="hr-HR"/>
        </w:rPr>
        <w:t>Dužnik ovime izjavljuje kako sklapanje ove nagodbe neće imati utjecaja na tražbine radnika.</w:t>
      </w:r>
    </w:p>
    <w:p w:rsidRDefault="00A7399C" w:rsidP="00A7399C" w:rsidR="00A7399C" w:rsidRPr="00A7399C">
      <w:pPr>
        <w:spacing w:after="0"/>
        <w:rPr>
          <w:rFonts w:cs="Times New Roman" w:eastAsia="Calibri"/>
          <w:b/>
          <w:lang w:eastAsia="hr-HR"/>
        </w:rPr>
      </w:pPr>
    </w:p>
    <w:p w:rsidRDefault="00A7399C" w:rsidP="00A7399C" w:rsidR="00A7399C" w:rsidRPr="00A7399C">
      <w:pPr>
        <w:spacing w:after="0"/>
        <w:rPr>
          <w:rFonts w:cs="Times New Roman" w:eastAsia="Calibri"/>
          <w:b/>
          <w:lang w:eastAsia="hr-HR"/>
        </w:rPr>
      </w:pPr>
      <w:r w:rsidRPr="00A7399C">
        <w:rPr>
          <w:rFonts w:cs="Times New Roman" w:eastAsia="Calibri"/>
          <w:b/>
          <w:lang w:eastAsia="hr-HR"/>
        </w:rPr>
        <w:t>Namirenje tražbina pojedinih  vjerovnika</w:t>
      </w:r>
    </w:p>
    <w:p w:rsidRDefault="00A7399C" w:rsidP="00A7399C" w:rsidR="00A7399C" w:rsidRPr="00A7399C">
      <w:pPr>
        <w:spacing w:after="0"/>
        <w:rPr>
          <w:rFonts w:cs="Times New Roman" w:eastAsia="Calibri"/>
          <w:b/>
          <w:lang w:eastAsia="hr-HR"/>
        </w:rPr>
      </w:pPr>
    </w:p>
    <w:p w:rsidRDefault="00A7399C" w:rsidP="00A7399C" w:rsidR="00A7399C" w:rsidRPr="00A7399C">
      <w:pPr>
        <w:spacing w:after="0"/>
        <w:jc w:val="center"/>
        <w:rPr>
          <w:rFonts w:cs="Times New Roman" w:eastAsia="Calibri"/>
          <w:b/>
          <w:lang w:eastAsia="hr-HR"/>
        </w:rPr>
      </w:pPr>
      <w:r w:rsidRPr="00A7399C">
        <w:rPr>
          <w:rFonts w:cs="Times New Roman" w:eastAsia="Calibri"/>
          <w:b/>
          <w:lang w:eastAsia="hr-HR"/>
        </w:rPr>
        <w:t>Članak 5.</w:t>
      </w:r>
    </w:p>
    <w:p w:rsidRDefault="00A7399C" w:rsidP="00A7399C" w:rsidR="00A7399C" w:rsidRPr="00A7399C">
      <w:pPr>
        <w:spacing w:after="0"/>
        <w:rPr>
          <w:rFonts w:cs="Times New Roman" w:eastAsia="Calibri"/>
          <w:lang w:eastAsia="hr-HR"/>
        </w:rPr>
      </w:pPr>
    </w:p>
    <w:p w:rsidRDefault="00A7399C" w:rsidP="00A7399C" w:rsidR="00A7399C" w:rsidRPr="00A7399C">
      <w:pPr>
        <w:spacing w:after="0"/>
        <w:jc w:val="both"/>
        <w:rPr>
          <w:rFonts w:cs="Times New Roman" w:eastAsia="Calibri"/>
          <w:lang w:eastAsia="hr-HR"/>
        </w:rPr>
      </w:pPr>
      <w:r w:rsidRPr="00A7399C">
        <w:rPr>
          <w:rFonts w:cs="Times New Roman" w:eastAsia="Calibri"/>
          <w:lang w:eastAsia="hr-HR"/>
        </w:rPr>
        <w:t>Tražbine Vjeronika predstečajne nagodbe biti će namirene, svakom vjerovniku predstečajne nagodbe pojedinačno, na način određen ovom nagodbom, kako slijedi:</w:t>
      </w:r>
    </w:p>
    <w:p w:rsidRDefault="00A7399C" w:rsidP="00A7399C" w:rsidR="00A7399C" w:rsidRPr="00A7399C">
      <w:pPr>
        <w:spacing w:after="0"/>
        <w:jc w:val="both"/>
        <w:rPr>
          <w:rFonts w:cs="Times New Roman" w:eastAsia="Calibri"/>
          <w:lang w:eastAsia="hr-HR"/>
        </w:rPr>
      </w:pPr>
      <w:r w:rsidRPr="00A7399C">
        <w:rPr>
          <w:rFonts w:cs="Times New Roman" w:eastAsia="Calibri"/>
          <w:lang w:eastAsia="hr-HR"/>
        </w:rPr>
        <w:t>Vjerovnici predstečajne nagodbe (formirani u jedinstvenu grupu vjerovnika), pojedinačno navedeni niže u tablici i Dužnik suglasno utvrđuju da Vjerovnici predstečajne nagodbe otpuštaju Dužniku 60% utvrđenih tražbina što u ukupnom iznosu čini 593.900,13 kn.</w:t>
      </w:r>
    </w:p>
    <w:p w:rsidRDefault="00A7399C" w:rsidP="00A7399C" w:rsidR="00A7399C" w:rsidRPr="00A7399C">
      <w:pPr>
        <w:spacing w:after="0"/>
        <w:jc w:val="both"/>
        <w:rPr>
          <w:rFonts w:cs="Times New Roman" w:eastAsia="Calibri"/>
          <w:lang w:eastAsia="hr-HR"/>
        </w:rPr>
      </w:pPr>
      <w:r w:rsidRPr="00A7399C">
        <w:rPr>
          <w:rFonts w:cs="Times New Roman" w:eastAsia="Calibri"/>
          <w:lang w:eastAsia="hr-HR"/>
        </w:rPr>
        <w:t>Vjerovnici predstečajne nagodbe i Dužnik suglasno uređuju svoje odnose na način predložen u prihvaćenom Planu financijskog restrukturiranja Dužnika, koji se sastoji od sljedećih mjera pojedinačno po svakom vjerovniku:</w:t>
      </w:r>
    </w:p>
    <w:p w:rsidRDefault="00A7399C" w:rsidP="00A7399C" w:rsidR="00A7399C" w:rsidRPr="00A7399C">
      <w:pPr>
        <w:spacing w:after="0"/>
        <w:jc w:val="both"/>
        <w:rPr>
          <w:rFonts w:cs="Times New Roman" w:eastAsia="Calibri"/>
          <w:lang w:eastAsia="hr-HR"/>
        </w:rPr>
      </w:pPr>
    </w:p>
    <w:tbl>
      <w:tblPr>
        <w:tblW w:type="dxa" w:w="10103"/>
        <w:tblInd w:type="dxa" w:w="-318"/>
        <w:tblLook w:val="04A0" w:noVBand="1" w:noHBand="0" w:lastColumn="0" w:firstColumn="1" w:lastRow="0" w:firstRow="1"/>
      </w:tblPr>
      <w:tblGrid>
        <w:gridCol w:w="576"/>
        <w:gridCol w:w="1154"/>
        <w:gridCol w:w="1418"/>
        <w:gridCol w:w="1276"/>
        <w:gridCol w:w="1134"/>
        <w:gridCol w:w="656"/>
        <w:gridCol w:w="1049"/>
        <w:gridCol w:w="1041"/>
        <w:gridCol w:w="858"/>
        <w:gridCol w:w="941"/>
      </w:tblGrid>
      <w:tr w:rsidTr="00A7399C" w:rsidR="00A7399C" w:rsidRPr="00A7399C">
        <w:trPr>
          <w:trHeight w:val="960"/>
        </w:trPr>
        <w:tc>
          <w:tcPr>
            <w:tcW w:type="dxa" w:w="562"/>
            <w:tcBorders>
              <w:top w:space="0" w:sz="4" w:color="auto" w:val="single"/>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R.br.</w:t>
            </w:r>
          </w:p>
        </w:tc>
        <w:tc>
          <w:tcPr>
            <w:tcW w:type="dxa" w:w="1154"/>
            <w:tcBorders>
              <w:top w:space="0" w:sz="4" w:color="auto" w:val="single"/>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Vjerovnik:</w:t>
            </w:r>
          </w:p>
        </w:tc>
        <w:tc>
          <w:tcPr>
            <w:tcW w:type="dxa" w:w="1418"/>
            <w:tcBorders>
              <w:top w:space="0" w:sz="4" w:color="auto" w:val="single"/>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Sjedište vjerovnika:</w:t>
            </w:r>
          </w:p>
        </w:tc>
        <w:tc>
          <w:tcPr>
            <w:tcW w:type="dxa" w:w="1276"/>
            <w:tcBorders>
              <w:top w:space="0" w:sz="4" w:color="auto" w:val="single"/>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OIB vjerovnika:</w:t>
            </w:r>
          </w:p>
        </w:tc>
        <w:tc>
          <w:tcPr>
            <w:tcW w:type="dxa" w:w="1134"/>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Iznos utvrđene tražbine</w:t>
            </w:r>
          </w:p>
        </w:tc>
        <w:tc>
          <w:tcPr>
            <w:tcW w:type="dxa" w:w="652"/>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Poček</w:t>
            </w:r>
          </w:p>
        </w:tc>
        <w:tc>
          <w:tcPr>
            <w:tcW w:type="dxa" w:w="1049"/>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 xml:space="preserve">Iznos otpusta 60% utvrđenih </w:t>
            </w:r>
            <w:r w:rsidRPr="00A7399C">
              <w:rPr>
                <w:rFonts w:cs="Times New Roman" w:eastAsia="Times New Roman"/>
                <w:color w:val="000000"/>
                <w:sz w:val="18"/>
                <w:szCs w:val="18"/>
              </w:rPr>
              <w:lastRenderedPageBreak/>
              <w:t>tražbina</w:t>
            </w:r>
          </w:p>
        </w:tc>
        <w:tc>
          <w:tcPr>
            <w:tcW w:type="dxa" w:w="1041"/>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lastRenderedPageBreak/>
              <w:t>Iznos za namirenje</w:t>
            </w:r>
          </w:p>
        </w:tc>
        <w:tc>
          <w:tcPr>
            <w:tcW w:type="dxa" w:w="858"/>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Anuitet</w:t>
            </w:r>
          </w:p>
        </w:tc>
        <w:tc>
          <w:tcPr>
            <w:tcW w:type="dxa" w:w="959"/>
            <w:tcBorders>
              <w:top w:space="0" w:sz="4" w:color="auto" w:val="single"/>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Način namirenja</w:t>
            </w:r>
          </w:p>
        </w:tc>
      </w:tr>
      <w:tr w:rsidTr="00A7399C" w:rsidR="00A7399C" w:rsidRPr="00A7399C">
        <w:trPr>
          <w:trHeight w:val="960"/>
        </w:trPr>
        <w:tc>
          <w:tcPr>
            <w:tcW w:type="dxa" w:w="562"/>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lastRenderedPageBreak/>
              <w:t>1</w:t>
            </w:r>
          </w:p>
        </w:tc>
        <w:tc>
          <w:tcPr>
            <w:tcW w:type="dxa" w:w="115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EURO TEKSTIL j.d.o.o.</w:t>
            </w:r>
          </w:p>
        </w:tc>
        <w:tc>
          <w:tcPr>
            <w:tcW w:type="dxa" w:w="141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sz w:val="18"/>
                <w:szCs w:val="18"/>
              </w:rPr>
            </w:pPr>
            <w:r w:rsidRPr="00A7399C">
              <w:rPr>
                <w:rFonts w:cs="Times New Roman" w:eastAsia="Times New Roman"/>
                <w:sz w:val="18"/>
                <w:szCs w:val="18"/>
              </w:rPr>
              <w:t>23000 Zadar, Široka ulica 4</w:t>
            </w:r>
          </w:p>
        </w:tc>
        <w:tc>
          <w:tcPr>
            <w:tcW w:type="dxa" w:w="1276"/>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sz w:val="18"/>
                <w:szCs w:val="18"/>
              </w:rPr>
            </w:pPr>
            <w:r w:rsidRPr="00A7399C">
              <w:rPr>
                <w:rFonts w:cs="Times New Roman" w:eastAsia="Times New Roman"/>
                <w:sz w:val="18"/>
                <w:szCs w:val="18"/>
              </w:rPr>
              <w:t>17112194449</w:t>
            </w:r>
          </w:p>
        </w:tc>
        <w:tc>
          <w:tcPr>
            <w:tcW w:type="dxa" w:w="113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548.221,00</w:t>
            </w:r>
          </w:p>
        </w:tc>
        <w:tc>
          <w:tcPr>
            <w:tcW w:type="dxa" w:w="652"/>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1 god</w:t>
            </w:r>
          </w:p>
        </w:tc>
        <w:tc>
          <w:tcPr>
            <w:tcW w:type="dxa" w:w="104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328.932,60</w:t>
            </w:r>
          </w:p>
        </w:tc>
        <w:tc>
          <w:tcPr>
            <w:tcW w:type="dxa" w:w="1041"/>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219.288,40</w:t>
            </w:r>
          </w:p>
        </w:tc>
        <w:tc>
          <w:tcPr>
            <w:tcW w:type="dxa" w:w="85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3.654,81</w:t>
            </w:r>
          </w:p>
        </w:tc>
        <w:tc>
          <w:tcPr>
            <w:tcW w:type="dxa" w:w="95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rPr>
                <w:rFonts w:cs="Times New Roman" w:eastAsia="Times New Roman"/>
                <w:color w:val="000000"/>
                <w:sz w:val="18"/>
                <w:szCs w:val="18"/>
              </w:rPr>
            </w:pPr>
            <w:r w:rsidRPr="00A7399C">
              <w:rPr>
                <w:rFonts w:cs="Times New Roman" w:eastAsia="Times New Roman"/>
                <w:color w:val="000000"/>
                <w:sz w:val="18"/>
                <w:szCs w:val="18"/>
              </w:rPr>
              <w:t>u 60 jednakih mjes. anuiteta</w:t>
            </w:r>
          </w:p>
        </w:tc>
      </w:tr>
      <w:tr w:rsidTr="00A7399C" w:rsidR="00A7399C" w:rsidRPr="00A7399C">
        <w:trPr>
          <w:trHeight w:val="960"/>
        </w:trPr>
        <w:tc>
          <w:tcPr>
            <w:tcW w:type="dxa" w:w="562"/>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2</w:t>
            </w:r>
          </w:p>
        </w:tc>
        <w:tc>
          <w:tcPr>
            <w:tcW w:type="dxa" w:w="115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 xml:space="preserve">GRAD ZADAR </w:t>
            </w:r>
          </w:p>
        </w:tc>
        <w:tc>
          <w:tcPr>
            <w:tcW w:type="dxa" w:w="141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23000 Zadar, Narodni trg 1</w:t>
            </w:r>
          </w:p>
        </w:tc>
        <w:tc>
          <w:tcPr>
            <w:tcW w:type="dxa" w:w="1276"/>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09933651854</w:t>
            </w:r>
          </w:p>
        </w:tc>
        <w:tc>
          <w:tcPr>
            <w:tcW w:type="dxa" w:w="113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6.115,43</w:t>
            </w:r>
          </w:p>
        </w:tc>
        <w:tc>
          <w:tcPr>
            <w:tcW w:type="dxa" w:w="652"/>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1 god</w:t>
            </w:r>
          </w:p>
        </w:tc>
        <w:tc>
          <w:tcPr>
            <w:tcW w:type="dxa" w:w="104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3.669,26</w:t>
            </w:r>
          </w:p>
        </w:tc>
        <w:tc>
          <w:tcPr>
            <w:tcW w:type="dxa" w:w="1041"/>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2.446,17</w:t>
            </w:r>
          </w:p>
        </w:tc>
        <w:tc>
          <w:tcPr>
            <w:tcW w:type="dxa" w:w="85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40,77</w:t>
            </w:r>
          </w:p>
        </w:tc>
        <w:tc>
          <w:tcPr>
            <w:tcW w:type="dxa" w:w="95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rPr>
                <w:rFonts w:cs="Times New Roman" w:eastAsia="Times New Roman"/>
                <w:color w:val="000000"/>
                <w:sz w:val="18"/>
                <w:szCs w:val="18"/>
              </w:rPr>
            </w:pPr>
            <w:r w:rsidRPr="00A7399C">
              <w:rPr>
                <w:rFonts w:cs="Times New Roman" w:eastAsia="Times New Roman"/>
                <w:color w:val="000000"/>
                <w:sz w:val="18"/>
                <w:szCs w:val="18"/>
              </w:rPr>
              <w:t>u 60 jednakih mjes. anuiteta</w:t>
            </w:r>
          </w:p>
        </w:tc>
      </w:tr>
      <w:tr w:rsidTr="00A7399C" w:rsidR="00A7399C" w:rsidRPr="00A7399C">
        <w:trPr>
          <w:trHeight w:val="960"/>
        </w:trPr>
        <w:tc>
          <w:tcPr>
            <w:tcW w:type="dxa" w:w="562"/>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3</w:t>
            </w:r>
          </w:p>
        </w:tc>
        <w:tc>
          <w:tcPr>
            <w:tcW w:type="dxa" w:w="115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Hrvatski Telekom d.d.</w:t>
            </w:r>
          </w:p>
        </w:tc>
        <w:tc>
          <w:tcPr>
            <w:tcW w:type="dxa" w:w="141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 xml:space="preserve">10000 Zagreb, Savska cesta 32, </w:t>
            </w:r>
          </w:p>
        </w:tc>
        <w:tc>
          <w:tcPr>
            <w:tcW w:type="dxa" w:w="1276"/>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81793146560</w:t>
            </w:r>
          </w:p>
        </w:tc>
        <w:tc>
          <w:tcPr>
            <w:tcW w:type="dxa" w:w="113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47.040,81</w:t>
            </w:r>
          </w:p>
        </w:tc>
        <w:tc>
          <w:tcPr>
            <w:tcW w:type="dxa" w:w="652"/>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1 god</w:t>
            </w:r>
          </w:p>
        </w:tc>
        <w:tc>
          <w:tcPr>
            <w:tcW w:type="dxa" w:w="104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28.224,49</w:t>
            </w:r>
          </w:p>
        </w:tc>
        <w:tc>
          <w:tcPr>
            <w:tcW w:type="dxa" w:w="1041"/>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18.816,32</w:t>
            </w:r>
          </w:p>
        </w:tc>
        <w:tc>
          <w:tcPr>
            <w:tcW w:type="dxa" w:w="85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313,61</w:t>
            </w:r>
          </w:p>
        </w:tc>
        <w:tc>
          <w:tcPr>
            <w:tcW w:type="dxa" w:w="95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rPr>
                <w:rFonts w:cs="Times New Roman" w:eastAsia="Times New Roman"/>
                <w:color w:val="000000"/>
                <w:sz w:val="18"/>
                <w:szCs w:val="18"/>
              </w:rPr>
            </w:pPr>
            <w:r w:rsidRPr="00A7399C">
              <w:rPr>
                <w:rFonts w:cs="Times New Roman" w:eastAsia="Times New Roman"/>
                <w:color w:val="000000"/>
                <w:sz w:val="18"/>
                <w:szCs w:val="18"/>
              </w:rPr>
              <w:t>u 60 jednakih mjes. anuiteta</w:t>
            </w:r>
          </w:p>
        </w:tc>
      </w:tr>
      <w:tr w:rsidTr="00A7399C" w:rsidR="00A7399C" w:rsidRPr="00A7399C">
        <w:trPr>
          <w:trHeight w:val="960"/>
        </w:trPr>
        <w:tc>
          <w:tcPr>
            <w:tcW w:type="dxa" w:w="562"/>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4</w:t>
            </w:r>
          </w:p>
        </w:tc>
        <w:tc>
          <w:tcPr>
            <w:tcW w:type="dxa" w:w="115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IN TEKSTIL  j.d.o.o.</w:t>
            </w:r>
          </w:p>
        </w:tc>
        <w:tc>
          <w:tcPr>
            <w:tcW w:type="dxa" w:w="141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23000 Zadar, Zrinsko Frankopanska 14</w:t>
            </w:r>
          </w:p>
        </w:tc>
        <w:tc>
          <w:tcPr>
            <w:tcW w:type="dxa" w:w="1276"/>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81916134010</w:t>
            </w:r>
          </w:p>
        </w:tc>
        <w:tc>
          <w:tcPr>
            <w:tcW w:type="dxa" w:w="113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220.317,00</w:t>
            </w:r>
          </w:p>
        </w:tc>
        <w:tc>
          <w:tcPr>
            <w:tcW w:type="dxa" w:w="652"/>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1 god</w:t>
            </w:r>
          </w:p>
        </w:tc>
        <w:tc>
          <w:tcPr>
            <w:tcW w:type="dxa" w:w="104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132.190,20</w:t>
            </w:r>
          </w:p>
        </w:tc>
        <w:tc>
          <w:tcPr>
            <w:tcW w:type="dxa" w:w="1041"/>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88.126,80</w:t>
            </w:r>
          </w:p>
        </w:tc>
        <w:tc>
          <w:tcPr>
            <w:tcW w:type="dxa" w:w="85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1.468,78</w:t>
            </w:r>
          </w:p>
        </w:tc>
        <w:tc>
          <w:tcPr>
            <w:tcW w:type="dxa" w:w="95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rPr>
                <w:rFonts w:cs="Times New Roman" w:eastAsia="Times New Roman"/>
                <w:color w:val="000000"/>
                <w:sz w:val="18"/>
                <w:szCs w:val="18"/>
              </w:rPr>
            </w:pPr>
            <w:r w:rsidRPr="00A7399C">
              <w:rPr>
                <w:rFonts w:cs="Times New Roman" w:eastAsia="Times New Roman"/>
                <w:color w:val="000000"/>
                <w:sz w:val="18"/>
                <w:szCs w:val="18"/>
              </w:rPr>
              <w:t>u 60 jednakih mjes. anuiteta</w:t>
            </w:r>
          </w:p>
        </w:tc>
      </w:tr>
      <w:tr w:rsidTr="00A7399C" w:rsidR="00A7399C" w:rsidRPr="00A7399C">
        <w:trPr>
          <w:trHeight w:val="960"/>
        </w:trPr>
        <w:tc>
          <w:tcPr>
            <w:tcW w:type="dxa" w:w="562"/>
            <w:tcBorders>
              <w:top w:val="nil"/>
              <w:left w:space="0" w:sz="4" w:color="auto" w:val="single"/>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5</w:t>
            </w:r>
          </w:p>
        </w:tc>
        <w:tc>
          <w:tcPr>
            <w:tcW w:type="dxa" w:w="115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VIPNET d.o.o.</w:t>
            </w:r>
          </w:p>
        </w:tc>
        <w:tc>
          <w:tcPr>
            <w:tcW w:type="dxa" w:w="141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10000 Zagreb, J.J.Strossmayera 1a</w:t>
            </w:r>
          </w:p>
        </w:tc>
        <w:tc>
          <w:tcPr>
            <w:tcW w:type="dxa" w:w="1276"/>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29524210204</w:t>
            </w:r>
          </w:p>
        </w:tc>
        <w:tc>
          <w:tcPr>
            <w:tcW w:type="dxa" w:w="1134"/>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168.139,31</w:t>
            </w:r>
          </w:p>
        </w:tc>
        <w:tc>
          <w:tcPr>
            <w:tcW w:type="dxa" w:w="652"/>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1 god</w:t>
            </w:r>
          </w:p>
        </w:tc>
        <w:tc>
          <w:tcPr>
            <w:tcW w:type="dxa" w:w="104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100.883,59</w:t>
            </w:r>
          </w:p>
        </w:tc>
        <w:tc>
          <w:tcPr>
            <w:tcW w:type="dxa" w:w="1041"/>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67.255,72</w:t>
            </w:r>
          </w:p>
        </w:tc>
        <w:tc>
          <w:tcPr>
            <w:tcW w:type="dxa" w:w="858"/>
            <w:tcBorders>
              <w:top w:val="nil"/>
              <w:left w:val="nil"/>
              <w:bottom w:space="0" w:sz="4" w:color="auto" w:val="single"/>
              <w:right w:space="0" w:sz="4" w:color="auto" w:val="single"/>
            </w:tcBorders>
            <w:noWrap/>
            <w:vAlign w:val="bottom"/>
            <w:hideMark/>
          </w:tcPr>
          <w:p w:rsidRDefault="00A7399C" w:rsidP="00A7399C" w:rsidR="00A7399C" w:rsidRPr="00A7399C">
            <w:pPr>
              <w:spacing w:lineRule="auto" w:line="276" w:after="0"/>
              <w:jc w:val="right"/>
              <w:rPr>
                <w:rFonts w:cs="Times New Roman" w:eastAsia="Times New Roman"/>
                <w:color w:val="000000"/>
                <w:sz w:val="18"/>
                <w:szCs w:val="18"/>
              </w:rPr>
            </w:pPr>
            <w:r w:rsidRPr="00A7399C">
              <w:rPr>
                <w:rFonts w:cs="Times New Roman" w:eastAsia="Times New Roman"/>
                <w:color w:val="000000"/>
                <w:sz w:val="18"/>
                <w:szCs w:val="18"/>
              </w:rPr>
              <w:t>1.120,93</w:t>
            </w:r>
          </w:p>
        </w:tc>
        <w:tc>
          <w:tcPr>
            <w:tcW w:type="dxa" w:w="959"/>
            <w:tcBorders>
              <w:top w:val="nil"/>
              <w:left w:val="nil"/>
              <w:bottom w:space="0" w:sz="4" w:color="auto" w:val="single"/>
              <w:right w:space="0" w:sz="4" w:color="auto" w:val="single"/>
            </w:tcBorders>
            <w:vAlign w:val="bottom"/>
            <w:hideMark/>
          </w:tcPr>
          <w:p w:rsidRDefault="00A7399C" w:rsidP="00A7399C" w:rsidR="00A7399C" w:rsidRPr="00A7399C">
            <w:pPr>
              <w:spacing w:lineRule="auto" w:line="276" w:after="0"/>
              <w:rPr>
                <w:rFonts w:cs="Times New Roman" w:eastAsia="Times New Roman"/>
                <w:color w:val="000000"/>
                <w:sz w:val="18"/>
                <w:szCs w:val="18"/>
              </w:rPr>
            </w:pPr>
            <w:r w:rsidRPr="00A7399C">
              <w:rPr>
                <w:rFonts w:cs="Times New Roman" w:eastAsia="Times New Roman"/>
                <w:color w:val="000000"/>
                <w:sz w:val="18"/>
                <w:szCs w:val="18"/>
              </w:rPr>
              <w:t>u 60 jednakih mjes. anuiteta</w:t>
            </w:r>
          </w:p>
        </w:tc>
      </w:tr>
      <w:tr w:rsidTr="00A7399C" w:rsidR="00A7399C" w:rsidRPr="00A7399C">
        <w:trPr>
          <w:trHeight w:val="240"/>
        </w:trPr>
        <w:tc>
          <w:tcPr>
            <w:tcW w:type="dxa" w:w="562"/>
            <w:tcBorders>
              <w:top w:val="nil"/>
              <w:left w:space="0" w:sz="4" w:color="auto" w:val="single"/>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color w:val="000000"/>
                <w:sz w:val="18"/>
                <w:szCs w:val="18"/>
              </w:rPr>
            </w:pPr>
            <w:r w:rsidRPr="00A7399C">
              <w:rPr>
                <w:rFonts w:cs="Times New Roman" w:eastAsia="Times New Roman"/>
                <w:color w:val="000000"/>
                <w:sz w:val="18"/>
                <w:szCs w:val="18"/>
              </w:rPr>
              <w:t> </w:t>
            </w:r>
          </w:p>
        </w:tc>
        <w:tc>
          <w:tcPr>
            <w:tcW w:type="dxa" w:w="1154"/>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b/>
                <w:bCs/>
                <w:color w:val="000000"/>
                <w:sz w:val="18"/>
                <w:szCs w:val="18"/>
              </w:rPr>
            </w:pPr>
            <w:r w:rsidRPr="00A7399C">
              <w:rPr>
                <w:rFonts w:cs="Times New Roman" w:eastAsia="Times New Roman"/>
                <w:b/>
                <w:bCs/>
                <w:color w:val="000000"/>
                <w:sz w:val="18"/>
                <w:szCs w:val="18"/>
              </w:rPr>
              <w:t>UKUPNO:</w:t>
            </w:r>
          </w:p>
        </w:tc>
        <w:tc>
          <w:tcPr>
            <w:tcW w:type="dxa" w:w="1418"/>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b/>
                <w:bCs/>
                <w:color w:val="000000"/>
                <w:sz w:val="18"/>
                <w:szCs w:val="18"/>
              </w:rPr>
            </w:pPr>
            <w:r w:rsidRPr="00A7399C">
              <w:rPr>
                <w:rFonts w:cs="Times New Roman" w:eastAsia="Times New Roman"/>
                <w:b/>
                <w:bCs/>
                <w:color w:val="000000"/>
                <w:sz w:val="18"/>
                <w:szCs w:val="18"/>
              </w:rPr>
              <w:t> </w:t>
            </w:r>
          </w:p>
        </w:tc>
        <w:tc>
          <w:tcPr>
            <w:tcW w:type="dxa" w:w="1276"/>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center"/>
              <w:rPr>
                <w:rFonts w:cs="Times New Roman" w:eastAsia="Times New Roman"/>
                <w:b/>
                <w:bCs/>
                <w:color w:val="000000"/>
                <w:sz w:val="18"/>
                <w:szCs w:val="18"/>
              </w:rPr>
            </w:pPr>
            <w:r w:rsidRPr="00A7399C">
              <w:rPr>
                <w:rFonts w:cs="Times New Roman" w:eastAsia="Times New Roman"/>
                <w:b/>
                <w:bCs/>
                <w:color w:val="000000"/>
                <w:sz w:val="18"/>
                <w:szCs w:val="18"/>
              </w:rPr>
              <w:t> </w:t>
            </w:r>
          </w:p>
        </w:tc>
        <w:tc>
          <w:tcPr>
            <w:tcW w:type="dxa" w:w="1134"/>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right"/>
              <w:rPr>
                <w:rFonts w:cs="Times New Roman" w:eastAsia="Times New Roman"/>
                <w:b/>
                <w:bCs/>
                <w:color w:val="000000"/>
                <w:sz w:val="18"/>
                <w:szCs w:val="18"/>
              </w:rPr>
            </w:pPr>
            <w:r w:rsidRPr="00A7399C">
              <w:rPr>
                <w:rFonts w:cs="Times New Roman" w:eastAsia="Times New Roman"/>
                <w:b/>
                <w:bCs/>
                <w:color w:val="000000"/>
                <w:sz w:val="18"/>
                <w:szCs w:val="18"/>
              </w:rPr>
              <w:t>989.833,55</w:t>
            </w:r>
          </w:p>
        </w:tc>
        <w:tc>
          <w:tcPr>
            <w:tcW w:type="dxa" w:w="652"/>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rPr>
                <w:rFonts w:cs="Times New Roman" w:eastAsia="Times New Roman"/>
                <w:b/>
                <w:bCs/>
                <w:color w:val="000000"/>
                <w:sz w:val="18"/>
                <w:szCs w:val="18"/>
              </w:rPr>
            </w:pPr>
            <w:r w:rsidRPr="00A7399C">
              <w:rPr>
                <w:rFonts w:cs="Times New Roman" w:eastAsia="Times New Roman"/>
                <w:b/>
                <w:bCs/>
                <w:color w:val="000000"/>
                <w:sz w:val="18"/>
                <w:szCs w:val="18"/>
              </w:rPr>
              <w:t> </w:t>
            </w:r>
          </w:p>
        </w:tc>
        <w:tc>
          <w:tcPr>
            <w:tcW w:type="dxa" w:w="1049"/>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right"/>
              <w:rPr>
                <w:rFonts w:cs="Times New Roman" w:eastAsia="Times New Roman"/>
                <w:b/>
                <w:bCs/>
                <w:color w:val="000000"/>
                <w:sz w:val="18"/>
                <w:szCs w:val="18"/>
              </w:rPr>
            </w:pPr>
            <w:r w:rsidRPr="00A7399C">
              <w:rPr>
                <w:rFonts w:cs="Times New Roman" w:eastAsia="Times New Roman"/>
                <w:b/>
                <w:bCs/>
                <w:color w:val="000000"/>
                <w:sz w:val="18"/>
                <w:szCs w:val="18"/>
              </w:rPr>
              <w:t>593.900,13</w:t>
            </w:r>
          </w:p>
        </w:tc>
        <w:tc>
          <w:tcPr>
            <w:tcW w:type="dxa" w:w="1041"/>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right"/>
              <w:rPr>
                <w:rFonts w:cs="Times New Roman" w:eastAsia="Times New Roman"/>
                <w:b/>
                <w:bCs/>
                <w:color w:val="000000"/>
                <w:sz w:val="18"/>
                <w:szCs w:val="18"/>
              </w:rPr>
            </w:pPr>
            <w:r w:rsidRPr="00A7399C">
              <w:rPr>
                <w:rFonts w:cs="Times New Roman" w:eastAsia="Times New Roman"/>
                <w:b/>
                <w:bCs/>
                <w:color w:val="000000"/>
                <w:sz w:val="18"/>
                <w:szCs w:val="18"/>
              </w:rPr>
              <w:t>395.933,42</w:t>
            </w:r>
          </w:p>
        </w:tc>
        <w:tc>
          <w:tcPr>
            <w:tcW w:type="dxa" w:w="858"/>
            <w:tcBorders>
              <w:top w:val="nil"/>
              <w:left w:val="nil"/>
              <w:bottom w:space="0" w:sz="4" w:color="auto" w:val="single"/>
              <w:right w:space="0" w:sz="4" w:color="auto" w:val="single"/>
            </w:tcBorders>
            <w:shd w:fill="BFBFBF" w:color="auto" w:val="clear"/>
            <w:noWrap/>
            <w:vAlign w:val="bottom"/>
            <w:hideMark/>
          </w:tcPr>
          <w:p w:rsidRDefault="00A7399C" w:rsidP="00A7399C" w:rsidR="00A7399C" w:rsidRPr="00A7399C">
            <w:pPr>
              <w:spacing w:lineRule="auto" w:line="276" w:after="0"/>
              <w:jc w:val="right"/>
              <w:rPr>
                <w:rFonts w:cs="Times New Roman" w:eastAsia="Times New Roman"/>
                <w:b/>
                <w:bCs/>
                <w:color w:val="000000"/>
                <w:sz w:val="18"/>
                <w:szCs w:val="18"/>
              </w:rPr>
            </w:pPr>
            <w:r w:rsidRPr="00A7399C">
              <w:rPr>
                <w:rFonts w:cs="Times New Roman" w:eastAsia="Times New Roman"/>
                <w:b/>
                <w:bCs/>
                <w:color w:val="000000"/>
                <w:sz w:val="18"/>
                <w:szCs w:val="18"/>
              </w:rPr>
              <w:t>6.598,89</w:t>
            </w:r>
          </w:p>
        </w:tc>
        <w:tc>
          <w:tcPr>
            <w:tcW w:type="dxa" w:w="959"/>
            <w:tcBorders>
              <w:top w:val="nil"/>
              <w:left w:val="nil"/>
              <w:bottom w:space="0" w:sz="4" w:color="auto" w:val="single"/>
              <w:right w:space="0" w:sz="4" w:color="auto" w:val="single"/>
            </w:tcBorders>
            <w:shd w:fill="BFBFBF" w:color="auto" w:val="clear"/>
            <w:vAlign w:val="bottom"/>
            <w:hideMark/>
          </w:tcPr>
          <w:p w:rsidRDefault="00A7399C" w:rsidP="00A7399C" w:rsidR="00A7399C" w:rsidRPr="00A7399C">
            <w:pPr>
              <w:spacing w:lineRule="auto" w:line="276" w:after="0"/>
              <w:rPr>
                <w:rFonts w:cs="Times New Roman" w:eastAsia="Times New Roman"/>
                <w:color w:val="000000"/>
                <w:sz w:val="18"/>
                <w:szCs w:val="18"/>
              </w:rPr>
            </w:pPr>
            <w:r w:rsidRPr="00A7399C">
              <w:rPr>
                <w:rFonts w:cs="Times New Roman" w:eastAsia="Times New Roman"/>
                <w:color w:val="000000"/>
                <w:sz w:val="18"/>
                <w:szCs w:val="18"/>
              </w:rPr>
              <w:t> </w:t>
            </w:r>
          </w:p>
        </w:tc>
      </w:tr>
    </w:tbl>
    <w:p w:rsidRDefault="00A7399C" w:rsidP="00A7399C" w:rsidR="00A7399C" w:rsidRPr="00A7399C">
      <w:pPr>
        <w:spacing w:after="0"/>
        <w:jc w:val="both"/>
        <w:rPr>
          <w:rFonts w:cs="Times New Roman" w:eastAsia="Calibri"/>
          <w:lang w:eastAsia="hr-HR"/>
        </w:rPr>
      </w:pPr>
    </w:p>
    <w:p w:rsidRDefault="00A7399C" w:rsidP="00A7399C" w:rsidR="00A7399C" w:rsidRPr="00A7399C">
      <w:pPr>
        <w:spacing w:after="0"/>
        <w:jc w:val="both"/>
        <w:rPr>
          <w:rFonts w:cs="Times New Roman" w:eastAsia="Calibri"/>
          <w:lang w:eastAsia="hr-HR"/>
        </w:rPr>
      </w:pPr>
      <w:r w:rsidRPr="00A7399C">
        <w:rPr>
          <w:rFonts w:cs="Times New Roman" w:eastAsia="Calibri"/>
          <w:lang w:eastAsia="hr-HR"/>
        </w:rPr>
        <w:t xml:space="preserve">Dužnik će Vjerovnicima predstečajne nagodbe namiriti tražbine pojedinačno kako je navedeno u prethodnoj tablici, gdje navedeni Vjerovnici otpuštaju Dužniku 60% ukupno utvrđene tražbine u ukupnom iznosu od 593.900,13 kuna, dok se Dužnik obvezuje podmiriti 40% tražbine prema Vjerovnicima u ukupnom iznosu od 395.933,42 kn i to nakon 1 (jedne) godine počeka od dana pravomoćnosti predstečajne nagodbe na Trgovačkom sudu sa obročnim načinom plaćanja u 60 jednakih mjesečnih anuiteta od kojih prvi anuitet dospijeva u mjesecu koji slijedi nakon isteka počeka od 1 godine. </w:t>
      </w:r>
    </w:p>
    <w:p w:rsidRDefault="00A7399C" w:rsidP="00A7399C" w:rsidR="00A7399C" w:rsidRPr="00A7399C">
      <w:pPr>
        <w:spacing w:after="0"/>
        <w:jc w:val="both"/>
        <w:rPr>
          <w:rFonts w:cs="Times New Roman" w:eastAsia="Calibri"/>
          <w:lang w:eastAsia="hr-HR"/>
        </w:rPr>
      </w:pPr>
    </w:p>
    <w:p w:rsidRDefault="00A7399C" w:rsidP="00A7399C" w:rsidR="00A7399C" w:rsidRPr="00A7399C">
      <w:pPr>
        <w:spacing w:after="0"/>
        <w:jc w:val="both"/>
        <w:rPr>
          <w:rFonts w:cs="Times New Roman" w:eastAsia="Calibri"/>
          <w:lang w:eastAsia="hr-HR"/>
        </w:rPr>
      </w:pPr>
      <w:r w:rsidRPr="00A7399C">
        <w:rPr>
          <w:rFonts w:cs="Times New Roman" w:eastAsia="Calibri"/>
          <w:lang w:eastAsia="hr-HR"/>
        </w:rPr>
        <w:t>Stranke suglasno izjavljuju kako su ovom nagodbom po svim osnovama razriješile međusobne odnose u ovoj pravnoj stvari, te da po svim osnovama više nemaju međusobnih tražbina.</w:t>
      </w:r>
    </w:p>
    <w:p w:rsidRDefault="00A7399C" w:rsidP="00A7399C" w:rsidR="00A7399C" w:rsidRPr="00A7399C">
      <w:pPr>
        <w:spacing w:after="0"/>
        <w:jc w:val="both"/>
        <w:rPr>
          <w:rFonts w:cs="Times New Roman" w:eastAsia="Calibri"/>
          <w:lang w:eastAsia="hr-HR"/>
        </w:rPr>
      </w:pPr>
    </w:p>
    <w:p w:rsidRDefault="00A7399C" w:rsidP="00A7399C" w:rsidR="00A7399C" w:rsidRPr="00A7399C">
      <w:pPr>
        <w:spacing w:after="0"/>
        <w:jc w:val="both"/>
        <w:rPr>
          <w:rFonts w:cs="Times New Roman" w:eastAsia="Calibri"/>
          <w:lang w:eastAsia="hr-HR"/>
        </w:rPr>
      </w:pPr>
      <w:r w:rsidRPr="00A7399C">
        <w:rPr>
          <w:rFonts w:cs="Times New Roman" w:eastAsia="Calibri"/>
          <w:lang w:eastAsia="hr-HR"/>
        </w:rPr>
        <w:t>Nakon što su stranke pročitale tekst Nagodbe, suglasnost s njenim sadržajem potvrđuju vlastoručnim potpisima, kojim aktom je Nagodba zaključena.</w:t>
      </w:r>
    </w:p>
    <w:p w:rsidRDefault="00A7399C" w:rsidP="00A7399C" w:rsidR="00A7399C" w:rsidRPr="00A7399C">
      <w:pPr>
        <w:spacing w:after="0"/>
        <w:jc w:val="both"/>
        <w:rPr>
          <w:rFonts w:cs="Times New Roman" w:eastAsia="Calibri"/>
          <w:lang w:eastAsia="hr-HR"/>
        </w:rPr>
      </w:pPr>
    </w:p>
    <w:p w:rsidRDefault="00A7399C" w:rsidP="00A7399C" w:rsidR="00A7399C" w:rsidRPr="00A7399C">
      <w:pPr>
        <w:spacing w:after="0"/>
        <w:jc w:val="both"/>
        <w:rPr>
          <w:rFonts w:cs="Times New Roman" w:eastAsia="Calibri"/>
          <w:lang w:eastAsia="hr-HR"/>
        </w:rPr>
      </w:pPr>
      <w:r w:rsidRPr="00A7399C">
        <w:rPr>
          <w:rFonts w:cs="Times New Roman" w:eastAsia="Calibri"/>
          <w:lang w:eastAsia="hr-HR"/>
        </w:rPr>
        <w:t>Ova sudska nagodba, sukladno Zakonu o financijskom poslovanju i predstečajnoj nagodbi ima snagu ovršne isprave za vjerovnike čije tražbine su utvrđene."</w:t>
      </w:r>
    </w:p>
    <w:p w:rsidRDefault="00A7399C" w:rsidP="00A7399C" w:rsidR="00A7399C" w:rsidRPr="00A7399C">
      <w:pPr>
        <w:spacing w:after="0"/>
        <w:jc w:val="center"/>
        <w:rPr>
          <w:rFonts w:cs="Times New Roman" w:eastAsia="Times New Roman"/>
          <w:lang w:eastAsia="hr-HR"/>
        </w:rPr>
      </w:pPr>
    </w:p>
    <w:p w:rsidRDefault="00A7399C" w:rsidP="00A7399C" w:rsidR="00A7399C" w:rsidRPr="00A7399C">
      <w:pPr>
        <w:spacing w:after="0"/>
        <w:jc w:val="center"/>
        <w:rPr>
          <w:rFonts w:cs="Times New Roman" w:eastAsia="Times New Roman"/>
          <w:lang w:eastAsia="hr-HR"/>
        </w:rPr>
      </w:pPr>
      <w:r w:rsidRPr="00A7399C">
        <w:rPr>
          <w:rFonts w:cs="Times New Roman" w:eastAsia="Times New Roman"/>
          <w:lang w:eastAsia="hr-HR"/>
        </w:rPr>
        <w:t>Obrazloženje</w:t>
      </w:r>
    </w:p>
    <w:p w:rsidRDefault="00A7399C" w:rsidP="00A7399C" w:rsidR="00A7399C" w:rsidRPr="00A7399C">
      <w:pPr>
        <w:spacing w:after="0"/>
        <w:jc w:val="both"/>
        <w:rPr>
          <w:rFonts w:cs="Times New Roman" w:eastAsia="Times New Roman"/>
          <w:lang w:eastAsia="hr-HR"/>
        </w:rPr>
      </w:pPr>
    </w:p>
    <w:p w:rsidRDefault="00A7399C" w:rsidP="00A7399C" w:rsidR="00A7399C" w:rsidRPr="00A7399C">
      <w:pPr>
        <w:spacing w:after="0"/>
        <w:ind w:firstLine="708"/>
        <w:jc w:val="both"/>
        <w:rPr>
          <w:rFonts w:cs="Times New Roman" w:eastAsia="Times New Roman"/>
          <w:lang w:eastAsia="hr-HR"/>
        </w:rPr>
      </w:pPr>
      <w:r w:rsidRPr="00A7399C">
        <w:rPr>
          <w:rFonts w:cs="Times New Roman" w:eastAsia="Times New Roman"/>
          <w:lang w:eastAsia="hr-HR"/>
        </w:rPr>
        <w:t xml:space="preserve">Dužnik PINK GROUP j.d.o.o. sa sjedištem u Zadru je 8. lipnja 2016. podnio ovom sudu prijedlog za sklapanje predstečajne nagodbe uz kojeg je dostavio sve potrebne isprave predviđene odredbom čl. 66. Zakona o financijskom poslovanju i predstečajnoj nagodbi (Narodne novine broj: 108/12, 144/12, 81/13 i 112/13-dalje ZFPPN). </w:t>
      </w:r>
    </w:p>
    <w:p w:rsidRDefault="00A7399C" w:rsidP="00A7399C" w:rsidR="00A7399C" w:rsidRPr="00A7399C">
      <w:pPr>
        <w:spacing w:after="0"/>
        <w:ind w:firstLine="708"/>
        <w:jc w:val="both"/>
        <w:rPr>
          <w:rFonts w:cs="Times New Roman" w:eastAsia="Times New Roman"/>
          <w:lang w:eastAsia="hr-HR"/>
        </w:rPr>
      </w:pPr>
      <w:r w:rsidRPr="00A7399C">
        <w:rPr>
          <w:rFonts w:cs="Times New Roman" w:eastAsia="Times New Roman"/>
          <w:lang w:eastAsia="hr-HR"/>
        </w:rPr>
        <w:t xml:space="preserve">Tako iz prijedlogu priležećih isprava proizlazi da je postupak predstečajne nagodbe nad dužnikom otvoren rješenjem Financijske agencije, Regionalnog centra Split, Nagodbenog </w:t>
      </w:r>
      <w:r w:rsidRPr="00A7399C">
        <w:rPr>
          <w:rFonts w:cs="Times New Roman" w:eastAsia="Times New Roman"/>
          <w:lang w:eastAsia="hr-HR"/>
        </w:rPr>
        <w:lastRenderedPageBreak/>
        <w:t xml:space="preserve">vijeća ST06 (u nastavku teksta: Agencija),  Klasa: UP - I/110/07/15-01/8560 od 3. ožujka 2016., da su tražbine vjerovnika u postupku predstečajne nagodbe utvrđene rješenjem Agencije od 13. travnja 2016. u ukupnom iznosu od 989.833,55 kuna, da je plan financijskog restrukturiranja u postupku predstečajne nagodbe nad dužnikom prihvaćen na ročištu od 25. svibnja 2016., te da je rješenjem Agencije od 25. svibnja 2016. utvrđeno da su za prihvaćanje  izmijenjenog plana glasali vjerovnici čije tražbine prelaze 2/3 vrijednosti svih utvrđenih tražbina. </w:t>
      </w:r>
    </w:p>
    <w:p w:rsidRDefault="00A7399C" w:rsidP="00A7399C" w:rsidR="00A7399C" w:rsidRPr="00A7399C">
      <w:pPr>
        <w:spacing w:after="0"/>
        <w:ind w:firstLine="708"/>
        <w:jc w:val="both"/>
        <w:rPr>
          <w:rFonts w:cs="Times New Roman" w:eastAsia="Times New Roman"/>
          <w:lang w:eastAsia="hr-HR"/>
        </w:rPr>
      </w:pPr>
      <w:r w:rsidRPr="00A7399C">
        <w:rPr>
          <w:rFonts w:cs="Times New Roman" w:eastAsia="Times New Roman"/>
          <w:lang w:eastAsia="hr-HR"/>
        </w:rPr>
        <w:t xml:space="preserve">Nakon što je na temelju dostavljenih isprava utvrđeno da su ispunjene pretpostavke za sklapanje predstečajne nagodbe iz čl. 66. st. 1. do 4. ZFPPN-a,  ovaj sud je zakazao ročište radi sklapanja predstečajne nagodbe za 12. srpnja 2016. na koje su pristupili osoba ovlaštena za zastupanje dužnika po zakonu te vjerovnici i punomoćnik vjerovnika: In Tekstil j.d.o.o. Zadar i  In Tekstil j.d.o.o. Zadar. </w:t>
      </w:r>
    </w:p>
    <w:p w:rsidRDefault="00A7399C" w:rsidP="00A7399C" w:rsidR="00A7399C" w:rsidRPr="00A7399C">
      <w:pPr>
        <w:spacing w:after="0"/>
        <w:ind w:firstLine="708"/>
        <w:jc w:val="both"/>
        <w:rPr>
          <w:rFonts w:cs="Times New Roman" w:eastAsia="Times New Roman"/>
          <w:lang w:eastAsia="hr-HR"/>
        </w:rPr>
      </w:pPr>
      <w:r w:rsidRPr="00A7399C">
        <w:rPr>
          <w:rFonts w:cs="Times New Roman" w:eastAsia="Times New Roman"/>
          <w:lang w:eastAsia="hr-HR"/>
        </w:rPr>
        <w:t xml:space="preserve">Na ročištu pred sudom svoj pristanak za sklapanje predstečajne nagodbe čiji sadržaj je istovjetan prihvaćenom planu financijskog i operativnog restrukturiranja dužnika u prethodnom postupku pred Agencijom, dali su dužnik i navedeni vjerovnici čije  tražbine su utvrđene u iznosu od 768.538,00 kuna tj. u omjeru od 77,64 % svih utvrđenih tražbina vjerovnika s pravom glasa, a koje prelaze potrebnu većinu od 2/3 vrijednosti svih utvrđenih tražbina u postupku. </w:t>
      </w:r>
    </w:p>
    <w:p w:rsidRDefault="00A7399C" w:rsidP="00A7399C" w:rsidR="00A7399C" w:rsidRPr="00A7399C">
      <w:pPr>
        <w:spacing w:after="0"/>
        <w:ind w:firstLine="708"/>
        <w:jc w:val="both"/>
        <w:rPr>
          <w:rFonts w:cs="Times New Roman" w:eastAsia="Times New Roman"/>
          <w:lang w:eastAsia="hr-HR"/>
        </w:rPr>
      </w:pPr>
      <w:r w:rsidRPr="00A7399C">
        <w:rPr>
          <w:rFonts w:cs="Times New Roman" w:eastAsia="Times New Roman"/>
          <w:lang w:eastAsia="hr-HR"/>
        </w:rPr>
        <w:t xml:space="preserve">S obzirom da su na ročištu za sklapanje predstečajne nagodbe svoj pristanak dali dužnik i naprijed označeni vjerovnici koji su glasovali za plan financijskog i operativnog restrukturiranja u postupku pred Agencijom, a čije tražbine čine potrebnu većinu iz članka 63. ZFPPN-a, te da je sadržaj predložene nagodbe u skladu s općim pravilima o sudskoj nagodbi i u cijelosti istovjetan sadržaju plana financijskog i operativnog restrukturiranja dužnika prihvaćenog tijekom postupka pred Financijskom agencijom, to je temeljem navedenih odredbi te odredbe čl. 442. Stečajnog zakona (Narodne novine broj 71/15) donesena odluka kao u izreci ovog rješenja. </w:t>
      </w:r>
    </w:p>
    <w:p w:rsidRDefault="00A7399C" w:rsidP="00A7399C" w:rsidR="00A7399C" w:rsidRPr="00A7399C">
      <w:pPr>
        <w:spacing w:after="0"/>
        <w:jc w:val="center"/>
        <w:rPr>
          <w:rFonts w:cs="Times New Roman" w:eastAsia="Times New Roman"/>
          <w:lang w:eastAsia="hr-HR"/>
        </w:rPr>
      </w:pPr>
      <w:r w:rsidRPr="00A7399C">
        <w:rPr>
          <w:rFonts w:cs="Times New Roman" w:eastAsia="Times New Roman"/>
          <w:lang w:eastAsia="hr-HR"/>
        </w:rPr>
        <w:t xml:space="preserve">U Zadru 12. srpnja 2016. </w:t>
      </w:r>
    </w:p>
    <w:p w:rsidRDefault="00A7399C" w:rsidP="00A7399C" w:rsidR="00A7399C" w:rsidRPr="00A7399C">
      <w:pPr>
        <w:spacing w:after="0"/>
        <w:jc w:val="center"/>
        <w:rPr>
          <w:rFonts w:cs="Times New Roman" w:eastAsia="Times New Roman"/>
          <w:lang w:eastAsia="hr-HR"/>
        </w:rPr>
      </w:pPr>
    </w:p>
    <w:p w:rsidRDefault="00A7399C" w:rsidP="00A7399C" w:rsidR="00A7399C" w:rsidRPr="00A7399C">
      <w:pPr>
        <w:spacing w:after="0"/>
        <w:jc w:val="center"/>
        <w:rPr>
          <w:rFonts w:cs="Times New Roman" w:eastAsia="Times New Roman"/>
          <w:lang w:eastAsia="hr-HR"/>
        </w:rPr>
      </w:pPr>
    </w:p>
    <w:p w:rsidRDefault="00A7399C" w:rsidP="00A7399C" w:rsidR="00A7399C" w:rsidRPr="00A7399C">
      <w:pPr>
        <w:spacing w:after="0"/>
        <w:ind w:hanging="4" w:left="709"/>
        <w:jc w:val="right"/>
        <w:rPr>
          <w:rFonts w:cs="Times New Roman" w:eastAsia="Times New Roman"/>
          <w:lang w:eastAsia="hr-HR"/>
        </w:rPr>
      </w:pPr>
      <w:r w:rsidRPr="00A7399C">
        <w:rPr>
          <w:rFonts w:cs="Times New Roman" w:eastAsia="Times New Roman"/>
          <w:lang w:eastAsia="hr-HR"/>
        </w:rPr>
        <w:t xml:space="preserve">                                       Sutkinja:</w:t>
      </w:r>
    </w:p>
    <w:p w:rsidRDefault="00A7399C" w:rsidP="00A7399C" w:rsidR="00A7399C" w:rsidRPr="00A7399C">
      <w:pPr>
        <w:spacing w:after="0"/>
        <w:ind w:hanging="4" w:left="709"/>
        <w:jc w:val="right"/>
        <w:rPr>
          <w:rFonts w:cs="Times New Roman" w:eastAsia="Times New Roman"/>
          <w:lang w:eastAsia="hr-HR"/>
        </w:rPr>
      </w:pPr>
      <w:r w:rsidRPr="00A7399C">
        <w:rPr>
          <w:rFonts w:cs="Times New Roman" w:eastAsia="Times New Roman"/>
          <w:lang w:eastAsia="hr-HR"/>
        </w:rPr>
        <w:t>Tina Grgas</w:t>
      </w:r>
    </w:p>
    <w:p w:rsidRDefault="00A7399C" w:rsidP="00A7399C" w:rsidR="00A7399C" w:rsidRPr="00A7399C">
      <w:pPr>
        <w:tabs>
          <w:tab w:pos="6840" w:val="left"/>
        </w:tabs>
        <w:spacing w:after="0"/>
        <w:rPr>
          <w:rFonts w:cs="Times New Roman" w:eastAsia="Times New Roman"/>
          <w:lang w:eastAsia="hr-HR"/>
        </w:rPr>
      </w:pPr>
    </w:p>
    <w:p w:rsidRDefault="00A7399C" w:rsidP="00A7399C" w:rsidR="00A7399C" w:rsidRPr="00A7399C">
      <w:pPr>
        <w:tabs>
          <w:tab w:pos="6840" w:val="left"/>
        </w:tabs>
        <w:spacing w:after="0"/>
        <w:rPr>
          <w:rFonts w:cs="Times New Roman" w:eastAsia="Times New Roman"/>
          <w:lang w:eastAsia="hr-HR"/>
        </w:rPr>
      </w:pPr>
    </w:p>
    <w:p w:rsidRDefault="00A7399C" w:rsidP="00A7399C" w:rsidR="00A7399C" w:rsidRPr="00A7399C">
      <w:pPr>
        <w:tabs>
          <w:tab w:pos="0" w:val="left"/>
        </w:tabs>
        <w:spacing w:after="0"/>
        <w:rPr>
          <w:rFonts w:cs="Times New Roman" w:eastAsia="Times New Roman"/>
          <w:lang w:eastAsia="hr-HR"/>
        </w:rPr>
      </w:pPr>
      <w:r w:rsidRPr="00A7399C">
        <w:rPr>
          <w:rFonts w:cs="Times New Roman" w:eastAsia="Times New Roman"/>
          <w:lang w:eastAsia="hr-HR"/>
        </w:rPr>
        <w:tab/>
        <w:t xml:space="preserve">UPUTA O PRAVNOM LIJEKU: </w:t>
      </w:r>
    </w:p>
    <w:p w:rsidRDefault="00A7399C" w:rsidP="00A7399C" w:rsidR="00A7399C" w:rsidRPr="00A7399C">
      <w:pPr>
        <w:tabs>
          <w:tab w:pos="0" w:val="left"/>
        </w:tabs>
        <w:spacing w:after="0"/>
        <w:jc w:val="both"/>
        <w:rPr>
          <w:rFonts w:cs="Times New Roman" w:eastAsia="Times New Roman"/>
          <w:lang w:eastAsia="hr-HR"/>
        </w:rPr>
      </w:pPr>
      <w:r w:rsidRPr="00A7399C">
        <w:rPr>
          <w:rFonts w:cs="Times New Roman" w:eastAsia="Times New Roman"/>
          <w:lang w:eastAsia="hr-HR"/>
        </w:rPr>
        <w:tab/>
        <w:t xml:space="preserve">Protiv ovog rješenja nezadovoljna stranka može izjaviti žalbu Visokom trgovačkom sudu u roku 8 dana od dana primitka prijepisa istog. Žalba se podnosi ovome sudu u 3 istovjetna primjerka. </w:t>
      </w:r>
    </w:p>
    <w:p w:rsidRDefault="00A7399C" w:rsidP="00A7399C" w:rsidR="00A7399C" w:rsidRPr="00A7399C">
      <w:pPr>
        <w:spacing w:after="0"/>
        <w:jc w:val="both"/>
        <w:rPr>
          <w:rFonts w:cs="Times New Roman" w:eastAsia="Times New Roman"/>
          <w:bCs/>
          <w:lang w:eastAsia="hr-HR"/>
        </w:rPr>
      </w:pPr>
    </w:p>
    <w:p w:rsidRDefault="00A7399C" w:rsidP="00A7399C" w:rsidR="00A7399C" w:rsidRPr="00A7399C">
      <w:pPr>
        <w:spacing w:after="0"/>
        <w:ind w:firstLine="708"/>
        <w:jc w:val="both"/>
        <w:rPr>
          <w:rFonts w:cs="Times New Roman" w:eastAsia="Times New Roman"/>
          <w:bCs/>
          <w:lang w:eastAsia="hr-HR"/>
        </w:rPr>
      </w:pPr>
      <w:r w:rsidRPr="00A7399C">
        <w:rPr>
          <w:rFonts w:cs="Times New Roman" w:eastAsia="Times New Roman"/>
          <w:bCs/>
          <w:lang w:eastAsia="hr-HR"/>
        </w:rPr>
        <w:t>DNA :</w:t>
      </w:r>
    </w:p>
    <w:p w:rsidRDefault="00A7399C" w:rsidP="00A7399C" w:rsidR="00A7399C" w:rsidRPr="00A7399C">
      <w:pPr>
        <w:numPr>
          <w:ilvl w:val="0"/>
          <w:numId w:val="48"/>
        </w:numPr>
        <w:spacing w:after="0"/>
        <w:jc w:val="both"/>
        <w:rPr>
          <w:rFonts w:cs="Times New Roman" w:eastAsia="Times New Roman"/>
          <w:lang w:eastAsia="hr-HR"/>
        </w:rPr>
      </w:pPr>
      <w:r w:rsidRPr="00A7399C">
        <w:rPr>
          <w:rFonts w:cs="Times New Roman" w:eastAsia="Times New Roman"/>
          <w:lang w:eastAsia="hr-HR"/>
        </w:rPr>
        <w:t>Dužniku po zz</w:t>
      </w:r>
    </w:p>
    <w:p w:rsidRDefault="00A7399C" w:rsidP="00A7399C" w:rsidR="00A7399C" w:rsidRPr="00A7399C">
      <w:pPr>
        <w:numPr>
          <w:ilvl w:val="0"/>
          <w:numId w:val="48"/>
        </w:numPr>
        <w:spacing w:after="0"/>
        <w:jc w:val="both"/>
        <w:rPr>
          <w:rFonts w:cs="Times New Roman" w:eastAsia="Times New Roman"/>
          <w:lang w:eastAsia="hr-HR"/>
        </w:rPr>
      </w:pPr>
      <w:r w:rsidRPr="00A7399C">
        <w:rPr>
          <w:rFonts w:cs="Times New Roman" w:eastAsia="Times New Roman"/>
          <w:lang w:eastAsia="hr-HR"/>
        </w:rPr>
        <w:t xml:space="preserve">Vjerovnicima </w:t>
      </w:r>
    </w:p>
    <w:p w:rsidRDefault="00A7399C" w:rsidP="00A7399C" w:rsidR="00A7399C" w:rsidRPr="00A7399C">
      <w:pPr>
        <w:numPr>
          <w:ilvl w:val="0"/>
          <w:numId w:val="48"/>
        </w:numPr>
        <w:spacing w:after="0"/>
        <w:jc w:val="both"/>
        <w:rPr>
          <w:rFonts w:cs="Times New Roman" w:eastAsia="Times New Roman"/>
          <w:lang w:eastAsia="hr-HR"/>
        </w:rPr>
      </w:pPr>
      <w:r w:rsidRPr="00A7399C">
        <w:rPr>
          <w:rFonts w:cs="Times New Roman" w:eastAsia="Times New Roman"/>
          <w:lang w:eastAsia="hr-HR"/>
        </w:rPr>
        <w:t>Svima putem e-Oglasne ploča suda</w:t>
      </w:r>
    </w:p>
    <w:p w:rsidRDefault="00A7399C" w:rsidP="00A7399C" w:rsidR="00A7399C" w:rsidRPr="00A7399C">
      <w:pPr>
        <w:numPr>
          <w:ilvl w:val="0"/>
          <w:numId w:val="48"/>
        </w:numPr>
        <w:spacing w:after="0"/>
        <w:jc w:val="both"/>
        <w:rPr>
          <w:rFonts w:cs="Times New Roman" w:eastAsia="Times New Roman"/>
          <w:lang w:eastAsia="hr-HR"/>
        </w:rPr>
      </w:pPr>
      <w:r w:rsidRPr="00A7399C">
        <w:rPr>
          <w:rFonts w:cs="Times New Roman" w:eastAsia="Times New Roman"/>
          <w:lang w:eastAsia="hr-HR"/>
        </w:rPr>
        <w:t>FINA-Regionalni centar Split, uz primjerak sklopljene i potpisane nagodbe te dopis za objavu rješenja na web stranicama</w:t>
      </w:r>
    </w:p>
    <w:p w:rsidRDefault="00A7399C" w:rsidP="00A7399C" w:rsidR="00A7399C" w:rsidRPr="00A7399C">
      <w:pPr>
        <w:numPr>
          <w:ilvl w:val="0"/>
          <w:numId w:val="48"/>
        </w:numPr>
        <w:spacing w:after="0"/>
        <w:jc w:val="both"/>
        <w:rPr>
          <w:rFonts w:cs="Times New Roman" w:eastAsia="Times New Roman"/>
          <w:lang w:eastAsia="hr-HR"/>
        </w:rPr>
      </w:pPr>
      <w:r w:rsidRPr="00A7399C">
        <w:rPr>
          <w:rFonts w:cs="Times New Roman" w:eastAsia="Times New Roman"/>
          <w:lang w:eastAsia="hr-HR"/>
        </w:rPr>
        <w:t xml:space="preserve">Registru ovog suda </w:t>
      </w:r>
    </w:p>
    <w:p w:rsidRDefault="00A7399C" w:rsidP="00A7399C" w:rsidR="00A7399C" w:rsidRPr="00A7399C">
      <w:pPr>
        <w:numPr>
          <w:ilvl w:val="0"/>
          <w:numId w:val="48"/>
        </w:numPr>
        <w:spacing w:after="0"/>
        <w:jc w:val="both"/>
        <w:rPr>
          <w:rFonts w:cs="Times New Roman" w:eastAsia="Times New Roman"/>
          <w:lang w:eastAsia="hr-HR"/>
        </w:rPr>
      </w:pPr>
      <w:r w:rsidRPr="00A7399C">
        <w:rPr>
          <w:rFonts w:cs="Times New Roman" w:eastAsia="Times New Roman"/>
          <w:lang w:eastAsia="hr-HR"/>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620966"/>
    <w:multiLevelType w:val="hybridMultilevel"/>
    <w:tmpl w:val="603EBDA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7"/>
  </w:num>
  <w:num w:numId="20">
    <w:abstractNumId w:val="22"/>
  </w:num>
  <w:num w:numId="21">
    <w:abstractNumId w:val="24"/>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lvlOverride w:ilvl="1"/>
    <w:lvlOverride w:ilvl="2"/>
    <w:lvlOverride w:ilvl="3"/>
    <w:lvlOverride w:ilvl="4"/>
    <w:lvlOverride w:ilvl="5"/>
    <w:lvlOverride w:ilvl="6"/>
    <w:lvlOverride w:ilvl="7"/>
    <w:lvlOverride w:ilvl="8"/>
  </w:num>
  <w:num w:numId="48">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99C"/>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44038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Stpn-17/2016-10</izvorni_sadrzaj>
    <derivirana_varijabla naziv="DomainObject.Oznaka_1">Stpn-17/2016-10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2016.</izvorni_sadrzaj>
    <derivirana_varijabla naziv="DomainObject.Predmet.DatumOsnivanja_1">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Stpn-17/2016</izvorni_sadrzaj>
    <derivirana_varijabla naziv="DomainObject.Predmet.OznakaBroj_1">Stpn-17/2016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PINK GROUP j.d.o.o. za izdavačku, radijsku i televizijsku djelatnost i marketing</izvorni_sadrzaj>
    <derivirana_varijabla naziv="DomainObject.Predmet.StrankaFormated_1">  PINK GROUP j.d.o.o. za izdavačku, radijsku i televizijsku djelatnost i marketing</derivirana_varijabla>
  </DomainObject.Predmet.StrankaFormated>
  <DomainObject.Predmet.StrankaFormatedOIB>
    <izvorni_sadrzaj>  PINK GROUP j.d.o.o. za izdavačku, radijsku i televizijsku djelatnost i marketing, OIB 67663721766</izvorni_sadrzaj>
    <derivirana_varijabla naziv="DomainObject.Predmet.StrankaFormatedOIB_1">  PINK GROUP j.d.o.o. za izdavačku, radijsku i televizijsku djelatnost i marketing, OIB 67663721766</derivirana_varijabla>
  </DomainObject.Predmet.StrankaFormatedOIB>
  <DomainObject.Predmet.StrankaFormatedWithAdress>
    <izvorni_sadrzaj> PINK GROUP j.d.o.o. za izdavačku, radijsku i televizijsku djelatnost i marketing, Ivana Lucića 18 c, 23000 Zadar</izvorni_sadrzaj>
    <derivirana_varijabla naziv="DomainObject.Predmet.StrankaFormatedWithAdress_1"> PINK GROUP j.d.o.o. za izdavačku, radijsku i televizijsku djelatnost i marketing, Ivana Lucića 18 c, 23000 Zadar</derivirana_varijabla>
  </DomainObject.Predmet.StrankaFormatedWithAdress>
  <DomainObject.Predmet.StrankaFormatedWithAdressOIB>
    <izvorni_sadrzaj> PINK GROUP j.d.o.o. za izdavačku, radijsku i televizijsku djelatnost i marketing, OIB 67663721766, Ivana Lucića 18 c, 23000 Zadar</izvorni_sadrzaj>
    <derivirana_varijabla naziv="DomainObject.Predmet.StrankaFormatedWithAdressOIB_1"> PINK GROUP j.d.o.o. za izdavačku, radijsku i televizijsku djelatnost i marketing, OIB 67663721766, Ivana Lucića 18 c, 23000 Zadar</derivirana_varijabla>
  </DomainObject.Predmet.StrankaFormatedWithAdressOIB>
  <DomainObject.Predmet.StrankaWithAdress>
    <izvorni_sadrzaj>PINK GROUP j.d.o.o. za izdavačku, radijsku i televizijsku djelatnost i marketing Ivana Lucića 18 c,23000 Zadar</izvorni_sadrzaj>
    <derivirana_varijabla naziv="DomainObject.Predmet.StrankaWithAdress_1">PINK GROUP j.d.o.o. za izdavačku, radijsku i televizijsku djelatnost i marketing Ivana Lucića 18 c,23000 Zadar</derivirana_varijabla>
  </DomainObject.Predmet.StrankaWithAdress>
  <DomainObject.Predmet.StrankaWithAdressOIB>
    <izvorni_sadrzaj>PINK GROUP j.d.o.o. za izdavačku, radijsku i televizijsku djelatnost i marketing, OIB 67663721766, Ivana Lucića 18 c,23000 Zadar</izvorni_sadrzaj>
    <derivirana_varijabla naziv="DomainObject.Predmet.StrankaWithAdressOIB_1">PINK GROUP j.d.o.o. za izdavačku, radijsku i televizijsku djelatnost i marketing, OIB 67663721766, Ivana Lucića 18 c,23000 Zadar</derivirana_varijabla>
  </DomainObject.Predmet.StrankaWithAdressOIB>
  <DomainObject.Predmet.StrankaNazivFormated>
    <izvorni_sadrzaj>PINK GROUP j.d.o.o. za izdavačku, radijsku i televizijsku djelatnost i marketing</izvorni_sadrzaj>
    <derivirana_varijabla naziv="DomainObject.Predmet.StrankaNazivFormated_1">PINK GROUP j.d.o.o. za izdavačku, radijsku i televizijsku djelatnost i marketing</derivirana_varijabla>
  </DomainObject.Predmet.StrankaNazivFormated>
  <DomainObject.Predmet.StrankaNazivFormatedOIB>
    <izvorni_sadrzaj>PINK GROUP j.d.o.o. za izdavačku, radijsku i televizijsku djelatnost i marketing, OIB 67663721766</izvorni_sadrzaj>
    <derivirana_varijabla naziv="DomainObject.Predmet.StrankaNazivFormatedOIB_1">PINK GROUP j.d.o.o. za izdavačku, radijsku i televizijsku djelatnost i marketing, OIB 67663721766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PINK GROUP j.d.o.o. za izdavačku, radijsku i televizijsku djelatnost i marketing</item>
    </izvorni_sadrzaj>
    <derivirana_varijabla naziv="DomainObject.Predmet.StrankaListFormated_1">
      <item>PINK GROUP j.d.o.o. za izdavačku, radijsku i televizijsku djelatnost i marketing</item>
    </derivirana_varijabla>
  </DomainObject.Predmet.StrankaListFormated>
  <DomainObject.Predmet.StrankaListFormatedOIB>
    <izvorni_sadrzaj>
      <item>PINK GROUP j.d.o.o. za izdavačku, radijsku i televizijsku djelatnost i marketing, OIB 67663721766</item>
    </izvorni_sadrzaj>
    <derivirana_varijabla naziv="DomainObject.Predmet.StrankaListFormatedOIB_1">
      <item>PINK GROUP j.d.o.o. za izdavačku, radijsku i televizijsku djelatnost i marketing, OIB 67663721766</item>
    </derivirana_varijabla>
  </DomainObject.Predmet.StrankaListFormatedOIB>
  <DomainObject.Predmet.StrankaListFormatedWithAdress>
    <izvorni_sadrzaj>
      <item>PINK GROUP j.d.o.o. za izdavačku, radijsku i televizijsku djelatnost i marketing, Ivana Lucića 18 c, 23000 Zadar</item>
    </izvorni_sadrzaj>
    <derivirana_varijabla naziv="DomainObject.Predmet.StrankaListFormatedWithAdress_1">
      <item>PINK GROUP j.d.o.o. za izdavačku, radijsku i televizijsku djelatnost i marketing, Ivana Lucića 18 c, 23000 Zadar</item>
    </derivirana_varijabla>
  </DomainObject.Predmet.StrankaListFormatedWithAdress>
  <DomainObject.Predmet.StrankaListFormatedWithAdressOIB>
    <izvorni_sadrzaj>
      <item>PINK GROUP j.d.o.o. za izdavačku, radijsku i televizijsku djelatnost i marketing, OIB 67663721766, Ivana Lucića 18 c, 23000 Zadar</item>
    </izvorni_sadrzaj>
    <derivirana_varijabla naziv="DomainObject.Predmet.StrankaListFormatedWithAdressOIB_1">
      <item>PINK GROUP j.d.o.o. za izdavačku, radijsku i televizijsku djelatnost i marketing, OIB 67663721766, Ivana Lucića 18 c, 23000 Zadar</item>
    </derivirana_varijabla>
  </DomainObject.Predmet.StrankaListFormatedWithAdressOIB>
  <DomainObject.Predmet.StrankaListNazivFormated>
    <izvorni_sadrzaj>
      <item>PINK GROUP j.d.o.o. za izdavačku, radijsku i televizijsku djelatnost i marketing</item>
    </izvorni_sadrzaj>
    <derivirana_varijabla naziv="DomainObject.Predmet.StrankaListNazivFormated_1">
      <item>PINK GROUP j.d.o.o. za izdavačku, radijsku i televizijsku djelatnost i marketing</item>
    </derivirana_varijabla>
  </DomainObject.Predmet.StrankaListNazivFormated>
  <DomainObject.Predmet.StrankaListNazivFormatedOIB>
    <izvorni_sadrzaj>
      <item>PINK GROUP j.d.o.o. za izdavačku, radijsku i televizijsku djelatnost i marketing, OIB 67663721766</item>
    </izvorni_sadrzaj>
    <derivirana_varijabla naziv="DomainObject.Predmet.StrankaListNazivFormatedOIB_1">
      <item>PINK GROUP j.d.o.o. za izdavačku, radijsku i televizijsku djelatnost i marketing, OIB 67663721766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Stpn-17/2016-10</izvorni_sadrzaj>
    <derivirana_varijabla naziv="DomainObject.PoslovniBrojDokumenta_1">Stpn-17/2016-10</derivirana_varijabla>
  </DomainObject.PoslovniBrojDokumenta>
  <DomainObject.Predmet.StrankaIDrugi>
    <izvorni_sadrzaj>PINK GROUP j.d.o.o. za izdavačku, radijsku i televizijsku djelatnost i marketing</izvorni_sadrzaj>
    <derivirana_varijabla naziv="DomainObject.Predmet.StrankaIDrugi_1">PINK GROUP j.d.o.o. za izdavačku, radijsku i televizijsku djelatnost i marketing</derivirana_varijabla>
  </DomainObject.Predmet.StrankaIDrugi>
  <DomainObject.Predmet.ProtustrankaIDrugi>
    <izvorni_sadrzaj/>
    <derivirana_varijabla naziv="DomainObject.Predmet.ProtustrankaIDrugi_1"/>
  </DomainObject.Predmet.ProtustrankaIDrugi>
  <DomainObject.Predmet.StrankaIDrugiAdressOIB>
    <izvorni_sadrzaj>PINK GROUP j.d.o.o. za izdavačku, radijsku i televizijsku djelatnost i marketing, OIB 67663721766, Ivana Lucića 18 c, 23000 Zadar</izvorni_sadrzaj>
    <derivirana_varijabla naziv="DomainObject.Predmet.StrankaIDrugiAdressOIB_1">PINK GROUP j.d.o.o. za izdavačku, radijsku i televizijsku djelatnost i marketing, OIB 67663721766, Ivana Lucića 18 c,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PINK GROUP j.d.o.o. za izdavačku, radijsku i televizijsku djelatnost i marketing</item>
    </izvorni_sadrzaj>
    <derivirana_varijabla naziv="DomainObject.Predmet.SudioniciListNaziv_1">
      <item>PINK GROUP j.d.o.o. za izdavačku, radijsku i televizijsku djelatnost i marketing</item>
    </derivirana_varijabla>
  </DomainObject.Predmet.SudioniciListNaziv>
  <DomainObject.Predmet.SudioniciListAdressOIB>
    <izvorni_sadrzaj>
      <item>PINK GROUP j.d.o.o. za izdavačku, radijsku i televizijsku djelatnost i marketing, OIB 67663721766, Ivana Lucića 18 c,23000 Zadar</item>
    </izvorni_sadrzaj>
    <derivirana_varijabla naziv="DomainObject.Predmet.SudioniciListAdressOIB_1">
      <item>PINK GROUP j.d.o.o. za izdavačku, radijsku i televizijsku djelatnost i marketing, OIB 67663721766, Ivana Lucića 18 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0D6ADF-AA67-4CDE-9406-D73651BB6F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1581</properties:Words>
  <properties:Characters>9281</properties:Characters>
  <properties:Lines>354</properties:Lines>
  <properties:Paragraphs>167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2016-07-13T09:15:00Z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Stpn-17/2016-10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