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a9ca" w14:paraId="bc2a9ca" w:rsidRDefault="002900E5" w:rsidP="002900E5" w:rsidR="00034E3B" w:rsidRPr="00034E3B">
      <w:pPr>
        <w:tabs>
          <w:tab w:pos="7601" w:val="left"/>
        </w:tabs>
        <w:jc w:val="right"/>
        <w15:collapsed w:val="false"/>
        <w:rPr>
          <w:rFonts w:cs="Times New Roman" w:eastAsia="Calibri"/>
          <w:szCs w:val="24"/>
        </w:rPr>
      </w:pPr>
      <w:bookmarkStart w:name="_GoBack" w:id="0"/>
      <w:bookmarkEnd w:id="0"/>
      <w:r>
        <w:rPr>
          <w:rFonts w:cs="Times New Roman" w:eastAsia="Calibri"/>
          <w:szCs w:val="24"/>
        </w:rPr>
        <w:t>78 Pž-3452/2018-2</w:t>
      </w:r>
    </w:p>
    <w:p w:rsidRDefault="00034E3B" w:rsidP="00034E3B" w:rsidR="00034E3B" w:rsidRPr="00034E3B">
      <w:pPr>
        <w:jc w:val="both"/>
        <w:rPr>
          <w:rFonts w:cs="Times New Roman" w:eastAsia="Calibri"/>
          <w:szCs w:val="24"/>
        </w:rPr>
      </w:pPr>
    </w:p>
    <w:p w:rsidRDefault="002167FB" w:rsidP="002167FB" w:rsidR="002167FB" w:rsidRPr="00F277F2">
      <w:r w:rsidRPr="00F277F2">
        <w:t xml:space="preserve">                                  </w:t>
      </w:r>
      <w:r w:rsidRPr="00F277F2">
        <w:rPr>
          <w:noProof/>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167FB" w:rsidP="002167FB" w:rsidR="002167FB" w:rsidRPr="00F277F2">
      <w:pPr>
        <w:rPr>
          <w:rFonts w:cs="Times New Roman"/>
          <w:bCs/>
        </w:rPr>
      </w:pPr>
      <w:r w:rsidRPr="00F277F2">
        <w:rPr>
          <w:rFonts w:cs="Times New Roman"/>
          <w:bCs/>
        </w:rPr>
        <w:t xml:space="preserve">                        REPUBLIKA HRVATSKA</w:t>
      </w:r>
    </w:p>
    <w:p w:rsidRDefault="002167FB" w:rsidP="002167FB" w:rsidR="002167FB" w:rsidRPr="00F277F2">
      <w:pPr>
        <w:rPr>
          <w:rFonts w:cs="Times New Roman"/>
          <w:bCs/>
        </w:rPr>
      </w:pPr>
      <w:r w:rsidRPr="00F277F2">
        <w:rPr>
          <w:rFonts w:cs="Times New Roman"/>
          <w:bCs/>
        </w:rPr>
        <w:t>VISOKI TRGOVAČKI SUD REPUBLIKE  HRVATSKE</w:t>
      </w:r>
    </w:p>
    <w:p w:rsidRDefault="002167FB" w:rsidP="002167FB" w:rsidR="002167FB" w:rsidRPr="00F277F2">
      <w:pPr>
        <w:rPr>
          <w:rFonts w:cs="Times New Roman"/>
        </w:rPr>
      </w:pPr>
      <w:r w:rsidRPr="00F277F2">
        <w:rPr>
          <w:rFonts w:cs="Times New Roman"/>
          <w:bCs/>
        </w:rPr>
        <w:t xml:space="preserve">                                    Z A G R E B</w:t>
      </w:r>
    </w:p>
    <w:p w:rsidRDefault="00034E3B" w:rsidP="002167FB" w:rsidR="00034E3B" w:rsidRPr="00034E3B">
      <w:pPr>
        <w:ind w:firstLine="708"/>
        <w:jc w:val="both"/>
        <w:rPr>
          <w:rFonts w:cs="Times New Roman" w:eastAsia="Calibri"/>
          <w:szCs w:val="24"/>
        </w:rPr>
      </w:pP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p>
    <w:p w:rsidRDefault="00034E3B" w:rsidP="00034E3B" w:rsidR="00034E3B" w:rsidRPr="00034E3B">
      <w:pPr>
        <w:jc w:val="center"/>
        <w:rPr>
          <w:rFonts w:cs="Times New Roman" w:eastAsia="Calibri"/>
          <w:szCs w:val="24"/>
        </w:rPr>
      </w:pPr>
      <w:r w:rsidRPr="00034E3B">
        <w:rPr>
          <w:rFonts w:cs="Times New Roman" w:eastAsia="Calibri"/>
          <w:szCs w:val="24"/>
        </w:rPr>
        <w:t>R E P U B L I K A   H R V A T S K A</w:t>
      </w:r>
    </w:p>
    <w:p w:rsidRDefault="00034E3B" w:rsidP="00034E3B" w:rsidR="00034E3B" w:rsidRPr="00034E3B">
      <w:pPr>
        <w:jc w:val="center"/>
        <w:rPr>
          <w:rFonts w:cs="Times New Roman" w:eastAsia="Calibri"/>
          <w:szCs w:val="24"/>
        </w:rPr>
      </w:pPr>
    </w:p>
    <w:p w:rsidRDefault="00034E3B" w:rsidP="00034E3B" w:rsidR="00034E3B" w:rsidRPr="00034E3B">
      <w:pPr>
        <w:jc w:val="center"/>
        <w:rPr>
          <w:rFonts w:cs="Times New Roman" w:eastAsia="Calibri"/>
          <w:szCs w:val="24"/>
        </w:rPr>
      </w:pPr>
      <w:r w:rsidRPr="00034E3B">
        <w:rPr>
          <w:rFonts w:cs="Times New Roman" w:eastAsia="Calibri"/>
          <w:szCs w:val="24"/>
        </w:rPr>
        <w:t>R J E Š E NJ E</w:t>
      </w:r>
    </w:p>
    <w:p w:rsidRDefault="00034E3B" w:rsidP="00034E3B" w:rsidR="00034E3B" w:rsidRPr="00034E3B">
      <w:pPr>
        <w:jc w:val="center"/>
        <w:rPr>
          <w:rFonts w:cs="Times New Roman" w:eastAsia="Calibri"/>
          <w:szCs w:val="24"/>
        </w:rPr>
      </w:pP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Visoki trgovački sud Republike Hrvatske, u vijeću sastavljenom od sudaca Dubravke Matas, predsjednice vijeća, Mladena Šimundića, suca izvjestitelja i Lenke Ćorić, članice vijeća, u stečajnom postupku nad dužnikom GORUP d.o.o. u stečaju, Klanjec, Tomaševec 2, OIB 59013770221, odlučujući o žalbi vjerovnika KREDITNA BANKA ZAGREB d.d., protiv rješenja Trgovačkog suda u Zagrebu poslovni broj St-691/2016-42 od 10. svibnja 2018., u sjednici vijeća održanoj 5. lipnja 2018.</w:t>
      </w:r>
    </w:p>
    <w:p w:rsidRDefault="00034E3B" w:rsidP="00034E3B" w:rsidR="00034E3B" w:rsidRPr="00034E3B">
      <w:pPr>
        <w:jc w:val="both"/>
        <w:rPr>
          <w:rFonts w:cs="Times New Roman" w:eastAsia="Calibri"/>
          <w:szCs w:val="24"/>
        </w:rPr>
      </w:pPr>
    </w:p>
    <w:p w:rsidRDefault="00034E3B" w:rsidP="00034E3B" w:rsidR="00034E3B" w:rsidRPr="00034E3B">
      <w:pPr>
        <w:jc w:val="center"/>
        <w:rPr>
          <w:rFonts w:cs="Times New Roman" w:eastAsia="Calibri"/>
          <w:szCs w:val="24"/>
        </w:rPr>
      </w:pPr>
      <w:r w:rsidRPr="00034E3B">
        <w:rPr>
          <w:rFonts w:cs="Times New Roman" w:eastAsia="Calibri"/>
          <w:szCs w:val="24"/>
        </w:rPr>
        <w:t>r i j e š i o   j e</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Odbija se žalba kao neosnovana i potvrđuje rješenje Trgovačkog suda u Zagrebu poslovni broj St-691/2016-42 od 10. svibnja 2018.</w:t>
      </w:r>
    </w:p>
    <w:p w:rsidRDefault="00034E3B" w:rsidP="00034E3B" w:rsidR="00034E3B" w:rsidRPr="00034E3B">
      <w:pPr>
        <w:jc w:val="both"/>
        <w:rPr>
          <w:rFonts w:cs="Times New Roman" w:eastAsia="Calibri"/>
          <w:szCs w:val="24"/>
        </w:rPr>
      </w:pPr>
    </w:p>
    <w:p w:rsidRDefault="00034E3B" w:rsidP="00034E3B" w:rsidR="00034E3B" w:rsidRPr="00034E3B">
      <w:pPr>
        <w:jc w:val="center"/>
        <w:rPr>
          <w:rFonts w:cs="Times New Roman" w:eastAsia="Calibri"/>
          <w:szCs w:val="24"/>
        </w:rPr>
      </w:pPr>
      <w:r w:rsidRPr="00034E3B">
        <w:rPr>
          <w:rFonts w:cs="Times New Roman" w:eastAsia="Calibri"/>
          <w:szCs w:val="24"/>
        </w:rPr>
        <w:t>Obrazloženje</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 xml:space="preserve">Trgovački suda u Zagrebu poslovni broj St-691/2016-42 od 10. svibnja 2018. odredio je prodaju nekretnina na kojoj postoji razlučno pravo u stečajnom postupku (točka I. izreke), odredio ročište radi utvrđenja vrijednosti nekretnine (točka II. izreke), te utvrdio kako će se vrijednost utvrditi slobodnom ocjenom nakon što razlučnim i stečajnim vjerovnicima te stečajnom upravitelju bude omogućeno da se o tome izjasne (točka III. izreke). </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Protiv tog rješenja žalbu je podnio vjerovnik Kreditna Banka Zagreb d.d., u bitnom navodeći kako je pobijano rješenje nerazumljivo, jer se sud, makar je ovaj postupak započeo nakon 1. rujna 2015., poziva na odredbu čl. 164. ranijeg Stečajnog zakona, koji više nije na snazi. Ukazuje kako je odredba čl. 247. Stečajnog zakona („Narodne novine“ broj 71/15 i 104/17; dalje: „važeći SZ“) izričita glede načina prodaje nekretnina na kojima postoji razlučno pravo. Stoga je odluka vjerovnika, pa i dijela razlučnih vjerovnika donesena na izvještajnom ročištu 14. prosinca 2016. nezakonita. Smatra kako odluke vjerovnika ne mogu derogirati izričite odredbe Stečajnog zakona, pa je pobijana odluka nezakonita i predlaže ukinuti je, odnosno preinačiti.</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Stečajna upraviteljica nije se očitovala na žalbu.</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Žalba nije osnovana.</w:t>
      </w:r>
    </w:p>
    <w:p w:rsidRDefault="002900E5" w:rsidP="002900E5" w:rsidR="002900E5" w:rsidRPr="002900E5">
      <w:pPr>
        <w:jc w:val="right"/>
        <w:rPr>
          <w:rFonts w:cs="Times New Roman" w:eastAsia="Calibri"/>
          <w:szCs w:val="24"/>
        </w:rPr>
      </w:pPr>
      <w:r w:rsidRPr="002900E5">
        <w:rPr>
          <w:rFonts w:cs="Times New Roman" w:eastAsia="Calibri"/>
          <w:szCs w:val="24"/>
        </w:rPr>
        <w:lastRenderedPageBreak/>
        <w:t>78 Pž-3452/2018-2</w:t>
      </w:r>
    </w:p>
    <w:p w:rsidRDefault="00722A6B" w:rsidP="00034E3B" w:rsidR="00722A6B">
      <w:pPr>
        <w:jc w:val="both"/>
        <w:rPr>
          <w:rFonts w:cs="Times New Roman" w:eastAsia="Calibri"/>
          <w:szCs w:val="24"/>
        </w:rPr>
      </w:pPr>
    </w:p>
    <w:p w:rsidRDefault="00034E3B" w:rsidP="00722A6B" w:rsidR="00034E3B" w:rsidRPr="00034E3B">
      <w:pPr>
        <w:ind w:firstLine="708"/>
        <w:jc w:val="both"/>
        <w:rPr>
          <w:rFonts w:cs="Times New Roman" w:eastAsia="Calibri"/>
          <w:szCs w:val="24"/>
        </w:rPr>
      </w:pPr>
      <w:r w:rsidRPr="00034E3B">
        <w:rPr>
          <w:rFonts w:cs="Times New Roman" w:eastAsia="Calibri"/>
          <w:szCs w:val="24"/>
        </w:rPr>
        <w:t>Pobijana odluka ispitana je u granicama razloga navedenih u žalbi sukladno čl. 10.</w:t>
      </w:r>
      <w:r w:rsidRPr="00034E3B">
        <w:rPr>
          <w:rFonts w:cs="Times New Roman" w:eastAsia="Calibri"/>
          <w:szCs w:val="24"/>
        </w:rPr>
        <w:br/>
        <w:t>SZ-a te čl. 365. st. 2. u vezi s čl. 381. Zakona o parničnom postupku („Narodne novine“ broj: 53/91, 91/92 112/99, 117/03, 88/05, 2/07, 84/08, 123/08, 57/11, 25/13 i 89/14; dalje: ZPP) i pazeći po službenoj dužnosti na bitne povrede odredaba parničnog postupka iz čl. 354. st. 2. t. 2., 4., 8., 9., 11., 13. i 14. ZPP-a, kao i u odnosu na pravilnu primjenu materijalnog prava.</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Žalitelj pravilno ukazuje kako je obrazloženje pobijanog rješenja nerazumljivo i protivno odredbama važećeg Stečajnog zakona.</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Naime, prvostupanjski sud u tom obrazloženju navodi kako su vjerovnici donijeli jednoglasnu odluku da se nekretnine na kojima postoji razlučno pravo prodaju primjenom odredbe čl. 164. st. 1. ranijeg Stečajnog zakona („Narodne novine“ broj: 44/96, 29/99, 129/00, 123/03, 197/03, 187/04, 82/06, 116/10, 125/12, 133/12 i 45/13; dalje: „raniji SZ“), bez obzira na to što je stečajni postupak pokrenut nakon stupanja na snagu važećeg Stečajnog zakona. Ovakvu odluku prvostupanjski sud smatra valjanom, jer smatra kako na to vjerovnici imaju pravo primjenom čl. 107. st. 1. t. 3. važećeg SZ-a, pri čemu ukazuje i na to da su za takvu odluku glasali i razlučni vjerovnici, a da nitko nije tražio ukidanje navedene odluke skupštine vjerovnika.</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Ovaj sud ukazuje kako vjerovnici nemaju mogućnost biranja načina unovčenja nekretnina na kojima postoji razlučno pravo, jer je to regulirano izričitom odredbom čl. 247. važećeg SZ-a. Članak 107. st. 1. t. 3. važećeg SZ-a, koji vjerovnicima daje pravo da odlučuju o načinu i unovčenju imovine dužnika odnosi se na onu imovinu za koju tim istim zakonom nije izričito propisan način unovčenja. Pri tome se posebno naglašava kako vjerovnici ne mogu birati koji će zakon primjenjivati, a posebno ne mogu odlučiti da se na unovčenje imovine u ovom postupku, na koji se primjenjuju odredbe važećeg Stečajnog zakona, primjenjuju zakonske odredbe zakona koji više nije na snazi.</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Dakle, čak i da su vjerovnici na ročištu odlučili kako će se nekretnine opterećene razlučnim pravom prodavati po nekim drugim pravilima, sud takvu odluku ne može niti smije provesti, jer je način unovčenja reguliran izričitom odredbom čl. 247. važećeg SZ-a. Pri tome ovaj sud ukazuje kako su, na skupštini 14. prosinca 2016., vjerovnici donijeli odluku koja glasi, cit.: „Sve nekretnine stečajnog dužnika na kojima postoji razlučno pravo i za koje postoje drugi zakonski uvjeti prodavat će se na stečajnom sudu po pravilima ovršnog postupka.“. Promatrajući tekst navedene odluke skupštine, iz istoga se ne može nikako izvući zaključak da su vjerovnici odlučili primijeniti neki drugi zakon, osim odredaba važećeg Stečajnog zakona. Stoga obrazloženje pobijane odluke doista nije u skladu s odredbama važećeg Stečajnog zakona, na što s pravom ukazuje žalitelj.</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Međutim, kada se promotri sama izreka pobijanog rješenja, jasno je kako ona nije protivna odredbi čl. 247. važećeg SZ-a. Naime, čl. 247. st. 2. važećeg SZ-a jasno propisuje kako o prodaji nekretnine na kojoj postoji razlučno pravo sud odlučuje rješenjem, u čijem se sadržaju određuje prodaja te nekretnine u stečajnom postupku, a upravo tako i glasi točka I. pobijanog rješenja („Određuje se prodaja nekretnina stečajnog dužnika u stečajnom postupku koji se vodi kod ovoga suda, na nekretninama upisanim kod…“).</w:t>
      </w:r>
    </w:p>
    <w:p w:rsidRDefault="00034E3B" w:rsidP="00034E3B" w:rsidR="00034E3B" w:rsidRPr="00034E3B">
      <w:pPr>
        <w:jc w:val="both"/>
        <w:rPr>
          <w:rFonts w:cs="Times New Roman" w:eastAsia="Calibri"/>
          <w:szCs w:val="24"/>
        </w:rPr>
      </w:pPr>
    </w:p>
    <w:p w:rsidRDefault="00034E3B" w:rsidP="00034E3B" w:rsidR="00F53C39">
      <w:pPr>
        <w:jc w:val="both"/>
        <w:rPr>
          <w:rFonts w:cs="Times New Roman" w:eastAsia="Calibri"/>
          <w:szCs w:val="24"/>
        </w:rPr>
      </w:pPr>
      <w:r w:rsidRPr="00034E3B">
        <w:rPr>
          <w:rFonts w:cs="Times New Roman" w:eastAsia="Calibri"/>
          <w:szCs w:val="24"/>
        </w:rPr>
        <w:tab/>
        <w:t xml:space="preserve">Nadalje, prema čl. 247. st. 3. važećeg SZ-a sud će vrijednost nekretnine odrediti zaključkom, kako je to i odlučeno u točki III. pobijanog rješenja. Činjenica da je </w:t>
      </w:r>
    </w:p>
    <w:p w:rsidRDefault="00F53C39" w:rsidP="00F53C39" w:rsidR="00F53C39" w:rsidRPr="00F53C39">
      <w:pPr>
        <w:jc w:val="right"/>
        <w:rPr>
          <w:rFonts w:cs="Times New Roman" w:eastAsia="Calibri"/>
          <w:szCs w:val="24"/>
        </w:rPr>
      </w:pPr>
      <w:r w:rsidRPr="00F53C39">
        <w:rPr>
          <w:rFonts w:cs="Times New Roman" w:eastAsia="Calibri"/>
          <w:szCs w:val="24"/>
        </w:rPr>
        <w:lastRenderedPageBreak/>
        <w:t>78 Pž-3452/2018-2</w:t>
      </w:r>
    </w:p>
    <w:p w:rsidRDefault="00F53C39" w:rsidP="00F53C39" w:rsidR="00F53C39">
      <w:pPr>
        <w:jc w:val="right"/>
        <w:rPr>
          <w:rFonts w:cs="Times New Roman" w:eastAsia="Calibri"/>
          <w:szCs w:val="24"/>
        </w:rPr>
      </w:pPr>
    </w:p>
    <w:p w:rsidRDefault="00F53C39" w:rsidP="00034E3B" w:rsidR="00F53C39">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prvostupanjski sud u tu svrhu odredio ročište (točka II. pobijanog rješenja) sama po sebi nije nezakonita, posebno imajući u vidu kako će, prema točki III. pobijanog rješenja, sud navedeni zaključak donijeti, cit.: „</w:t>
      </w:r>
      <w:r w:rsidRPr="00034E3B">
        <w:rPr>
          <w:rFonts w:cs="Times New Roman" w:eastAsia="Calibri"/>
          <w:bCs/>
          <w:szCs w:val="24"/>
        </w:rPr>
        <w:t>nakon održanog ročišta na kojemu će razlučnim i stečajnim vjerovnicima kao i stečajnom upravitelju biti omogućeno da se o tome izjasne te prilože odgovarajuće pisane dokaze.“. Iz ovoga proizlazi kako je prvostupanjski sud zaključio kako je pravilno utvrđenje vrijednosti nekretnina u interesu svih vjerovnika, zbog čega im je dao mogućnost očitovanja, a takav stav prihvaća i ovaj sud.</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Dakle, izreka pobijanog rješenja u cijelosti je sukladna odredbi čl. 247. važećeg SZ-a, pa pobijanu odluku treba potvrditi iz drugih razloga (čl. 368. st. 2. ZPP-a).</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Slijedom navedenog, žalba je odbijena kao neosnovana, a prvostupanjsko je rješenje potvrđeno (čl. 380. t. 2. ZPP-a u vezi s čl. 381. i čl. 368. st. 2. ZPP-a te čl. 10. SZ-a).</w:t>
      </w:r>
    </w:p>
    <w:p w:rsidRDefault="00034E3B" w:rsidP="00034E3B" w:rsidR="00034E3B" w:rsidRPr="00034E3B">
      <w:pPr>
        <w:jc w:val="both"/>
        <w:rPr>
          <w:rFonts w:cs="Times New Roman" w:eastAsia="Calibri"/>
          <w:szCs w:val="24"/>
        </w:rPr>
      </w:pPr>
    </w:p>
    <w:p w:rsidRDefault="00034E3B" w:rsidP="00034E3B" w:rsidR="00034E3B" w:rsidRPr="00034E3B">
      <w:pPr>
        <w:jc w:val="both"/>
        <w:rPr>
          <w:rFonts w:cs="Times New Roman" w:eastAsia="Calibri"/>
          <w:szCs w:val="24"/>
        </w:rPr>
      </w:pPr>
      <w:r w:rsidRPr="00034E3B">
        <w:rPr>
          <w:rFonts w:cs="Times New Roman" w:eastAsia="Calibri"/>
          <w:szCs w:val="24"/>
        </w:rPr>
        <w:tab/>
        <w:t>Pri tome se prvostupanjskom sudu skreće pozornost na obvezu da u daljem tijeku postupka prodaju nekretnina na kojima postoji razlučno pravo provodi po odredbi čl. 247. važećeg SZ-a, a odluku o uvjetima i načinu prodaje potrebno je donijeti u zaključku kojim se utvrđuje vrijednost nekretnine (čl. 247. st. 3. važećeg SZ-a).</w:t>
      </w:r>
    </w:p>
    <w:p w:rsidRDefault="00034E3B" w:rsidP="00034E3B" w:rsidR="00034E3B" w:rsidRPr="00034E3B">
      <w:pPr>
        <w:jc w:val="both"/>
        <w:rPr>
          <w:rFonts w:cs="Times New Roman" w:eastAsia="Calibri"/>
          <w:szCs w:val="24"/>
        </w:rPr>
      </w:pPr>
    </w:p>
    <w:p w:rsidRDefault="00034E3B" w:rsidP="00034E3B" w:rsidR="00034E3B" w:rsidRPr="00034E3B">
      <w:pPr>
        <w:jc w:val="center"/>
        <w:rPr>
          <w:rFonts w:cs="Times New Roman" w:eastAsia="Calibri"/>
          <w:szCs w:val="24"/>
        </w:rPr>
      </w:pPr>
      <w:r w:rsidRPr="00034E3B">
        <w:rPr>
          <w:rFonts w:cs="Times New Roman" w:eastAsia="Calibri"/>
          <w:szCs w:val="24"/>
        </w:rPr>
        <w:t>Zagreb, 5. lipnja 2018.</w:t>
      </w:r>
    </w:p>
    <w:p w:rsidRDefault="00034E3B" w:rsidP="00034E3B" w:rsidR="00034E3B" w:rsidRPr="00034E3B">
      <w:pPr>
        <w:jc w:val="both"/>
        <w:rPr>
          <w:rFonts w:cs="Times New Roman" w:eastAsia="Calibri"/>
          <w:szCs w:val="24"/>
        </w:rPr>
      </w:pPr>
    </w:p>
    <w:p w:rsidRDefault="00034E3B" w:rsidP="00034E3B" w:rsidR="00034E3B" w:rsidRPr="00034E3B">
      <w:pPr>
        <w:spacing w:after="240"/>
        <w:ind w:left="4536"/>
        <w:contextualSpacing/>
        <w:jc w:val="center"/>
        <w:rPr>
          <w:rFonts w:cs="Times New Roman" w:eastAsia="Times New Roman"/>
          <w:szCs w:val="24"/>
          <w:lang w:eastAsia="hr-HR"/>
        </w:rPr>
      </w:pPr>
      <w:r w:rsidRPr="00034E3B">
        <w:rPr>
          <w:rFonts w:cs="Times New Roman" w:eastAsia="Times New Roman"/>
          <w:szCs w:val="24"/>
          <w:lang w:eastAsia="hr-HR"/>
        </w:rPr>
        <w:t>Predsjednica vijeća</w:t>
      </w:r>
    </w:p>
    <w:p w:rsidRDefault="00034E3B" w:rsidP="00034E3B" w:rsidR="00034E3B" w:rsidRPr="00034E3B">
      <w:pPr>
        <w:spacing w:after="240"/>
        <w:ind w:left="4536"/>
        <w:contextualSpacing/>
        <w:jc w:val="center"/>
        <w:rPr>
          <w:rFonts w:cs="Times New Roman" w:eastAsia="Times New Roman"/>
          <w:szCs w:val="24"/>
          <w:lang w:eastAsia="hr-HR"/>
        </w:rPr>
      </w:pPr>
      <w:r w:rsidRPr="00034E3B">
        <w:rPr>
          <w:rFonts w:cs="Times New Roman" w:eastAsia="Times New Roman"/>
          <w:szCs w:val="24"/>
          <w:lang w:eastAsia="hr-HR"/>
        </w:rPr>
        <w:t>Dubravka Matas, v. r.</w:t>
      </w:r>
    </w:p>
    <w:p w:rsidRDefault="00034E3B" w:rsidP="00034E3B" w:rsidR="00034E3B" w:rsidRPr="00034E3B">
      <w:pPr>
        <w:spacing w:after="240"/>
        <w:ind w:left="4536"/>
        <w:contextualSpacing/>
        <w:jc w:val="center"/>
        <w:rPr>
          <w:rFonts w:cs="Times New Roman" w:eastAsia="Times New Roman"/>
          <w:szCs w:val="24"/>
          <w:lang w:eastAsia="hr-HR"/>
        </w:rPr>
      </w:pPr>
    </w:p>
    <w:p w:rsidRDefault="00034E3B" w:rsidP="00034E3B" w:rsidR="00034E3B" w:rsidRPr="00034E3B">
      <w:pPr>
        <w:spacing w:after="240"/>
        <w:ind w:left="4536"/>
        <w:contextualSpacing/>
        <w:jc w:val="center"/>
        <w:rPr>
          <w:rFonts w:cs="Times New Roman" w:eastAsia="Times New Roman"/>
          <w:szCs w:val="24"/>
          <w:lang w:eastAsia="hr-HR"/>
        </w:rPr>
      </w:pPr>
      <w:r w:rsidRPr="00034E3B">
        <w:rPr>
          <w:rFonts w:cs="Times New Roman" w:eastAsia="Times New Roman"/>
          <w:szCs w:val="24"/>
          <w:lang w:eastAsia="hr-HR"/>
        </w:rPr>
        <w:t>Za točnost otpravka – ovlašteni službenik</w:t>
      </w:r>
    </w:p>
    <w:p w:rsidRDefault="00034E3B" w:rsidP="00034E3B" w:rsidR="00034E3B" w:rsidRPr="00034E3B">
      <w:pPr>
        <w:spacing w:after="240"/>
        <w:ind w:left="4536"/>
        <w:contextualSpacing/>
        <w:jc w:val="center"/>
        <w:rPr>
          <w:rFonts w:cs="Times New Roman" w:eastAsia="Times New Roman"/>
          <w:szCs w:val="24"/>
          <w:lang w:eastAsia="hr-HR"/>
        </w:rPr>
      </w:pPr>
      <w:r w:rsidRPr="00034E3B">
        <w:rPr>
          <w:rFonts w:cs="Times New Roman" w:eastAsia="Times New Roman"/>
          <w:szCs w:val="24"/>
          <w:lang w:eastAsia="hr-HR"/>
        </w:rPr>
        <w:t>Brankica Curman</w:t>
      </w:r>
    </w:p>
    <w:p w:rsidRDefault="00F53C39" w:rsidR="002E4167"/>
    <w:sectPr w:rsidR="002E416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7FB" w:rsidP="002167FB" w:rsidR="002167FB">
      <w:r>
        <w:separator/>
      </w:r>
    </w:p>
  </w:endnote>
  <w:endnote w:id="0" w:type="continuationSeparator">
    <w:p w:rsidRDefault="002167FB" w:rsidP="002167FB" w:rsidR="002167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2723270"/>
      <w:docPartObj>
        <w:docPartGallery w:val="Page Numbers (Bottom of Page)"/>
        <w:docPartUnique/>
      </w:docPartObj>
    </w:sdtPr>
    <w:sdtEndPr/>
    <w:sdtContent>
      <w:p w:rsidRDefault="00A4531A" w:rsidR="00A4531A">
        <w:pPr>
          <w:pStyle w:val="Podnoje"/>
          <w:jc w:val="center"/>
        </w:pPr>
        <w:r>
          <w:fldChar w:fldCharType="begin"/>
        </w:r>
        <w:r>
          <w:instrText>PAGE   \* MERGEFORMAT</w:instrText>
        </w:r>
        <w:r>
          <w:fldChar w:fldCharType="separate"/>
        </w:r>
        <w:r w:rsidR="00F53C39">
          <w:rPr>
            <w:noProof/>
          </w:rPr>
          <w:t>3</w:t>
        </w:r>
        <w:r>
          <w:fldChar w:fldCharType="end"/>
        </w:r>
      </w:p>
    </w:sdtContent>
  </w:sdt>
  <w:p w:rsidRDefault="002167FB" w:rsidR="002167F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7FB" w:rsidP="002167FB" w:rsidR="002167FB">
      <w:r>
        <w:separator/>
      </w:r>
    </w:p>
  </w:footnote>
  <w:footnote w:id="0" w:type="continuationSeparator">
    <w:p w:rsidRDefault="002167FB" w:rsidP="002167FB" w:rsidR="002167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67FB" w:rsidP="002900E5" w:rsidR="002167FB">
    <w:pPr>
      <w:pStyle w:val="Zaglavlje"/>
      <w:jc w:val="center"/>
    </w:pPr>
  </w:p>
  <w:p w:rsidRDefault="002167FB" w:rsidP="002167FB" w:rsidR="002167F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3B"/>
    <w:rsid w:val="00034E3B"/>
    <w:rsid w:val="002167FB"/>
    <w:rsid w:val="002900E5"/>
    <w:rsid w:val="00722A6B"/>
    <w:rsid w:val="00821998"/>
    <w:rsid w:val="00A4531A"/>
    <w:rsid w:val="00BA483C"/>
    <w:rsid w:val="00F53C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83C"/>
    <w:rPr>
      <w:rFonts w:hAnsi="Times New Roman" w:ascii="Times New Roman"/>
      <w:sz w:val="24"/>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167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67FB"/>
    <w:rPr>
      <w:rFonts w:cs="Tahoma" w:hAnsi="Tahoma" w:ascii="Tahoma"/>
      <w:sz w:val="16"/>
      <w:szCs w:val="16"/>
    </w:rPr>
  </w:style>
  <w:style w:styleId="Zaglavlje" w:type="paragraph">
    <w:name w:val="header"/>
    <w:basedOn w:val="Normal"/>
    <w:link w:val="ZaglavljeChar"/>
    <w:uiPriority w:val="99"/>
    <w:unhideWhenUsed/>
    <w:rsid w:val="002167FB"/>
    <w:pPr>
      <w:tabs>
        <w:tab w:pos="4536" w:val="center"/>
        <w:tab w:pos="9072" w:val="right"/>
      </w:tabs>
    </w:pPr>
  </w:style>
  <w:style w:customStyle="true" w:styleId="ZaglavljeChar" w:type="character">
    <w:name w:val="Zaglavlje Char"/>
    <w:basedOn w:val="Zadanifontodlomka"/>
    <w:link w:val="Zaglavlje"/>
    <w:uiPriority w:val="99"/>
    <w:rsid w:val="002167FB"/>
    <w:rPr>
      <w:rFonts w:hAnsi="Times New Roman" w:ascii="Times New Roman"/>
      <w:sz w:val="24"/>
    </w:rPr>
  </w:style>
  <w:style w:styleId="Podnoje" w:type="paragraph">
    <w:name w:val="footer"/>
    <w:basedOn w:val="Normal"/>
    <w:link w:val="PodnojeChar"/>
    <w:uiPriority w:val="99"/>
    <w:unhideWhenUsed/>
    <w:rsid w:val="002167FB"/>
    <w:pPr>
      <w:tabs>
        <w:tab w:pos="4536" w:val="center"/>
        <w:tab w:pos="9072" w:val="right"/>
      </w:tabs>
    </w:pPr>
  </w:style>
  <w:style w:customStyle="true" w:styleId="PodnojeChar" w:type="character">
    <w:name w:val="Podnožje Char"/>
    <w:basedOn w:val="Zadanifontodlomka"/>
    <w:link w:val="Podnoje"/>
    <w:uiPriority w:val="99"/>
    <w:rsid w:val="002167FB"/>
    <w:rPr>
      <w:rFonts w:hAnsi="Times New Roman" w:ascii="Times New Roman"/>
      <w:sz w:val="24"/>
    </w:rPr>
  </w:style>
  <w:style w:styleId="Tekstrezerviranogmjesta" w:type="character">
    <w:name w:val="Placeholder Text"/>
    <w:basedOn w:val="Zadanifontodlomka"/>
    <w:uiPriority w:val="99"/>
    <w:semiHidden/>
    <w:rsid w:val="00F53C39"/>
    <w:rPr>
      <w:color w:val="808080"/>
      <w:bdr w:space="0" w:sz="0" w:color="auto" w:val="none"/>
      <w:shd w:fill="auto" w:color="auto" w:val="clear"/>
    </w:rPr>
  </w:style>
  <w:style w:customStyle="true" w:styleId="eSPISCCParagraphDefaultFont" w:type="character">
    <w:name w:val="eSPIS_CC_Paragraph Default Font"/>
    <w:basedOn w:val="Zadanifontodlomka"/>
    <w:rsid w:val="00F53C39"/>
    <w:rPr>
      <w:rFonts w:cs="Times New Roman" w:eastAsia="Calibri"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3C39"/>
    <w:rPr>
      <w:rFonts w:cs="Times New Roman" w:eastAsia="Calibri"/>
      <w:bCs/>
      <w:szCs w:val="24"/>
      <w:bdr w:space="0" w:sz="0" w:color="auto" w:val="none"/>
      <w:shd w:fill="FFFFCC" w:color="auto" w:val="clear"/>
      <w:lang w:val="hr-HR"/>
    </w:rPr>
  </w:style>
  <w:style w:customStyle="true" w:styleId="PozadinaSvijetloCrvena" w:type="character">
    <w:name w:val="Pozadina_SvijetloCrvena"/>
    <w:basedOn w:val="eSPISCCParagraphDefaultFont"/>
    <w:rsid w:val="00F53C39"/>
    <w:rPr>
      <w:rFonts w:cs="Times New Roman" w:eastAsia="Calibri"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3C39"/>
    <w:rPr>
      <w:rFonts w:cs="Times New Roman" w:eastAsia="Calibri"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83C"/>
    <w:rPr>
      <w:rFonts w:ascii="Times New Roman" w:hAnsi="Times New Roman"/>
      <w:sz w:val="24"/>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167FB"/>
    <w:rPr>
      <w:rFonts w:ascii="Tahoma" w:cs="Tahoma" w:hAnsi="Tahoma"/>
      <w:sz w:val="16"/>
      <w:szCs w:val="16"/>
    </w:rPr>
  </w:style>
  <w:style w:customStyle="1" w:styleId="TekstbaloniaChar" w:type="character">
    <w:name w:val="Tekst balončića Char"/>
    <w:basedOn w:val="Zadanifontodlomka"/>
    <w:link w:val="Tekstbalonia"/>
    <w:uiPriority w:val="99"/>
    <w:semiHidden/>
    <w:rsid w:val="002167FB"/>
    <w:rPr>
      <w:rFonts w:ascii="Tahoma" w:cs="Tahoma" w:hAnsi="Tahoma"/>
      <w:sz w:val="16"/>
      <w:szCs w:val="16"/>
    </w:rPr>
  </w:style>
  <w:style w:styleId="Zaglavlje" w:type="paragraph">
    <w:name w:val="header"/>
    <w:basedOn w:val="Normal"/>
    <w:link w:val="ZaglavljeChar"/>
    <w:uiPriority w:val="99"/>
    <w:unhideWhenUsed/>
    <w:rsid w:val="002167FB"/>
    <w:pPr>
      <w:tabs>
        <w:tab w:pos="4536" w:val="center"/>
        <w:tab w:pos="9072" w:val="right"/>
      </w:tabs>
    </w:pPr>
  </w:style>
  <w:style w:customStyle="1" w:styleId="ZaglavljeChar" w:type="character">
    <w:name w:val="Zaglavlje Char"/>
    <w:basedOn w:val="Zadanifontodlomka"/>
    <w:link w:val="Zaglavlje"/>
    <w:uiPriority w:val="99"/>
    <w:rsid w:val="002167FB"/>
    <w:rPr>
      <w:rFonts w:ascii="Times New Roman" w:hAnsi="Times New Roman"/>
      <w:sz w:val="24"/>
    </w:rPr>
  </w:style>
  <w:style w:styleId="Podnoje" w:type="paragraph">
    <w:name w:val="footer"/>
    <w:basedOn w:val="Normal"/>
    <w:link w:val="PodnojeChar"/>
    <w:uiPriority w:val="99"/>
    <w:unhideWhenUsed/>
    <w:rsid w:val="002167FB"/>
    <w:pPr>
      <w:tabs>
        <w:tab w:pos="4536" w:val="center"/>
        <w:tab w:pos="9072" w:val="right"/>
      </w:tabs>
    </w:pPr>
  </w:style>
  <w:style w:customStyle="1" w:styleId="PodnojeChar" w:type="character">
    <w:name w:val="Podnožje Char"/>
    <w:basedOn w:val="Zadanifontodlomka"/>
    <w:link w:val="Podnoje"/>
    <w:uiPriority w:val="99"/>
    <w:rsid w:val="002167FB"/>
    <w:rPr>
      <w:rFonts w:ascii="Times New Roman" w:hAnsi="Times New Roman"/>
      <w:sz w:val="24"/>
    </w:rPr>
  </w:style>
  <w:style w:styleId="Tekstrezerviranogmjesta" w:type="character">
    <w:name w:val="Placeholder Text"/>
    <w:basedOn w:val="Zadanifontodlomka"/>
    <w:uiPriority w:val="99"/>
    <w:semiHidden/>
    <w:rsid w:val="00F53C39"/>
    <w:rPr>
      <w:color w:val="808080"/>
      <w:bdr w:color="auto" w:space="0" w:sz="0" w:val="none"/>
      <w:shd w:color="auto" w:fill="auto" w:val="clear"/>
    </w:rPr>
  </w:style>
  <w:style w:customStyle="1" w:styleId="eSPISCCParagraphDefaultFont" w:type="character">
    <w:name w:val="eSPIS_CC_Paragraph Default Font"/>
    <w:basedOn w:val="Zadanifontodlomka"/>
    <w:rsid w:val="00F53C39"/>
    <w:rPr>
      <w:rFonts w:ascii="Times New Roman" w:cs="Times New Roman" w:eastAsia="Calibri"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3C39"/>
    <w:rPr>
      <w:rFonts w:cs="Times New Roman" w:eastAsia="Calibri"/>
      <w:bCs/>
      <w:szCs w:val="24"/>
      <w:bdr w:color="auto" w:space="0" w:sz="0" w:val="none"/>
      <w:shd w:color="auto" w:fill="FFFFCC" w:val="clear"/>
      <w:lang w:val="hr-HR"/>
    </w:rPr>
  </w:style>
  <w:style w:customStyle="1" w:styleId="PozadinaSvijetloCrvena" w:type="character">
    <w:name w:val="Pozadina_SvijetloCrvena"/>
    <w:basedOn w:val="eSPISCCParagraphDefaultFont"/>
    <w:rsid w:val="00F53C39"/>
    <w:rPr>
      <w:rFonts w:ascii="Times New Roman" w:cs="Times New Roman" w:eastAsia="Calibri"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3C39"/>
    <w:rPr>
      <w:rFonts w:ascii="Times New Roman" w:cs="Times New Roman" w:eastAsia="Calibri"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1429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1084</properties:Words>
  <properties:Characters>5891</properties:Characters>
  <properties:Lines>126</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2018-06-14T11:41:00Z</dcterms:created>
  <dc:creator>Sonja Pilić</dc:creator>
  <cp:lastModifiedBy>Sonja Pilić</cp:lastModifiedBy>
  <dcterms:modified xmlns:xsi="http://www.w3.org/2001/XMLSchema-instance" xsi:type="dcterms:W3CDTF">2018-06-14T11:48:00Z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St-691/2016-51 / Podnesak - Rješenje - odbijena žalba kao neosnovana - potvrđeno rješenje 1.st. (II st. rješenje.docx)</vt:lpwstr>
  </prop:property>
  <prop:property name="CC_coloring" pid="4" fmtid="{D5CDD505-2E9C-101B-9397-08002B2CF9AE}">
    <vt:bool>false</vt:bool>
  </prop:property>
  <prop:property name="BrojStranica" pid="5" fmtid="{D5CDD505-2E9C-101B-9397-08002B2CF9AE}">
    <vt:i4>3</vt:i4>
  </prop:property>
</prop:Properties>
</file>