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2F1336" w:rsidR="00090F50" w:rsidRPr="000C4362">
        <w:trPr>
          <w:trHeight w:val="2358"/>
        </w:trPr>
        <w:tc>
          <w:tcPr>
            <w:tcW w:type="dxa" w:w="4342"/>
            <w:tcMar>
              <w:top w:type="dxa" w:w="0"/>
              <w:left w:type="dxa" w:w="108"/>
              <w:bottom w:type="dxa" w:w="0"/>
              <w:right w:type="dxa" w:w="108"/>
            </w:tcMar>
          </w:tcPr>
          <w:p w:rsidRDefault="00090F50" w:rsidP="002F1336" w:rsidR="00090F50" w:rsidRPr="000C4362">
            <w:pPr>
              <w:jc w:val="center"/>
              <w:rPr>
                <w:rFonts w:hAnsi="Times New Roman" w:ascii="Times New Roman"/>
                <w:sz w:val="24"/>
              </w:rPr>
            </w:pPr>
            <w:bookmarkStart w:name="_GoBack" w:id="0"/>
            <w:bookmarkEnd w:id="0"/>
            <w:r w:rsidRPr="000C4362">
              <w:rPr>
                <w:rFonts w:hAnsi="Times New Roman" w:ascii="Times New Roman"/>
                <w:noProof/>
                <w:sz w:val="24"/>
                <w:lang w:eastAsia="hr-HR"/>
              </w:rPr>
              <w:drawing>
                <wp:inline distR="0" distL="0" distB="0" distT="0">
                  <wp:extent cy="721995" cx="582930"/>
                  <wp:effectExtent b="1905" r="762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82930"/>
                          </a:xfrm>
                          <a:prstGeom prst="rect">
                            <a:avLst/>
                          </a:prstGeom>
                          <a:noFill/>
                          <a:ln>
                            <a:noFill/>
                          </a:ln>
                        </pic:spPr>
                      </pic:pic>
                    </a:graphicData>
                  </a:graphic>
                </wp:inline>
              </w:drawing>
            </w:r>
          </w:p>
          <w:p w:rsidRDefault="00090F50" w:rsidP="002F1336" w:rsidR="00090F50" w:rsidRPr="000C4362">
            <w:pPr>
              <w:jc w:val="center"/>
              <w:rPr>
                <w:rFonts w:hAnsi="Times New Roman" w:ascii="Times New Roman"/>
                <w:sz w:val="24"/>
              </w:rPr>
            </w:pPr>
          </w:p>
          <w:p w:rsidRDefault="00090F50" w:rsidP="002F1336" w:rsidR="00090F50" w:rsidRPr="000C4362">
            <w:pPr>
              <w:jc w:val="center"/>
              <w:rPr>
                <w:rFonts w:hAnsi="Times New Roman" w:ascii="Times New Roman"/>
                <w:bCs/>
                <w:sz w:val="24"/>
              </w:rPr>
            </w:pPr>
            <w:r w:rsidRPr="000C4362">
              <w:rPr>
                <w:rFonts w:hAnsi="Times New Roman" w:ascii="Times New Roman"/>
                <w:bCs/>
                <w:sz w:val="24"/>
              </w:rPr>
              <w:t>REPUBLIKA HRVATSKA</w:t>
            </w:r>
          </w:p>
          <w:p w:rsidRDefault="00090F50" w:rsidP="002F1336" w:rsidR="00090F50" w:rsidRPr="000C4362">
            <w:pPr>
              <w:jc w:val="center"/>
              <w:rPr>
                <w:rFonts w:hAnsi="Times New Roman" w:ascii="Times New Roman"/>
                <w:bCs/>
                <w:sz w:val="24"/>
              </w:rPr>
            </w:pPr>
            <w:r w:rsidRPr="000C4362">
              <w:rPr>
                <w:rFonts w:hAnsi="Times New Roman" w:ascii="Times New Roman"/>
                <w:bCs/>
                <w:sz w:val="24"/>
              </w:rPr>
              <w:t>TRGOVAČKI SUD U ZAGREBU</w:t>
            </w:r>
          </w:p>
          <w:p w:rsidRDefault="00090F50" w:rsidP="00A33C76" w:rsidR="00090F50" w:rsidRPr="00A33C76">
            <w:pPr>
              <w:jc w:val="center"/>
              <w:rPr>
                <w:rFonts w:hAnsi="Times New Roman" w:ascii="Times New Roman"/>
                <w:bCs/>
                <w:sz w:val="24"/>
              </w:rPr>
            </w:pPr>
            <w:r w:rsidRPr="000C4362">
              <w:rPr>
                <w:rFonts w:hAnsi="Times New Roman" w:ascii="Times New Roman"/>
                <w:bCs/>
                <w:sz w:val="24"/>
              </w:rPr>
              <w:t>Zagreb, Amruševa 2/II</w:t>
            </w:r>
          </w:p>
        </w:tc>
      </w:tr>
    </w:tbl>
    <w:p w14:textId="a670881" w14:paraId="a670881" w:rsidRDefault="00A055F7" w:rsidP="00090F50" w:rsidR="00090F50" w:rsidRPr="000C4362">
      <w:pPr>
        <w:jc w:val="right"/>
        <w15:collapsed w:val="false"/>
        <w:rPr>
          <w:rFonts w:hAnsi="Times New Roman" w:ascii="Times New Roman"/>
          <w:sz w:val="24"/>
        </w:rPr>
      </w:pPr>
      <w:r w:rsidRPr="000C4362">
        <w:rPr>
          <w:rFonts w:hAnsi="Times New Roman" w:ascii="Times New Roman"/>
          <w:sz w:val="24"/>
        </w:rPr>
        <w:t>3 St</w:t>
      </w:r>
      <w:r w:rsidR="00090F50" w:rsidRPr="000C4362">
        <w:rPr>
          <w:rFonts w:hAnsi="Times New Roman" w:ascii="Times New Roman"/>
          <w:sz w:val="24"/>
        </w:rPr>
        <w:t>-</w:t>
      </w:r>
      <w:r w:rsidR="002F1336">
        <w:rPr>
          <w:rFonts w:hAnsi="Times New Roman" w:ascii="Times New Roman"/>
          <w:sz w:val="24"/>
        </w:rPr>
        <w:t>8661/15-14</w:t>
      </w:r>
    </w:p>
    <w:p w:rsidRDefault="00090F50" w:rsidP="00090F50" w:rsidR="00090F50" w:rsidRPr="000C4362">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U   I M E   R E P U B L I K E   H R V A T S K E</w:t>
      </w:r>
    </w:p>
    <w:p w:rsidRDefault="00090F50" w:rsidP="00090F50" w:rsidR="00090F50" w:rsidRPr="000C4362">
      <w:pPr>
        <w:jc w:val="center"/>
        <w:rPr>
          <w:rFonts w:hAnsi="Times New Roman" w:ascii="Times New Roman"/>
          <w:sz w:val="24"/>
        </w:rPr>
      </w:pPr>
      <w:r w:rsidRPr="000C4362">
        <w:rPr>
          <w:rFonts w:hAnsi="Times New Roman" w:ascii="Times New Roman"/>
          <w:sz w:val="24"/>
        </w:rPr>
        <w:t>R J E Š E NJ E</w:t>
      </w:r>
    </w:p>
    <w:p w:rsidRDefault="00762798" w:rsidP="00090F50" w:rsidR="00762798" w:rsidRPr="000C4362">
      <w:pPr>
        <w:jc w:val="cente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 xml:space="preserve">Trgovački sud u Zagrebu, po sudcu Mihaelu Kovačiću, u izvanparničnom postupku radi sklapanja predstečajne nagodbe, pokrenutom na prijedlog dužnika kao predlagatelja </w:t>
      </w:r>
      <w:r w:rsidR="002F1336" w:rsidRPr="002F1336">
        <w:rPr>
          <w:rFonts w:hAnsi="Times New Roman" w:ascii="Times New Roman"/>
          <w:sz w:val="24"/>
        </w:rPr>
        <w:t>Gornji Grad d.o.o., Karlovačka 203/A, Zagreb, OIB: 49158686202</w:t>
      </w:r>
      <w:r w:rsidR="000E3534">
        <w:rPr>
          <w:rFonts w:hAnsi="Times New Roman" w:ascii="Times New Roman"/>
          <w:sz w:val="24"/>
        </w:rPr>
        <w:t>,</w:t>
      </w:r>
      <w:r w:rsidRPr="000C4362">
        <w:rPr>
          <w:rFonts w:hAnsi="Times New Roman" w:ascii="Times New Roman"/>
          <w:sz w:val="24"/>
        </w:rPr>
        <w:t xml:space="preserve"> </w:t>
      </w:r>
      <w:r w:rsidR="002F1336">
        <w:rPr>
          <w:rFonts w:hAnsi="Times New Roman" w:ascii="Times New Roman"/>
          <w:sz w:val="24"/>
        </w:rPr>
        <w:t>14. rujna</w:t>
      </w:r>
      <w:r w:rsidR="0067749C" w:rsidRPr="000C4362">
        <w:rPr>
          <w:rFonts w:hAnsi="Times New Roman" w:ascii="Times New Roman"/>
          <w:sz w:val="24"/>
        </w:rPr>
        <w:t xml:space="preserve"> 2016</w:t>
      </w:r>
      <w:r w:rsidRPr="000C4362">
        <w:rPr>
          <w:rFonts w:hAnsi="Times New Roman" w:ascii="Times New Roman"/>
          <w:sz w:val="24"/>
        </w:rPr>
        <w:t xml:space="preserve">. </w:t>
      </w:r>
    </w:p>
    <w:p w:rsidRDefault="00310FBF" w:rsidP="00090F50" w:rsidR="00310FBF" w:rsidRPr="000C4362">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r i j e š i o   j e</w:t>
      </w:r>
    </w:p>
    <w:p w:rsidRDefault="00090F50" w:rsidP="00090F50" w:rsidR="00090F50" w:rsidRPr="000C4362">
      <w:pPr>
        <w:jc w:val="cente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Odobrava se sklapanje predstečajne nagodbe u tekstu koji glasi:</w:t>
      </w:r>
    </w:p>
    <w:p w:rsidRDefault="00090F50" w:rsidP="00090F50" w:rsidR="00090F50" w:rsidRPr="000C4362">
      <w:pPr>
        <w:rPr>
          <w:rFonts w:hAnsi="Times New Roman" w:ascii="Times New Roman"/>
          <w:sz w:val="24"/>
        </w:rPr>
      </w:pPr>
      <w:r w:rsidRPr="000C4362">
        <w:rPr>
          <w:rFonts w:hAnsi="Times New Roman" w:ascii="Times New Roman"/>
          <w:sz w:val="24"/>
        </w:rPr>
        <w:tab/>
      </w:r>
    </w:p>
    <w:p w:rsidRDefault="00090F50" w:rsidP="00090F50" w:rsidR="00090F50" w:rsidRPr="000C4362">
      <w:pPr>
        <w:rPr>
          <w:rFonts w:hAnsi="Times New Roman" w:ascii="Times New Roman"/>
          <w:sz w:val="24"/>
        </w:rPr>
      </w:pPr>
      <w:r w:rsidRPr="000C4362">
        <w:rPr>
          <w:rFonts w:hAnsi="Times New Roman" w:ascii="Times New Roman"/>
          <w:sz w:val="24"/>
        </w:rPr>
        <w:tab/>
        <w:t xml:space="preserve">"Dužnik </w:t>
      </w:r>
      <w:r w:rsidR="002F1336" w:rsidRPr="002F1336">
        <w:rPr>
          <w:rFonts w:hAnsi="Times New Roman" w:ascii="Times New Roman"/>
          <w:sz w:val="24"/>
        </w:rPr>
        <w:t>Gornji Grad d.o.o., Karlovačka 203/A, Zagreb, OIB: 49158686202</w:t>
      </w:r>
      <w:r w:rsidR="000E3534">
        <w:rPr>
          <w:rFonts w:hAnsi="Times New Roman" w:ascii="Times New Roman"/>
          <w:sz w:val="24"/>
        </w:rPr>
        <w:t>,</w:t>
      </w:r>
      <w:r w:rsidR="0067749C" w:rsidRPr="000C4362">
        <w:rPr>
          <w:rFonts w:hAnsi="Times New Roman" w:ascii="Times New Roman"/>
          <w:sz w:val="24"/>
        </w:rPr>
        <w:t xml:space="preserve"> </w:t>
      </w:r>
      <w:r w:rsidRPr="000C4362">
        <w:rPr>
          <w:rFonts w:hAnsi="Times New Roman" w:ascii="Times New Roman"/>
          <w:sz w:val="24"/>
        </w:rPr>
        <w:t xml:space="preserve">obvezuje se platiti </w:t>
      </w:r>
      <w:r w:rsidR="002F1336">
        <w:rPr>
          <w:rFonts w:hAnsi="Times New Roman" w:ascii="Times New Roman"/>
          <w:sz w:val="24"/>
        </w:rPr>
        <w:t>vjerovnicima</w:t>
      </w:r>
      <w:r w:rsidRPr="000C4362">
        <w:rPr>
          <w:rFonts w:hAnsi="Times New Roman" w:ascii="Times New Roman"/>
          <w:sz w:val="24"/>
        </w:rPr>
        <w:t xml:space="preserve"> kako slijedi:</w:t>
      </w:r>
    </w:p>
    <w:p w:rsidRDefault="00090F50" w:rsidP="00090F50" w:rsidR="00090F50" w:rsidRPr="000C4362">
      <w:pPr>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 Tijela javne uprave i trgovačka društva u većinskom državnom vlasništvu,</w:t>
      </w:r>
    </w:p>
    <w:p w:rsidRDefault="002F1336" w:rsidP="002F1336" w:rsidR="002F1336" w:rsidRPr="002F1336">
      <w:pPr>
        <w:ind w:left="720"/>
        <w:rPr>
          <w:rFonts w:hAnsi="Times New Roman" w:ascii="Times New Roman"/>
          <w:sz w:val="24"/>
        </w:rPr>
      </w:pPr>
      <w:r w:rsidRPr="002F1336">
        <w:rPr>
          <w:rFonts w:hAnsi="Times New Roman" w:ascii="Times New Roman"/>
          <w:sz w:val="24"/>
        </w:rPr>
        <w:t>Tražbine kategorije a) namiriti će se na sljedeći način:</w:t>
      </w:r>
    </w:p>
    <w:p w:rsidRDefault="002F1336" w:rsidP="002F1336" w:rsidR="002F1336" w:rsidRPr="002F1336">
      <w:pPr>
        <w:ind w:left="720"/>
        <w:rPr>
          <w:rFonts w:hAnsi="Times New Roman" w:ascii="Times New Roman"/>
          <w:i/>
          <w:sz w:val="24"/>
        </w:rPr>
      </w:pPr>
    </w:p>
    <w:tbl>
      <w:tblPr>
        <w:tblW w:type="dxa" w:w="8835"/>
        <w:tblInd w:type="dxa" w:w="94"/>
        <w:tblLook w:val="04A0" w:noVBand="1" w:noHBand="0" w:lastColumn="0" w:firstColumn="1" w:lastRow="0" w:firstRow="1"/>
      </w:tblPr>
      <w:tblGrid>
        <w:gridCol w:w="3275"/>
        <w:gridCol w:w="1371"/>
        <w:gridCol w:w="1428"/>
        <w:gridCol w:w="1486"/>
        <w:gridCol w:w="1275"/>
      </w:tblGrid>
      <w:tr w:rsidTr="00214002" w:rsidR="002F1336" w:rsidRPr="002F1336">
        <w:trPr>
          <w:trHeight w:val="520"/>
        </w:trPr>
        <w:tc>
          <w:tcPr>
            <w:tcW w:type="dxa" w:w="3275"/>
            <w:tcBorders>
              <w:top w:space="0" w:sz="8" w:color="auto" w:val="single"/>
              <w:left w:space="0" w:sz="8" w:color="auto" w:val="single"/>
              <w:bottom w:space="0" w:sz="8" w:color="auto" w:val="single"/>
              <w:right w:space="0" w:sz="8" w:color="auto" w:val="single"/>
            </w:tcBorders>
            <w:shd w:fill="00B0F0" w:color="000000" w:val="clear"/>
            <w:noWrap/>
            <w:vAlign w:val="center"/>
            <w:hideMark/>
          </w:tcPr>
          <w:p w:rsidRDefault="002F1336" w:rsidP="002F1336" w:rsidR="002F1336" w:rsidRPr="002F1336">
            <w:pPr>
              <w:ind w:left="720"/>
              <w:rPr>
                <w:rFonts w:hAnsi="Times New Roman" w:ascii="Times New Roman"/>
                <w:iCs/>
                <w:sz w:val="20"/>
                <w:szCs w:val="20"/>
              </w:rPr>
            </w:pPr>
            <w:r w:rsidRPr="002F1336">
              <w:rPr>
                <w:rFonts w:hAnsi="Times New Roman" w:ascii="Times New Roman"/>
                <w:iCs/>
                <w:sz w:val="20"/>
                <w:szCs w:val="20"/>
              </w:rPr>
              <w:t>NAZIV</w:t>
            </w:r>
          </w:p>
        </w:tc>
        <w:tc>
          <w:tcPr>
            <w:tcW w:type="dxa" w:w="1371"/>
            <w:tcBorders>
              <w:top w:space="0" w:sz="8" w:color="auto" w:val="single"/>
              <w:left w:val="nil"/>
              <w:bottom w:space="0" w:sz="8" w:color="auto" w:val="single"/>
              <w:right w:space="0" w:sz="8" w:color="auto" w:val="single"/>
            </w:tcBorders>
            <w:shd w:fill="00B0F0" w:color="000000" w:val="clear"/>
            <w:noWrap/>
            <w:vAlign w:val="center"/>
            <w:hideMark/>
          </w:tcPr>
          <w:p w:rsidRDefault="002F1336" w:rsidP="002F1336" w:rsidR="002F1336" w:rsidRPr="002F1336">
            <w:pPr>
              <w:rPr>
                <w:rFonts w:hAnsi="Times New Roman" w:ascii="Times New Roman"/>
                <w:iCs/>
                <w:sz w:val="20"/>
                <w:szCs w:val="20"/>
              </w:rPr>
            </w:pPr>
            <w:r w:rsidRPr="002F1336">
              <w:rPr>
                <w:rFonts w:hAnsi="Times New Roman" w:ascii="Times New Roman"/>
                <w:iCs/>
                <w:sz w:val="20"/>
                <w:szCs w:val="20"/>
              </w:rPr>
              <w:t>UKUPNA OBVEZA</w:t>
            </w:r>
          </w:p>
        </w:tc>
        <w:tc>
          <w:tcPr>
            <w:tcW w:type="dxa" w:w="1428"/>
            <w:tcBorders>
              <w:top w:space="0" w:sz="8" w:color="auto" w:val="single"/>
              <w:left w:val="nil"/>
              <w:bottom w:space="0" w:sz="8" w:color="auto" w:val="single"/>
              <w:right w:space="0" w:sz="8" w:color="auto" w:val="single"/>
            </w:tcBorders>
            <w:shd w:fill="00B0F0" w:color="000000" w:val="clear"/>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OTPISANA VRIJEDNOST</w:t>
            </w:r>
          </w:p>
        </w:tc>
        <w:tc>
          <w:tcPr>
            <w:tcW w:type="dxa" w:w="1486"/>
            <w:tcBorders>
              <w:top w:space="0" w:sz="8" w:color="auto" w:val="single"/>
              <w:left w:val="nil"/>
              <w:bottom w:space="0" w:sz="8" w:color="auto" w:val="single"/>
              <w:right w:space="0" w:sz="8" w:color="auto" w:val="single"/>
            </w:tcBorders>
            <w:shd w:fill="00B0F0" w:color="000000" w:val="clear"/>
            <w:vAlign w:val="center"/>
            <w:hideMark/>
          </w:tcPr>
          <w:p w:rsidRDefault="002F1336" w:rsidP="002F1336" w:rsidR="002F1336" w:rsidRPr="002F1336">
            <w:pPr>
              <w:rPr>
                <w:rFonts w:hAnsi="Times New Roman" w:ascii="Times New Roman"/>
                <w:iCs/>
                <w:sz w:val="20"/>
                <w:szCs w:val="20"/>
              </w:rPr>
            </w:pPr>
            <w:r w:rsidRPr="002F1336">
              <w:rPr>
                <w:rFonts w:hAnsi="Times New Roman" w:ascii="Times New Roman"/>
                <w:iCs/>
                <w:sz w:val="20"/>
                <w:szCs w:val="20"/>
              </w:rPr>
              <w:t>VRIJEDNOST ZA OTPLATU</w:t>
            </w:r>
          </w:p>
        </w:tc>
        <w:tc>
          <w:tcPr>
            <w:tcW w:type="dxa" w:w="1275"/>
            <w:tcBorders>
              <w:top w:space="0" w:sz="8" w:color="auto" w:val="single"/>
              <w:left w:val="nil"/>
              <w:bottom w:space="0" w:sz="8" w:color="auto" w:val="single"/>
              <w:right w:space="0" w:sz="8" w:color="auto" w:val="single"/>
            </w:tcBorders>
            <w:shd w:fill="00B0F0" w:color="000000" w:val="clear"/>
            <w:vAlign w:val="center"/>
            <w:hideMark/>
          </w:tcPr>
          <w:p w:rsidRDefault="002F1336" w:rsidP="002F1336" w:rsidR="002F1336" w:rsidRPr="002F1336">
            <w:pPr>
              <w:rPr>
                <w:rFonts w:hAnsi="Times New Roman" w:ascii="Times New Roman"/>
                <w:iCs/>
                <w:sz w:val="20"/>
                <w:szCs w:val="20"/>
              </w:rPr>
            </w:pPr>
            <w:r w:rsidRPr="002F1336">
              <w:rPr>
                <w:rFonts w:hAnsi="Times New Roman" w:ascii="Times New Roman"/>
                <w:iCs/>
                <w:sz w:val="20"/>
                <w:szCs w:val="20"/>
              </w:rPr>
              <w:t>MJESEČNA RATA BEZ KAMATA</w:t>
            </w:r>
          </w:p>
        </w:tc>
      </w:tr>
      <w:tr w:rsidTr="00214002" w:rsidR="002F1336" w:rsidRPr="002F1336">
        <w:trPr>
          <w:trHeight w:val="312"/>
        </w:trPr>
        <w:tc>
          <w:tcPr>
            <w:tcW w:type="dxa" w:w="3275"/>
            <w:tcBorders>
              <w:top w:val="nil"/>
              <w:left w:space="0" w:sz="8" w:color="auto" w:val="single"/>
              <w:bottom w:space="0" w:sz="8" w:color="auto" w:val="single"/>
              <w:right w:space="0" w:sz="8" w:color="auto" w:val="single"/>
            </w:tcBorders>
            <w:shd w:fill="auto" w:color="auto" w:val="clear"/>
            <w:noWrap/>
            <w:vAlign w:val="center"/>
            <w:hideMark/>
          </w:tcPr>
          <w:p w:rsidRDefault="002F1336" w:rsidP="002F1336" w:rsidR="002F1336" w:rsidRPr="002F1336">
            <w:pPr>
              <w:ind w:left="720"/>
              <w:rPr>
                <w:rFonts w:hAnsi="Times New Roman" w:ascii="Times New Roman"/>
                <w:iCs/>
                <w:sz w:val="20"/>
                <w:szCs w:val="20"/>
              </w:rPr>
            </w:pPr>
            <w:r w:rsidRPr="002F1336">
              <w:rPr>
                <w:rFonts w:hAnsi="Times New Roman" w:ascii="Times New Roman"/>
                <w:iCs/>
                <w:sz w:val="20"/>
                <w:szCs w:val="20"/>
              </w:rPr>
              <w:t>Gradska Plinara Zagreb-Opskrba d.o.o.</w:t>
            </w:r>
          </w:p>
        </w:tc>
        <w:tc>
          <w:tcPr>
            <w:tcW w:type="dxa" w:w="1371"/>
            <w:tcBorders>
              <w:top w:val="nil"/>
              <w:left w:val="nil"/>
              <w:bottom w:space="0" w:sz="8" w:color="auto" w:val="single"/>
              <w:right w:space="0" w:sz="8" w:color="auto" w:val="single"/>
            </w:tcBorders>
            <w:shd w:fill="auto" w:color="auto" w:val="clear"/>
            <w:noWrap/>
            <w:vAlign w:val="center"/>
            <w:hideMark/>
          </w:tcPr>
          <w:p w:rsidRDefault="002F1336"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Pr="002F1336">
              <w:rPr>
                <w:rFonts w:hAnsi="Times New Roman" w:ascii="Times New Roman"/>
                <w:iCs/>
                <w:sz w:val="20"/>
                <w:szCs w:val="20"/>
              </w:rPr>
              <w:t>1.995,12</w:t>
            </w:r>
          </w:p>
        </w:tc>
        <w:tc>
          <w:tcPr>
            <w:tcW w:type="dxa" w:w="1428"/>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Pr="002F1336">
              <w:rPr>
                <w:rFonts w:hAnsi="Times New Roman" w:ascii="Times New Roman"/>
                <w:iCs/>
                <w:sz w:val="20"/>
                <w:szCs w:val="20"/>
              </w:rPr>
              <w:t>421,76</w:t>
            </w:r>
          </w:p>
        </w:tc>
        <w:tc>
          <w:tcPr>
            <w:tcW w:type="dxa" w:w="1486"/>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Pr="002F1336">
              <w:rPr>
                <w:rFonts w:hAnsi="Times New Roman" w:ascii="Times New Roman"/>
                <w:iCs/>
                <w:sz w:val="20"/>
                <w:szCs w:val="20"/>
              </w:rPr>
              <w:t>1.573,36</w:t>
            </w:r>
          </w:p>
        </w:tc>
        <w:tc>
          <w:tcPr>
            <w:tcW w:type="dxa" w:w="1275"/>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Pr="002F1336">
              <w:rPr>
                <w:rFonts w:hAnsi="Times New Roman" w:ascii="Times New Roman"/>
                <w:iCs/>
                <w:sz w:val="20"/>
                <w:szCs w:val="20"/>
              </w:rPr>
              <w:t>32,78</w:t>
            </w:r>
          </w:p>
        </w:tc>
      </w:tr>
      <w:tr w:rsidTr="00214002" w:rsidR="002F1336" w:rsidRPr="002F1336">
        <w:trPr>
          <w:trHeight w:val="312"/>
        </w:trPr>
        <w:tc>
          <w:tcPr>
            <w:tcW w:type="dxa" w:w="3275"/>
            <w:tcBorders>
              <w:top w:val="nil"/>
              <w:left w:space="0" w:sz="8" w:color="auto" w:val="single"/>
              <w:bottom w:space="0" w:sz="8" w:color="auto" w:val="single"/>
              <w:right w:space="0" w:sz="8" w:color="auto" w:val="single"/>
            </w:tcBorders>
            <w:shd w:fill="auto" w:color="auto" w:val="clear"/>
            <w:noWrap/>
            <w:vAlign w:val="center"/>
            <w:hideMark/>
          </w:tcPr>
          <w:p w:rsidRDefault="002F1336" w:rsidP="002F1336" w:rsidR="002F1336" w:rsidRPr="002F1336">
            <w:pPr>
              <w:ind w:left="720"/>
              <w:rPr>
                <w:rFonts w:hAnsi="Times New Roman" w:ascii="Times New Roman"/>
                <w:iCs/>
                <w:sz w:val="20"/>
                <w:szCs w:val="20"/>
              </w:rPr>
            </w:pPr>
            <w:r w:rsidRPr="002F1336">
              <w:rPr>
                <w:rFonts w:hAnsi="Times New Roman" w:ascii="Times New Roman"/>
                <w:iCs/>
                <w:sz w:val="20"/>
                <w:szCs w:val="20"/>
              </w:rPr>
              <w:t>HEP opskrba d.o.o.</w:t>
            </w:r>
          </w:p>
        </w:tc>
        <w:tc>
          <w:tcPr>
            <w:tcW w:type="dxa" w:w="1371"/>
            <w:tcBorders>
              <w:top w:val="nil"/>
              <w:left w:val="nil"/>
              <w:bottom w:space="0" w:sz="8" w:color="auto" w:val="single"/>
              <w:right w:space="0" w:sz="8" w:color="auto" w:val="single"/>
            </w:tcBorders>
            <w:shd w:fill="auto" w:color="auto" w:val="clear"/>
            <w:noWrap/>
            <w:vAlign w:val="center"/>
            <w:hideMark/>
          </w:tcPr>
          <w:p w:rsidRDefault="002F1336"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Pr="002F1336">
              <w:rPr>
                <w:rFonts w:hAnsi="Times New Roman" w:ascii="Times New Roman"/>
                <w:iCs/>
                <w:sz w:val="20"/>
                <w:szCs w:val="20"/>
              </w:rPr>
              <w:t>1.418,16</w:t>
            </w:r>
          </w:p>
        </w:tc>
        <w:tc>
          <w:tcPr>
            <w:tcW w:type="dxa" w:w="1428"/>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Pr="002F1336">
              <w:rPr>
                <w:rFonts w:hAnsi="Times New Roman" w:ascii="Times New Roman"/>
                <w:iCs/>
                <w:sz w:val="20"/>
                <w:szCs w:val="20"/>
              </w:rPr>
              <w:t>294,20</w:t>
            </w:r>
          </w:p>
        </w:tc>
        <w:tc>
          <w:tcPr>
            <w:tcW w:type="dxa" w:w="1486"/>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Pr="002F1336">
              <w:rPr>
                <w:rFonts w:hAnsi="Times New Roman" w:ascii="Times New Roman"/>
                <w:iCs/>
                <w:sz w:val="20"/>
                <w:szCs w:val="20"/>
              </w:rPr>
              <w:t>1.123,96</w:t>
            </w:r>
          </w:p>
        </w:tc>
        <w:tc>
          <w:tcPr>
            <w:tcW w:type="dxa" w:w="1275"/>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Pr="002F1336">
              <w:rPr>
                <w:rFonts w:hAnsi="Times New Roman" w:ascii="Times New Roman"/>
                <w:iCs/>
                <w:sz w:val="20"/>
                <w:szCs w:val="20"/>
              </w:rPr>
              <w:t>23,42</w:t>
            </w:r>
          </w:p>
        </w:tc>
      </w:tr>
      <w:tr w:rsidTr="00214002" w:rsidR="002F1336" w:rsidRPr="002F1336">
        <w:trPr>
          <w:trHeight w:val="312"/>
        </w:trPr>
        <w:tc>
          <w:tcPr>
            <w:tcW w:type="dxa" w:w="3275"/>
            <w:tcBorders>
              <w:top w:val="nil"/>
              <w:left w:space="0" w:sz="8" w:color="auto" w:val="single"/>
              <w:bottom w:space="0" w:sz="8" w:color="auto" w:val="single"/>
              <w:right w:space="0" w:sz="8" w:color="auto" w:val="single"/>
            </w:tcBorders>
            <w:shd w:fill="auto" w:color="auto" w:val="clear"/>
            <w:noWrap/>
            <w:vAlign w:val="center"/>
            <w:hideMark/>
          </w:tcPr>
          <w:p w:rsidRDefault="002F1336" w:rsidP="002F1336" w:rsidR="002F1336" w:rsidRPr="002F1336">
            <w:pPr>
              <w:ind w:left="720"/>
              <w:rPr>
                <w:rFonts w:hAnsi="Times New Roman" w:ascii="Times New Roman"/>
                <w:iCs/>
                <w:sz w:val="20"/>
                <w:szCs w:val="20"/>
              </w:rPr>
            </w:pPr>
            <w:r w:rsidRPr="002F1336">
              <w:rPr>
                <w:rFonts w:hAnsi="Times New Roman" w:ascii="Times New Roman"/>
                <w:iCs/>
                <w:sz w:val="20"/>
                <w:szCs w:val="20"/>
              </w:rPr>
              <w:t>HEP-Operator Distribucijskog Sustava d.o.o. ELEKTRA ZAGREB</w:t>
            </w:r>
          </w:p>
        </w:tc>
        <w:tc>
          <w:tcPr>
            <w:tcW w:type="dxa" w:w="1371"/>
            <w:tcBorders>
              <w:top w:val="nil"/>
              <w:left w:val="nil"/>
              <w:bottom w:space="0" w:sz="8" w:color="auto" w:val="single"/>
              <w:right w:space="0" w:sz="8" w:color="auto" w:val="single"/>
            </w:tcBorders>
            <w:shd w:fill="auto" w:color="auto" w:val="clear"/>
            <w:noWrap/>
            <w:vAlign w:val="center"/>
            <w:hideMark/>
          </w:tcPr>
          <w:p w:rsidRDefault="002F1336"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Pr="002F1336">
              <w:rPr>
                <w:rFonts w:hAnsi="Times New Roman" w:ascii="Times New Roman"/>
                <w:iCs/>
                <w:sz w:val="20"/>
                <w:szCs w:val="20"/>
              </w:rPr>
              <w:t>1.860,09</w:t>
            </w:r>
          </w:p>
        </w:tc>
        <w:tc>
          <w:tcPr>
            <w:tcW w:type="dxa" w:w="1428"/>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Pr="002F1336">
              <w:rPr>
                <w:rFonts w:hAnsi="Times New Roman" w:ascii="Times New Roman"/>
                <w:iCs/>
                <w:sz w:val="20"/>
                <w:szCs w:val="20"/>
              </w:rPr>
              <w:t>410,70</w:t>
            </w:r>
          </w:p>
        </w:tc>
        <w:tc>
          <w:tcPr>
            <w:tcW w:type="dxa" w:w="1486"/>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Pr="002F1336">
              <w:rPr>
                <w:rFonts w:hAnsi="Times New Roman" w:ascii="Times New Roman"/>
                <w:iCs/>
                <w:sz w:val="20"/>
                <w:szCs w:val="20"/>
              </w:rPr>
              <w:t>1.449,39</w:t>
            </w:r>
          </w:p>
        </w:tc>
        <w:tc>
          <w:tcPr>
            <w:tcW w:type="dxa" w:w="1275"/>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Pr="002F1336">
              <w:rPr>
                <w:rFonts w:hAnsi="Times New Roman" w:ascii="Times New Roman"/>
                <w:iCs/>
                <w:sz w:val="20"/>
                <w:szCs w:val="20"/>
              </w:rPr>
              <w:t>30,20</w:t>
            </w:r>
          </w:p>
        </w:tc>
      </w:tr>
      <w:tr w:rsidTr="00214002" w:rsidR="002F1336" w:rsidRPr="002F1336">
        <w:trPr>
          <w:trHeight w:val="312"/>
        </w:trPr>
        <w:tc>
          <w:tcPr>
            <w:tcW w:type="dxa" w:w="3275"/>
            <w:tcBorders>
              <w:top w:val="nil"/>
              <w:left w:space="0" w:sz="8" w:color="auto" w:val="single"/>
              <w:bottom w:space="0" w:sz="8" w:color="auto" w:val="single"/>
              <w:right w:space="0" w:sz="8" w:color="auto" w:val="single"/>
            </w:tcBorders>
            <w:shd w:fill="auto" w:color="auto" w:val="clear"/>
            <w:noWrap/>
            <w:vAlign w:val="center"/>
            <w:hideMark/>
          </w:tcPr>
          <w:p w:rsidRDefault="002F1336" w:rsidP="002F1336" w:rsidR="002F1336" w:rsidRPr="002F1336">
            <w:pPr>
              <w:ind w:left="720"/>
              <w:rPr>
                <w:rFonts w:hAnsi="Times New Roman" w:ascii="Times New Roman"/>
                <w:iCs/>
                <w:sz w:val="20"/>
                <w:szCs w:val="20"/>
              </w:rPr>
            </w:pPr>
            <w:r w:rsidRPr="002F1336">
              <w:rPr>
                <w:rFonts w:hAnsi="Times New Roman" w:ascii="Times New Roman"/>
                <w:iCs/>
                <w:sz w:val="20"/>
                <w:szCs w:val="20"/>
              </w:rPr>
              <w:t>Hrvatske autoceste d.o.o.</w:t>
            </w:r>
          </w:p>
        </w:tc>
        <w:tc>
          <w:tcPr>
            <w:tcW w:type="dxa" w:w="1371"/>
            <w:tcBorders>
              <w:top w:val="nil"/>
              <w:left w:val="nil"/>
              <w:bottom w:space="0" w:sz="8" w:color="auto" w:val="single"/>
              <w:right w:space="0" w:sz="8" w:color="auto" w:val="single"/>
            </w:tcBorders>
            <w:shd w:fill="auto" w:color="auto" w:val="clear"/>
            <w:noWrap/>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1.236,00</w:t>
            </w:r>
          </w:p>
        </w:tc>
        <w:tc>
          <w:tcPr>
            <w:tcW w:type="dxa" w:w="1428"/>
            <w:tcBorders>
              <w:top w:val="nil"/>
              <w:left w:val="nil"/>
              <w:bottom w:space="0" w:sz="8" w:color="auto" w:val="single"/>
              <w:right w:space="0" w:sz="8" w:color="auto" w:val="single"/>
            </w:tcBorders>
            <w:shd w:fill="auto" w:color="auto" w:val="clear"/>
            <w:vAlign w:val="center"/>
            <w:hideMark/>
          </w:tcPr>
          <w:p w:rsidRDefault="00214002"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002F1336" w:rsidRPr="002F1336">
              <w:rPr>
                <w:rFonts w:hAnsi="Times New Roman" w:ascii="Times New Roman"/>
                <w:iCs/>
                <w:sz w:val="20"/>
                <w:szCs w:val="20"/>
              </w:rPr>
              <w:t>247,20</w:t>
            </w:r>
          </w:p>
        </w:tc>
        <w:tc>
          <w:tcPr>
            <w:tcW w:type="dxa" w:w="1486"/>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ind w:left="720"/>
              <w:jc w:val="right"/>
              <w:rPr>
                <w:rFonts w:hAnsi="Times New Roman" w:ascii="Times New Roman"/>
                <w:iCs/>
                <w:sz w:val="20"/>
                <w:szCs w:val="20"/>
              </w:rPr>
            </w:pPr>
            <w:r w:rsidRPr="002F1336">
              <w:rPr>
                <w:rFonts w:hAnsi="Times New Roman" w:ascii="Times New Roman"/>
                <w:iCs/>
                <w:sz w:val="20"/>
                <w:szCs w:val="20"/>
              </w:rPr>
              <w:t>988,80</w:t>
            </w:r>
          </w:p>
        </w:tc>
        <w:tc>
          <w:tcPr>
            <w:tcW w:type="dxa" w:w="1275"/>
            <w:tcBorders>
              <w:top w:val="nil"/>
              <w:left w:val="nil"/>
              <w:bottom w:space="0" w:sz="8" w:color="auto" w:val="single"/>
              <w:right w:space="0" w:sz="8" w:color="auto" w:val="single"/>
            </w:tcBorders>
            <w:shd w:fill="auto" w:color="auto" w:val="clear"/>
            <w:vAlign w:val="center"/>
            <w:hideMark/>
          </w:tcPr>
          <w:p w:rsidRDefault="00214002"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002F1336" w:rsidRPr="002F1336">
              <w:rPr>
                <w:rFonts w:hAnsi="Times New Roman" w:ascii="Times New Roman"/>
                <w:iCs/>
                <w:sz w:val="20"/>
                <w:szCs w:val="20"/>
              </w:rPr>
              <w:t>20,60</w:t>
            </w:r>
          </w:p>
        </w:tc>
      </w:tr>
      <w:tr w:rsidTr="00214002" w:rsidR="002F1336" w:rsidRPr="002F1336">
        <w:trPr>
          <w:trHeight w:val="312"/>
        </w:trPr>
        <w:tc>
          <w:tcPr>
            <w:tcW w:type="dxa" w:w="3275"/>
            <w:tcBorders>
              <w:top w:val="nil"/>
              <w:left w:space="0" w:sz="8" w:color="auto" w:val="single"/>
              <w:bottom w:space="0" w:sz="8" w:color="auto" w:val="single"/>
              <w:right w:space="0" w:sz="8" w:color="auto" w:val="single"/>
            </w:tcBorders>
            <w:shd w:fill="auto" w:color="auto" w:val="clear"/>
            <w:noWrap/>
            <w:vAlign w:val="center"/>
            <w:hideMark/>
          </w:tcPr>
          <w:p w:rsidRDefault="002F1336" w:rsidP="002F1336" w:rsidR="002F1336" w:rsidRPr="002F1336">
            <w:pPr>
              <w:ind w:left="720"/>
              <w:rPr>
                <w:rFonts w:hAnsi="Times New Roman" w:ascii="Times New Roman"/>
                <w:iCs/>
                <w:sz w:val="20"/>
                <w:szCs w:val="20"/>
              </w:rPr>
            </w:pPr>
            <w:r w:rsidRPr="002F1336">
              <w:rPr>
                <w:rFonts w:hAnsi="Times New Roman" w:ascii="Times New Roman"/>
                <w:iCs/>
                <w:sz w:val="20"/>
                <w:szCs w:val="20"/>
              </w:rPr>
              <w:t xml:space="preserve">Hrvatske vode </w:t>
            </w:r>
          </w:p>
        </w:tc>
        <w:tc>
          <w:tcPr>
            <w:tcW w:type="dxa" w:w="1371"/>
            <w:tcBorders>
              <w:top w:val="nil"/>
              <w:left w:val="nil"/>
              <w:bottom w:space="0" w:sz="8" w:color="auto" w:val="single"/>
              <w:right w:space="0" w:sz="8" w:color="auto" w:val="single"/>
            </w:tcBorders>
            <w:shd w:fill="auto" w:color="auto" w:val="clear"/>
            <w:noWrap/>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29.598,86</w:t>
            </w:r>
          </w:p>
        </w:tc>
        <w:tc>
          <w:tcPr>
            <w:tcW w:type="dxa" w:w="1428"/>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7.254,40</w:t>
            </w:r>
          </w:p>
        </w:tc>
        <w:tc>
          <w:tcPr>
            <w:tcW w:type="dxa" w:w="1486"/>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22.344,46</w:t>
            </w:r>
          </w:p>
        </w:tc>
        <w:tc>
          <w:tcPr>
            <w:tcW w:type="dxa" w:w="1275"/>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w:t>
            </w:r>
            <w:r w:rsidR="00214002">
              <w:rPr>
                <w:rFonts w:hAnsi="Times New Roman" w:ascii="Times New Roman"/>
                <w:iCs/>
                <w:sz w:val="20"/>
                <w:szCs w:val="20"/>
              </w:rPr>
              <w:t xml:space="preserve">         </w:t>
            </w:r>
            <w:r w:rsidRPr="002F1336">
              <w:rPr>
                <w:rFonts w:hAnsi="Times New Roman" w:ascii="Times New Roman"/>
                <w:iCs/>
                <w:sz w:val="20"/>
                <w:szCs w:val="20"/>
              </w:rPr>
              <w:t>465,51</w:t>
            </w:r>
          </w:p>
        </w:tc>
      </w:tr>
      <w:tr w:rsidTr="00214002" w:rsidR="002F1336" w:rsidRPr="002F1336">
        <w:trPr>
          <w:trHeight w:val="312"/>
        </w:trPr>
        <w:tc>
          <w:tcPr>
            <w:tcW w:type="dxa" w:w="3275"/>
            <w:tcBorders>
              <w:top w:val="nil"/>
              <w:left w:space="0" w:sz="8" w:color="auto" w:val="single"/>
              <w:bottom w:space="0" w:sz="8" w:color="auto" w:val="single"/>
              <w:right w:space="0" w:sz="8" w:color="auto" w:val="single"/>
            </w:tcBorders>
            <w:shd w:fill="auto" w:color="auto" w:val="clear"/>
            <w:noWrap/>
            <w:vAlign w:val="center"/>
            <w:hideMark/>
          </w:tcPr>
          <w:p w:rsidRDefault="002F1336" w:rsidP="002F1336" w:rsidR="002F1336" w:rsidRPr="002F1336">
            <w:pPr>
              <w:ind w:left="720"/>
              <w:rPr>
                <w:rFonts w:hAnsi="Times New Roman" w:ascii="Times New Roman"/>
                <w:iCs/>
                <w:sz w:val="20"/>
                <w:szCs w:val="20"/>
              </w:rPr>
            </w:pPr>
            <w:r w:rsidRPr="002F1336">
              <w:rPr>
                <w:rFonts w:hAnsi="Times New Roman" w:ascii="Times New Roman"/>
                <w:iCs/>
                <w:sz w:val="20"/>
                <w:szCs w:val="20"/>
              </w:rPr>
              <w:t>Ministarstvo financija-PU</w:t>
            </w:r>
          </w:p>
        </w:tc>
        <w:tc>
          <w:tcPr>
            <w:tcW w:type="dxa" w:w="1371"/>
            <w:tcBorders>
              <w:top w:val="nil"/>
              <w:left w:val="nil"/>
              <w:bottom w:space="0" w:sz="8" w:color="auto" w:val="single"/>
              <w:right w:space="0" w:sz="8" w:color="auto" w:val="single"/>
            </w:tcBorders>
            <w:shd w:fill="auto" w:color="auto" w:val="clear"/>
            <w:noWrap/>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2.742.969,27</w:t>
            </w:r>
          </w:p>
        </w:tc>
        <w:tc>
          <w:tcPr>
            <w:tcW w:type="dxa" w:w="1428"/>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595.127,96</w:t>
            </w:r>
          </w:p>
        </w:tc>
        <w:tc>
          <w:tcPr>
            <w:tcW w:type="dxa" w:w="1486"/>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2.147.841,31</w:t>
            </w:r>
          </w:p>
        </w:tc>
        <w:tc>
          <w:tcPr>
            <w:tcW w:type="dxa" w:w="1275"/>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44.746,69</w:t>
            </w:r>
          </w:p>
        </w:tc>
      </w:tr>
      <w:tr w:rsidTr="00214002" w:rsidR="002F1336" w:rsidRPr="002F1336">
        <w:trPr>
          <w:trHeight w:val="312"/>
        </w:trPr>
        <w:tc>
          <w:tcPr>
            <w:tcW w:type="dxa" w:w="3275"/>
            <w:tcBorders>
              <w:top w:val="nil"/>
              <w:left w:space="0" w:sz="8" w:color="auto" w:val="single"/>
              <w:bottom w:space="0" w:sz="8" w:color="auto" w:val="single"/>
              <w:right w:space="0" w:sz="8" w:color="auto" w:val="single"/>
            </w:tcBorders>
            <w:shd w:fill="auto" w:color="auto" w:val="clear"/>
            <w:noWrap/>
            <w:vAlign w:val="center"/>
            <w:hideMark/>
          </w:tcPr>
          <w:p w:rsidRDefault="002F1336" w:rsidP="002F1336" w:rsidR="002F1336" w:rsidRPr="002F1336">
            <w:pPr>
              <w:ind w:left="720"/>
              <w:rPr>
                <w:rFonts w:hAnsi="Times New Roman" w:ascii="Times New Roman"/>
                <w:iCs/>
                <w:sz w:val="20"/>
                <w:szCs w:val="20"/>
              </w:rPr>
            </w:pPr>
            <w:r w:rsidRPr="002F1336">
              <w:rPr>
                <w:rFonts w:hAnsi="Times New Roman" w:ascii="Times New Roman"/>
                <w:iCs/>
                <w:sz w:val="20"/>
                <w:szCs w:val="20"/>
              </w:rPr>
              <w:t>Republika Hrvatska Zagrebačka Županija Općina Stupnik</w:t>
            </w:r>
          </w:p>
        </w:tc>
        <w:tc>
          <w:tcPr>
            <w:tcW w:type="dxa" w:w="1371"/>
            <w:tcBorders>
              <w:top w:val="nil"/>
              <w:left w:val="nil"/>
              <w:bottom w:space="0" w:sz="8" w:color="auto" w:val="single"/>
              <w:right w:space="0" w:sz="8" w:color="auto" w:val="single"/>
            </w:tcBorders>
            <w:shd w:fill="auto" w:color="auto" w:val="clear"/>
            <w:noWrap/>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57.116,00</w:t>
            </w:r>
          </w:p>
        </w:tc>
        <w:tc>
          <w:tcPr>
            <w:tcW w:type="dxa" w:w="1428"/>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14.843,39</w:t>
            </w:r>
          </w:p>
        </w:tc>
        <w:tc>
          <w:tcPr>
            <w:tcW w:type="dxa" w:w="1486"/>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42.272,61</w:t>
            </w:r>
          </w:p>
        </w:tc>
        <w:tc>
          <w:tcPr>
            <w:tcW w:type="dxa" w:w="1275"/>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880,68</w:t>
            </w:r>
          </w:p>
        </w:tc>
      </w:tr>
      <w:tr w:rsidTr="00214002" w:rsidR="002F1336" w:rsidRPr="002F1336">
        <w:trPr>
          <w:trHeight w:val="312"/>
        </w:trPr>
        <w:tc>
          <w:tcPr>
            <w:tcW w:type="dxa" w:w="3275"/>
            <w:tcBorders>
              <w:top w:val="nil"/>
              <w:left w:space="0" w:sz="8" w:color="auto" w:val="single"/>
              <w:bottom w:space="0" w:sz="8" w:color="auto" w:val="single"/>
              <w:right w:space="0" w:sz="8" w:color="auto" w:val="single"/>
            </w:tcBorders>
            <w:shd w:fill="auto" w:color="auto" w:val="clear"/>
            <w:noWrap/>
            <w:vAlign w:val="center"/>
            <w:hideMark/>
          </w:tcPr>
          <w:p w:rsidRDefault="002F1336" w:rsidP="002F1336" w:rsidR="002F1336" w:rsidRPr="002F1336">
            <w:pPr>
              <w:ind w:left="720"/>
              <w:rPr>
                <w:rFonts w:hAnsi="Times New Roman" w:ascii="Times New Roman"/>
                <w:iCs/>
                <w:sz w:val="20"/>
                <w:szCs w:val="20"/>
              </w:rPr>
            </w:pPr>
            <w:r w:rsidRPr="002F1336">
              <w:rPr>
                <w:rFonts w:hAnsi="Times New Roman" w:ascii="Times New Roman"/>
                <w:iCs/>
                <w:sz w:val="20"/>
                <w:szCs w:val="20"/>
              </w:rPr>
              <w:t>Vodoopskrba i odvodnja d.o.o.</w:t>
            </w:r>
          </w:p>
        </w:tc>
        <w:tc>
          <w:tcPr>
            <w:tcW w:type="dxa" w:w="1371"/>
            <w:tcBorders>
              <w:top w:val="nil"/>
              <w:left w:val="nil"/>
              <w:bottom w:space="0" w:sz="8" w:color="auto" w:val="single"/>
              <w:right w:space="0" w:sz="8" w:color="auto" w:val="single"/>
            </w:tcBorders>
            <w:shd w:fill="auto" w:color="auto" w:val="clear"/>
            <w:noWrap/>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1.411,82</w:t>
            </w:r>
          </w:p>
        </w:tc>
        <w:tc>
          <w:tcPr>
            <w:tcW w:type="dxa" w:w="1428"/>
            <w:tcBorders>
              <w:top w:val="nil"/>
              <w:left w:val="nil"/>
              <w:bottom w:space="0" w:sz="8" w:color="auto" w:val="single"/>
              <w:right w:space="0" w:sz="8" w:color="auto" w:val="single"/>
            </w:tcBorders>
            <w:shd w:fill="auto" w:color="auto" w:val="clear"/>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302,18</w:t>
            </w:r>
          </w:p>
        </w:tc>
        <w:tc>
          <w:tcPr>
            <w:tcW w:type="dxa" w:w="1486"/>
            <w:tcBorders>
              <w:top w:val="nil"/>
              <w:left w:val="nil"/>
              <w:bottom w:space="0" w:sz="8" w:color="auto" w:val="single"/>
              <w:right w:space="0" w:sz="8" w:color="auto" w:val="single"/>
            </w:tcBorders>
            <w:shd w:fill="auto" w:color="auto" w:val="clear"/>
            <w:vAlign w:val="center"/>
            <w:hideMark/>
          </w:tcPr>
          <w:p w:rsidRDefault="00214002"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002F1336" w:rsidRPr="002F1336">
              <w:rPr>
                <w:rFonts w:hAnsi="Times New Roman" w:ascii="Times New Roman"/>
                <w:iCs/>
                <w:sz w:val="20"/>
                <w:szCs w:val="20"/>
              </w:rPr>
              <w:t>1.109,64</w:t>
            </w:r>
          </w:p>
        </w:tc>
        <w:tc>
          <w:tcPr>
            <w:tcW w:type="dxa" w:w="1275"/>
            <w:tcBorders>
              <w:top w:val="nil"/>
              <w:left w:val="nil"/>
              <w:bottom w:space="0" w:sz="8" w:color="auto" w:val="single"/>
              <w:right w:space="0" w:sz="8" w:color="auto" w:val="single"/>
            </w:tcBorders>
            <w:shd w:fill="auto" w:color="auto" w:val="clear"/>
            <w:vAlign w:val="center"/>
            <w:hideMark/>
          </w:tcPr>
          <w:p w:rsidRDefault="00214002"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002F1336" w:rsidRPr="002F1336">
              <w:rPr>
                <w:rFonts w:hAnsi="Times New Roman" w:ascii="Times New Roman"/>
                <w:iCs/>
                <w:sz w:val="20"/>
                <w:szCs w:val="20"/>
              </w:rPr>
              <w:t>23,12</w:t>
            </w:r>
          </w:p>
        </w:tc>
      </w:tr>
      <w:tr w:rsidTr="00214002" w:rsidR="002F1336" w:rsidRPr="002F1336">
        <w:trPr>
          <w:trHeight w:val="312"/>
        </w:trPr>
        <w:tc>
          <w:tcPr>
            <w:tcW w:type="dxa" w:w="3275"/>
            <w:tcBorders>
              <w:top w:val="nil"/>
              <w:left w:space="0" w:sz="8" w:color="auto" w:val="single"/>
              <w:bottom w:space="0" w:sz="8" w:color="auto" w:val="single"/>
              <w:right w:space="0" w:sz="8" w:color="auto" w:val="single"/>
            </w:tcBorders>
            <w:shd w:fill="auto" w:color="auto" w:val="clear"/>
            <w:noWrap/>
            <w:vAlign w:val="center"/>
            <w:hideMark/>
          </w:tcPr>
          <w:p w:rsidRDefault="002F1336" w:rsidP="002F1336" w:rsidR="002F1336" w:rsidRPr="002F1336">
            <w:pPr>
              <w:ind w:left="720"/>
              <w:rPr>
                <w:rFonts w:hAnsi="Times New Roman" w:ascii="Times New Roman"/>
                <w:iCs/>
                <w:sz w:val="20"/>
                <w:szCs w:val="20"/>
              </w:rPr>
            </w:pPr>
            <w:r w:rsidRPr="002F1336">
              <w:rPr>
                <w:rFonts w:hAnsi="Times New Roman" w:ascii="Times New Roman"/>
                <w:iCs/>
                <w:sz w:val="20"/>
                <w:szCs w:val="20"/>
              </w:rPr>
              <w:t>Zagrebački Holding d.o.o.</w:t>
            </w:r>
          </w:p>
        </w:tc>
        <w:tc>
          <w:tcPr>
            <w:tcW w:type="dxa" w:w="1371"/>
            <w:tcBorders>
              <w:top w:val="nil"/>
              <w:left w:val="nil"/>
              <w:bottom w:space="0" w:sz="8" w:color="auto" w:val="single"/>
              <w:right w:space="0" w:sz="8" w:color="auto" w:val="single"/>
            </w:tcBorders>
            <w:shd w:fill="auto" w:color="auto" w:val="clear"/>
            <w:noWrap/>
            <w:vAlign w:val="center"/>
            <w:hideMark/>
          </w:tcPr>
          <w:p w:rsidRDefault="002F1336" w:rsidP="00707E70" w:rsidR="002F1336" w:rsidRPr="002F1336">
            <w:pPr>
              <w:jc w:val="right"/>
              <w:rPr>
                <w:rFonts w:hAnsi="Times New Roman" w:ascii="Times New Roman"/>
                <w:iCs/>
                <w:sz w:val="20"/>
                <w:szCs w:val="20"/>
              </w:rPr>
            </w:pPr>
            <w:r w:rsidRPr="002F1336">
              <w:rPr>
                <w:rFonts w:hAnsi="Times New Roman" w:ascii="Times New Roman"/>
                <w:iCs/>
                <w:sz w:val="20"/>
                <w:szCs w:val="20"/>
              </w:rPr>
              <w:t xml:space="preserve">      2.042,57</w:t>
            </w:r>
          </w:p>
        </w:tc>
        <w:tc>
          <w:tcPr>
            <w:tcW w:type="dxa" w:w="1428"/>
            <w:tcBorders>
              <w:top w:val="nil"/>
              <w:left w:val="nil"/>
              <w:bottom w:space="0" w:sz="8" w:color="auto" w:val="single"/>
              <w:right w:space="0" w:sz="8" w:color="auto" w:val="single"/>
            </w:tcBorders>
            <w:shd w:fill="auto" w:color="auto" w:val="clear"/>
            <w:vAlign w:val="center"/>
            <w:hideMark/>
          </w:tcPr>
          <w:p w:rsidRDefault="00214002"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002F1336" w:rsidRPr="002F1336">
              <w:rPr>
                <w:rFonts w:hAnsi="Times New Roman" w:ascii="Times New Roman"/>
                <w:iCs/>
                <w:sz w:val="20"/>
                <w:szCs w:val="20"/>
              </w:rPr>
              <w:t>445,55</w:t>
            </w:r>
          </w:p>
        </w:tc>
        <w:tc>
          <w:tcPr>
            <w:tcW w:type="dxa" w:w="1486"/>
            <w:tcBorders>
              <w:top w:val="nil"/>
              <w:left w:val="nil"/>
              <w:bottom w:space="0" w:sz="8" w:color="auto" w:val="single"/>
              <w:right w:space="0" w:sz="8" w:color="auto" w:val="single"/>
            </w:tcBorders>
            <w:shd w:fill="auto" w:color="auto" w:val="clear"/>
            <w:vAlign w:val="center"/>
            <w:hideMark/>
          </w:tcPr>
          <w:p w:rsidRDefault="00214002"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002F1336" w:rsidRPr="002F1336">
              <w:rPr>
                <w:rFonts w:hAnsi="Times New Roman" w:ascii="Times New Roman"/>
                <w:iCs/>
                <w:sz w:val="20"/>
                <w:szCs w:val="20"/>
              </w:rPr>
              <w:t>1.597,02</w:t>
            </w:r>
          </w:p>
        </w:tc>
        <w:tc>
          <w:tcPr>
            <w:tcW w:type="dxa" w:w="1275"/>
            <w:tcBorders>
              <w:top w:val="nil"/>
              <w:left w:val="nil"/>
              <w:bottom w:space="0" w:sz="8" w:color="auto" w:val="single"/>
              <w:right w:space="0" w:sz="8" w:color="auto" w:val="single"/>
            </w:tcBorders>
            <w:shd w:fill="auto" w:color="auto" w:val="clear"/>
            <w:vAlign w:val="center"/>
            <w:hideMark/>
          </w:tcPr>
          <w:p w:rsidRDefault="00214002" w:rsidP="00707E70" w:rsidR="002F1336" w:rsidRPr="002F1336">
            <w:pPr>
              <w:jc w:val="right"/>
              <w:rPr>
                <w:rFonts w:hAnsi="Times New Roman" w:ascii="Times New Roman"/>
                <w:iCs/>
                <w:sz w:val="20"/>
                <w:szCs w:val="20"/>
              </w:rPr>
            </w:pPr>
            <w:r>
              <w:rPr>
                <w:rFonts w:hAnsi="Times New Roman" w:ascii="Times New Roman"/>
                <w:iCs/>
                <w:sz w:val="20"/>
                <w:szCs w:val="20"/>
              </w:rPr>
              <w:t xml:space="preserve">           </w:t>
            </w:r>
            <w:r w:rsidR="002F1336" w:rsidRPr="002F1336">
              <w:rPr>
                <w:rFonts w:hAnsi="Times New Roman" w:ascii="Times New Roman"/>
                <w:iCs/>
                <w:sz w:val="20"/>
                <w:szCs w:val="20"/>
              </w:rPr>
              <w:t>33,27</w:t>
            </w:r>
          </w:p>
        </w:tc>
      </w:tr>
      <w:tr w:rsidTr="00214002" w:rsidR="002F1336" w:rsidRPr="002F1336">
        <w:trPr>
          <w:trHeight w:val="509"/>
        </w:trPr>
        <w:tc>
          <w:tcPr>
            <w:tcW w:type="dxa" w:w="3275"/>
            <w:vMerge w:val="restart"/>
            <w:tcBorders>
              <w:top w:val="nil"/>
              <w:left w:space="0" w:sz="8" w:color="auto" w:val="single"/>
              <w:bottom w:space="0" w:sz="8" w:color="000000" w:val="single"/>
              <w:right w:space="0" w:sz="8" w:color="auto" w:val="single"/>
            </w:tcBorders>
            <w:shd w:fill="00B0F0" w:color="000000" w:val="clear"/>
            <w:noWrap/>
            <w:vAlign w:val="center"/>
            <w:hideMark/>
          </w:tcPr>
          <w:p w:rsidRDefault="002F1336" w:rsidP="002F1336" w:rsidR="002F1336" w:rsidRPr="002F1336">
            <w:pPr>
              <w:ind w:left="720"/>
              <w:rPr>
                <w:rFonts w:hAnsi="Times New Roman" w:ascii="Times New Roman"/>
                <w:iCs/>
                <w:szCs w:val="22"/>
              </w:rPr>
            </w:pPr>
            <w:r w:rsidRPr="002F1336">
              <w:rPr>
                <w:rFonts w:hAnsi="Times New Roman" w:ascii="Times New Roman"/>
                <w:iCs/>
                <w:szCs w:val="22"/>
              </w:rPr>
              <w:t>UKUPNO:</w:t>
            </w:r>
          </w:p>
        </w:tc>
        <w:tc>
          <w:tcPr>
            <w:tcW w:type="dxa" w:w="1371"/>
            <w:vMerge w:val="restart"/>
            <w:tcBorders>
              <w:top w:val="nil"/>
              <w:left w:space="0" w:sz="8" w:color="auto" w:val="single"/>
              <w:bottom w:space="0" w:sz="8" w:color="000000" w:val="single"/>
              <w:right w:space="0" w:sz="8" w:color="auto" w:val="single"/>
            </w:tcBorders>
            <w:shd w:fill="00B0F0" w:color="000000" w:val="clear"/>
            <w:noWrap/>
            <w:vAlign w:val="center"/>
            <w:hideMark/>
          </w:tcPr>
          <w:p w:rsidRDefault="002F1336" w:rsidP="00707E70" w:rsidR="002F1336" w:rsidRPr="002F1336">
            <w:pPr>
              <w:jc w:val="right"/>
              <w:rPr>
                <w:rFonts w:hAnsi="Times New Roman" w:ascii="Times New Roman"/>
                <w:iCs/>
                <w:szCs w:val="22"/>
              </w:rPr>
            </w:pPr>
            <w:r>
              <w:rPr>
                <w:rFonts w:hAnsi="Times New Roman" w:ascii="Times New Roman"/>
                <w:iCs/>
                <w:szCs w:val="22"/>
              </w:rPr>
              <w:t xml:space="preserve"> </w:t>
            </w:r>
            <w:r w:rsidRPr="002F1336">
              <w:rPr>
                <w:rFonts w:hAnsi="Times New Roman" w:ascii="Times New Roman"/>
                <w:iCs/>
                <w:szCs w:val="22"/>
              </w:rPr>
              <w:t>2.839.647,89</w:t>
            </w:r>
          </w:p>
        </w:tc>
        <w:tc>
          <w:tcPr>
            <w:tcW w:type="dxa" w:w="1428"/>
            <w:vMerge w:val="restart"/>
            <w:tcBorders>
              <w:top w:val="nil"/>
              <w:left w:space="0" w:sz="8" w:color="auto" w:val="single"/>
              <w:bottom w:space="0" w:sz="8" w:color="000000" w:val="single"/>
              <w:right w:space="0" w:sz="8" w:color="auto" w:val="single"/>
            </w:tcBorders>
            <w:shd w:fill="00B0F0" w:color="000000" w:val="clear"/>
            <w:noWrap/>
            <w:vAlign w:val="center"/>
            <w:hideMark/>
          </w:tcPr>
          <w:p w:rsidRDefault="002F1336" w:rsidP="00707E70" w:rsidR="002F1336" w:rsidRPr="002F1336">
            <w:pPr>
              <w:jc w:val="right"/>
              <w:rPr>
                <w:rFonts w:hAnsi="Times New Roman" w:ascii="Times New Roman"/>
                <w:iCs/>
                <w:szCs w:val="22"/>
              </w:rPr>
            </w:pPr>
            <w:r>
              <w:rPr>
                <w:rFonts w:hAnsi="Times New Roman" w:ascii="Times New Roman"/>
                <w:iCs/>
                <w:szCs w:val="22"/>
              </w:rPr>
              <w:t xml:space="preserve">  </w:t>
            </w:r>
            <w:r w:rsidRPr="002F1336">
              <w:rPr>
                <w:rFonts w:hAnsi="Times New Roman" w:ascii="Times New Roman"/>
                <w:iCs/>
                <w:szCs w:val="22"/>
              </w:rPr>
              <w:t>619.347,33</w:t>
            </w:r>
          </w:p>
        </w:tc>
        <w:tc>
          <w:tcPr>
            <w:tcW w:type="dxa" w:w="1486"/>
            <w:vMerge w:val="restart"/>
            <w:tcBorders>
              <w:top w:val="nil"/>
              <w:left w:space="0" w:sz="8" w:color="auto" w:val="single"/>
              <w:bottom w:space="0" w:sz="8" w:color="000000" w:val="single"/>
              <w:right w:space="0" w:sz="8" w:color="auto" w:val="single"/>
            </w:tcBorders>
            <w:shd w:fill="00B0F0" w:color="000000" w:val="clear"/>
            <w:noWrap/>
            <w:vAlign w:val="center"/>
            <w:hideMark/>
          </w:tcPr>
          <w:p w:rsidRDefault="002F1336" w:rsidP="00707E70" w:rsidR="002F1336" w:rsidRPr="002F1336">
            <w:pPr>
              <w:jc w:val="right"/>
              <w:rPr>
                <w:rFonts w:hAnsi="Times New Roman" w:ascii="Times New Roman"/>
                <w:iCs/>
                <w:szCs w:val="22"/>
              </w:rPr>
            </w:pPr>
            <w:r>
              <w:rPr>
                <w:rFonts w:hAnsi="Times New Roman" w:ascii="Times New Roman"/>
                <w:iCs/>
                <w:szCs w:val="22"/>
              </w:rPr>
              <w:t xml:space="preserve">   </w:t>
            </w:r>
            <w:r w:rsidRPr="002F1336">
              <w:rPr>
                <w:rFonts w:hAnsi="Times New Roman" w:ascii="Times New Roman"/>
                <w:iCs/>
                <w:szCs w:val="22"/>
              </w:rPr>
              <w:t>2.220.300,56</w:t>
            </w:r>
          </w:p>
        </w:tc>
        <w:tc>
          <w:tcPr>
            <w:tcW w:type="dxa" w:w="1275"/>
            <w:vMerge w:val="restart"/>
            <w:tcBorders>
              <w:top w:val="nil"/>
              <w:left w:space="0" w:sz="8" w:color="auto" w:val="single"/>
              <w:bottom w:space="0" w:sz="8" w:color="000000" w:val="single"/>
              <w:right w:space="0" w:sz="8" w:color="auto" w:val="single"/>
            </w:tcBorders>
            <w:shd w:fill="00B0F0" w:color="000000" w:val="clear"/>
            <w:noWrap/>
            <w:vAlign w:val="center"/>
            <w:hideMark/>
          </w:tcPr>
          <w:p w:rsidRDefault="002F1336" w:rsidP="00707E70" w:rsidR="002F1336" w:rsidRPr="002F1336">
            <w:pPr>
              <w:jc w:val="right"/>
              <w:rPr>
                <w:rFonts w:hAnsi="Times New Roman" w:ascii="Times New Roman"/>
                <w:iCs/>
                <w:szCs w:val="22"/>
              </w:rPr>
            </w:pPr>
            <w:r>
              <w:rPr>
                <w:rFonts w:hAnsi="Times New Roman" w:ascii="Times New Roman"/>
                <w:iCs/>
                <w:szCs w:val="22"/>
              </w:rPr>
              <w:t xml:space="preserve">     </w:t>
            </w:r>
            <w:r w:rsidRPr="002F1336">
              <w:rPr>
                <w:rFonts w:hAnsi="Times New Roman" w:ascii="Times New Roman"/>
                <w:iCs/>
                <w:szCs w:val="22"/>
              </w:rPr>
              <w:t>46.256,26</w:t>
            </w:r>
          </w:p>
        </w:tc>
      </w:tr>
      <w:tr w:rsidTr="00214002" w:rsidR="002F1336" w:rsidRPr="002F1336">
        <w:trPr>
          <w:trHeight w:val="509"/>
        </w:trPr>
        <w:tc>
          <w:tcPr>
            <w:tcW w:type="dxa" w:w="3275"/>
            <w:vMerge/>
            <w:tcBorders>
              <w:top w:val="nil"/>
              <w:left w:space="0" w:sz="8" w:color="auto" w:val="single"/>
              <w:bottom w:space="0" w:sz="8" w:color="000000" w:val="single"/>
              <w:right w:space="0" w:sz="8" w:color="auto" w:val="single"/>
            </w:tcBorders>
            <w:vAlign w:val="center"/>
            <w:hideMark/>
          </w:tcPr>
          <w:p w:rsidRDefault="002F1336" w:rsidP="002F1336" w:rsidR="002F1336" w:rsidRPr="002F1336">
            <w:pPr>
              <w:ind w:left="720"/>
              <w:rPr>
                <w:rFonts w:hAnsi="Times New Roman" w:ascii="Times New Roman"/>
                <w:i/>
                <w:iCs/>
                <w:sz w:val="24"/>
              </w:rPr>
            </w:pPr>
          </w:p>
        </w:tc>
        <w:tc>
          <w:tcPr>
            <w:tcW w:type="dxa" w:w="1371"/>
            <w:vMerge/>
            <w:tcBorders>
              <w:top w:val="nil"/>
              <w:left w:space="0" w:sz="8" w:color="auto" w:val="single"/>
              <w:bottom w:space="0" w:sz="8" w:color="000000" w:val="single"/>
              <w:right w:space="0" w:sz="8" w:color="auto" w:val="single"/>
            </w:tcBorders>
            <w:vAlign w:val="center"/>
            <w:hideMark/>
          </w:tcPr>
          <w:p w:rsidRDefault="002F1336" w:rsidP="002F1336" w:rsidR="002F1336" w:rsidRPr="002F1336">
            <w:pPr>
              <w:ind w:left="720"/>
              <w:rPr>
                <w:rFonts w:hAnsi="Times New Roman" w:ascii="Times New Roman"/>
                <w:i/>
                <w:iCs/>
                <w:sz w:val="24"/>
              </w:rPr>
            </w:pPr>
          </w:p>
        </w:tc>
        <w:tc>
          <w:tcPr>
            <w:tcW w:type="dxa" w:w="1428"/>
            <w:vMerge/>
            <w:tcBorders>
              <w:top w:val="nil"/>
              <w:left w:space="0" w:sz="8" w:color="auto" w:val="single"/>
              <w:bottom w:space="0" w:sz="8" w:color="000000" w:val="single"/>
              <w:right w:space="0" w:sz="8" w:color="auto" w:val="single"/>
            </w:tcBorders>
            <w:vAlign w:val="center"/>
            <w:hideMark/>
          </w:tcPr>
          <w:p w:rsidRDefault="002F1336" w:rsidP="002F1336" w:rsidR="002F1336" w:rsidRPr="002F1336">
            <w:pPr>
              <w:ind w:left="720"/>
              <w:rPr>
                <w:rFonts w:hAnsi="Times New Roman" w:ascii="Times New Roman"/>
                <w:i/>
                <w:iCs/>
                <w:sz w:val="24"/>
              </w:rPr>
            </w:pPr>
          </w:p>
        </w:tc>
        <w:tc>
          <w:tcPr>
            <w:tcW w:type="dxa" w:w="1486"/>
            <w:vMerge/>
            <w:tcBorders>
              <w:top w:val="nil"/>
              <w:left w:space="0" w:sz="8" w:color="auto" w:val="single"/>
              <w:bottom w:space="0" w:sz="8" w:color="000000" w:val="single"/>
              <w:right w:space="0" w:sz="8" w:color="auto" w:val="single"/>
            </w:tcBorders>
            <w:vAlign w:val="center"/>
            <w:hideMark/>
          </w:tcPr>
          <w:p w:rsidRDefault="002F1336" w:rsidP="002F1336" w:rsidR="002F1336" w:rsidRPr="002F1336">
            <w:pPr>
              <w:ind w:left="720"/>
              <w:rPr>
                <w:rFonts w:hAnsi="Times New Roman" w:ascii="Times New Roman"/>
                <w:i/>
                <w:iCs/>
                <w:sz w:val="24"/>
              </w:rPr>
            </w:pPr>
          </w:p>
        </w:tc>
        <w:tc>
          <w:tcPr>
            <w:tcW w:type="dxa" w:w="1275"/>
            <w:vMerge/>
            <w:tcBorders>
              <w:top w:val="nil"/>
              <w:left w:space="0" w:sz="8" w:color="auto" w:val="single"/>
              <w:bottom w:space="0" w:sz="8" w:color="000000" w:val="single"/>
              <w:right w:space="0" w:sz="8" w:color="auto" w:val="single"/>
            </w:tcBorders>
            <w:vAlign w:val="center"/>
            <w:hideMark/>
          </w:tcPr>
          <w:p w:rsidRDefault="002F1336" w:rsidP="002F1336" w:rsidR="002F1336" w:rsidRPr="002F1336">
            <w:pPr>
              <w:ind w:left="720"/>
              <w:rPr>
                <w:rFonts w:hAnsi="Times New Roman" w:ascii="Times New Roman"/>
                <w:i/>
                <w:iCs/>
                <w:sz w:val="24"/>
              </w:rPr>
            </w:pPr>
          </w:p>
        </w:tc>
      </w:tr>
    </w:tbl>
    <w:p w:rsidRDefault="002F1336" w:rsidP="002F1336" w:rsidR="002F1336" w:rsidRPr="002F1336">
      <w:pPr>
        <w:ind w:left="720"/>
        <w:rPr>
          <w:rFonts w:hAnsi="Times New Roman" w:ascii="Times New Roman"/>
          <w:i/>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 xml:space="preserve">Dio tražbine kategorije (a) koji čini potraživanje po osnovi ugovornih i zakonskih zateznih kamata u iznosu navedenom u tablici za pojedinu tražbinu otpisuje se u cijelosti s danom otvaranja Postupka 17. travnja 2015. godine. Vjerovnici predstečajne Nagodbe tražbina kategorija (a), svaki pojedinačno, Nagodbom otpuštaju Dužniku dio svoje tražbine kategorija (a) koja se odnosi na kamate u iznosu navedenom u tablici u prethodnom članku, a Dužnik pristaje na takav otpust duga. </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 xml:space="preserve">Vjerovnici tražbine kategorije (a) i Dužnik suglasno utvrđuju kako će glavnicu tražbine kategorije (a) Dužnik isplatiti Vjerovnicima obročnom otplatom, po isteku jednogodišnjeg počeka koji započinje od dana pravomoćnosti Rješenja o sklopljenoj predstečajnoj nagodbi pred Trgovačkim sudom. Za vrijeme trajanja počeka kamate ne teku. Po isteku počeka Dužnik će isplatiti glavnicu, umanjenu za 20%, u 48 mjesečnih rata, uz kamatnu stopu 4,5% godišnje, svakog 1. u mjesecu, od kojih prva rata dospijeva 1. u mjesecu nakon mjeseca u kojem je istekao poček, a svaka sljedeća istekom vremenskog razdoblja od jednog mjeseca od dospijeća prethodne. </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Ako Dužnik zakasni s ispunjenjem pojedine rate u odnosu na rokove određene ovom Nagodbom, duguje Vjerovniku predstečajne Nagodbe u mjeri u kojoj je to dozvoljeno mjerodavnim propisima, zakonsku zateznu kamatu po stopi određenoj za odnose između trgovaca, za razdoblje od dospijeća istog do isplate.</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 xml:space="preserve">b) Financijske institucije </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Tražbine kategorije b1) neosigurane financijske institucije namiriti će se na sljedeći način:</w:t>
      </w:r>
    </w:p>
    <w:p w:rsidRDefault="002F1336" w:rsidP="002F1336" w:rsidR="002F1336" w:rsidRPr="002F1336">
      <w:pPr>
        <w:ind w:left="720"/>
        <w:rPr>
          <w:rFonts w:hAnsi="Times New Roman" w:ascii="Times New Roman"/>
          <w:sz w:val="24"/>
        </w:rPr>
      </w:pPr>
    </w:p>
    <w:tbl>
      <w:tblPr>
        <w:tblW w:type="dxa" w:w="8640"/>
        <w:tblInd w:type="dxa" w:w="-162"/>
        <w:tblLayout w:type="fixed"/>
        <w:tblLook w:val="04A0" w:noVBand="1" w:noHBand="0" w:lastColumn="0" w:firstColumn="1" w:lastRow="0" w:firstRow="1"/>
      </w:tblPr>
      <w:tblGrid>
        <w:gridCol w:w="2947"/>
        <w:gridCol w:w="1710"/>
        <w:gridCol w:w="1463"/>
        <w:gridCol w:w="1440"/>
        <w:gridCol w:w="1080"/>
      </w:tblGrid>
      <w:tr w:rsidTr="002F1336" w:rsidR="002F1336" w:rsidRPr="002F1336">
        <w:trPr>
          <w:trHeight w:val="300"/>
        </w:trPr>
        <w:tc>
          <w:tcPr>
            <w:tcW w:type="dxa" w:w="2947"/>
            <w:tcBorders>
              <w:top w:space="0" w:sz="4" w:color="auto" w:val="single"/>
              <w:left w:space="0" w:sz="4" w:color="auto" w:val="single"/>
              <w:bottom w:space="0" w:sz="4" w:color="auto" w:val="single"/>
              <w:right w:space="0" w:sz="4" w:color="auto" w:val="single"/>
            </w:tcBorders>
            <w:shd w:fill="00B0F0"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NAZIV</w:t>
            </w:r>
          </w:p>
        </w:tc>
        <w:tc>
          <w:tcPr>
            <w:tcW w:type="dxa" w:w="1710"/>
            <w:tcBorders>
              <w:top w:space="0" w:sz="4" w:color="auto" w:val="single"/>
              <w:left w:val="nil"/>
              <w:bottom w:space="0" w:sz="4" w:color="auto" w:val="single"/>
              <w:right w:space="0" w:sz="4" w:color="auto" w:val="single"/>
            </w:tcBorders>
            <w:shd w:fill="00B0F0" w:color="auto" w:val="clear"/>
            <w:noWrap/>
          </w:tcPr>
          <w:p w:rsidRDefault="002F1336" w:rsidP="00214002" w:rsidR="002F1336" w:rsidRPr="00214002">
            <w:pPr>
              <w:rPr>
                <w:rFonts w:hAnsi="Times New Roman" w:ascii="Times New Roman"/>
                <w:sz w:val="20"/>
                <w:szCs w:val="20"/>
              </w:rPr>
            </w:pPr>
            <w:r w:rsidRPr="00214002">
              <w:rPr>
                <w:rFonts w:hAnsi="Times New Roman" w:ascii="Times New Roman"/>
                <w:sz w:val="20"/>
                <w:szCs w:val="20"/>
              </w:rPr>
              <w:t>UKUPNA OBVEZA</w:t>
            </w:r>
          </w:p>
        </w:tc>
        <w:tc>
          <w:tcPr>
            <w:tcW w:type="dxa" w:w="1463"/>
            <w:tcBorders>
              <w:top w:space="0" w:sz="4" w:color="auto" w:val="single"/>
              <w:left w:val="nil"/>
              <w:bottom w:space="0" w:sz="4" w:color="auto" w:val="single"/>
              <w:right w:space="0" w:sz="4" w:color="auto" w:val="single"/>
            </w:tcBorders>
            <w:shd w:fill="00B0F0" w:color="auto" w:val="clear"/>
          </w:tcPr>
          <w:p w:rsidRDefault="002F1336" w:rsidP="00214002" w:rsidR="002F1336" w:rsidRPr="00214002">
            <w:pPr>
              <w:rPr>
                <w:rFonts w:hAnsi="Times New Roman" w:ascii="Times New Roman"/>
                <w:sz w:val="20"/>
                <w:szCs w:val="20"/>
              </w:rPr>
            </w:pPr>
            <w:r w:rsidRPr="00214002">
              <w:rPr>
                <w:rFonts w:hAnsi="Times New Roman" w:ascii="Times New Roman"/>
                <w:sz w:val="20"/>
                <w:szCs w:val="20"/>
              </w:rPr>
              <w:t>OTPISANA VRIJEDNOST</w:t>
            </w:r>
          </w:p>
        </w:tc>
        <w:tc>
          <w:tcPr>
            <w:tcW w:type="dxa" w:w="1440"/>
            <w:tcBorders>
              <w:top w:space="0" w:sz="4" w:color="auto" w:val="single"/>
              <w:left w:val="nil"/>
              <w:bottom w:space="0" w:sz="4" w:color="auto" w:val="single"/>
              <w:right w:space="0" w:sz="4" w:color="auto" w:val="single"/>
            </w:tcBorders>
            <w:shd w:fill="00B0F0" w:color="auto" w:val="clear"/>
          </w:tcPr>
          <w:p w:rsidRDefault="002F1336" w:rsidP="00214002" w:rsidR="002F1336" w:rsidRPr="00214002">
            <w:pPr>
              <w:rPr>
                <w:rFonts w:hAnsi="Times New Roman" w:ascii="Times New Roman"/>
                <w:sz w:val="20"/>
                <w:szCs w:val="20"/>
              </w:rPr>
            </w:pPr>
            <w:r w:rsidRPr="00214002">
              <w:rPr>
                <w:rFonts w:hAnsi="Times New Roman" w:ascii="Times New Roman"/>
                <w:sz w:val="20"/>
                <w:szCs w:val="20"/>
              </w:rPr>
              <w:t>VRIJEDNOST ZA OTPLATU</w:t>
            </w:r>
          </w:p>
        </w:tc>
        <w:tc>
          <w:tcPr>
            <w:tcW w:type="dxa" w:w="1080"/>
            <w:tcBorders>
              <w:top w:space="0" w:sz="4" w:color="auto" w:val="single"/>
              <w:left w:val="nil"/>
              <w:bottom w:space="0" w:sz="4" w:color="auto" w:val="single"/>
              <w:right w:space="0" w:sz="4" w:color="auto" w:val="single"/>
            </w:tcBorders>
            <w:shd w:fill="00B0F0" w:color="auto" w:val="clear"/>
          </w:tcPr>
          <w:p w:rsidRDefault="002F1336" w:rsidP="00707E70" w:rsidR="00214002" w:rsidRPr="00214002">
            <w:pPr>
              <w:jc w:val="right"/>
              <w:rPr>
                <w:rFonts w:hAnsi="Times New Roman" w:ascii="Times New Roman"/>
                <w:sz w:val="20"/>
                <w:szCs w:val="20"/>
              </w:rPr>
            </w:pPr>
            <w:r w:rsidRPr="00214002">
              <w:rPr>
                <w:rFonts w:hAnsi="Times New Roman" w:ascii="Times New Roman"/>
                <w:sz w:val="20"/>
                <w:szCs w:val="20"/>
              </w:rPr>
              <w:t xml:space="preserve">MJESEČNA RATA </w:t>
            </w:r>
          </w:p>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 xml:space="preserve"> </w:t>
            </w:r>
          </w:p>
        </w:tc>
      </w:tr>
      <w:tr w:rsidTr="002F1336" w:rsidR="002F1336" w:rsidRPr="002F1336">
        <w:trPr>
          <w:trHeight w:val="300"/>
        </w:trPr>
        <w:tc>
          <w:tcPr>
            <w:tcW w:type="dxa" w:w="2947"/>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Erste Card Club D.D.</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28,989.24</w:t>
            </w:r>
          </w:p>
        </w:tc>
        <w:tc>
          <w:tcPr>
            <w:tcW w:type="dxa" w:w="1463"/>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17,393.54</w:t>
            </w:r>
          </w:p>
        </w:tc>
        <w:tc>
          <w:tcPr>
            <w:tcW w:type="dxa" w:w="144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11,595.70</w:t>
            </w:r>
          </w:p>
        </w:tc>
        <w:tc>
          <w:tcPr>
            <w:tcW w:type="dxa" w:w="108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138.04</w:t>
            </w:r>
          </w:p>
        </w:tc>
      </w:tr>
      <w:tr w:rsidTr="002F1336" w:rsidR="002F1336" w:rsidRPr="002F1336">
        <w:trPr>
          <w:trHeight w:val="300"/>
        </w:trPr>
        <w:tc>
          <w:tcPr>
            <w:tcW w:type="dxa" w:w="2947"/>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Erste&amp;Steiermarkische Bank D.D.</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894.75</w:t>
            </w:r>
          </w:p>
        </w:tc>
        <w:tc>
          <w:tcPr>
            <w:tcW w:type="dxa" w:w="1463"/>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536.85</w:t>
            </w:r>
          </w:p>
        </w:tc>
        <w:tc>
          <w:tcPr>
            <w:tcW w:type="dxa" w:w="144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357.90</w:t>
            </w:r>
          </w:p>
        </w:tc>
        <w:tc>
          <w:tcPr>
            <w:tcW w:type="dxa" w:w="108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4.26</w:t>
            </w:r>
          </w:p>
        </w:tc>
      </w:tr>
      <w:tr w:rsidTr="002F1336" w:rsidR="002F1336" w:rsidRPr="002F1336">
        <w:trPr>
          <w:trHeight w:val="300"/>
        </w:trPr>
        <w:tc>
          <w:tcPr>
            <w:tcW w:type="dxa" w:w="2947"/>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Partner Banka d.d.</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2,295.77</w:t>
            </w:r>
          </w:p>
        </w:tc>
        <w:tc>
          <w:tcPr>
            <w:tcW w:type="dxa" w:w="1463"/>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1,377.46</w:t>
            </w:r>
          </w:p>
        </w:tc>
        <w:tc>
          <w:tcPr>
            <w:tcW w:type="dxa" w:w="144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918.31</w:t>
            </w:r>
          </w:p>
        </w:tc>
        <w:tc>
          <w:tcPr>
            <w:tcW w:type="dxa" w:w="108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10.93</w:t>
            </w:r>
          </w:p>
        </w:tc>
      </w:tr>
      <w:tr w:rsidTr="002F1336" w:rsidR="002F1336" w:rsidRPr="00214002">
        <w:trPr>
          <w:trHeight w:val="300"/>
        </w:trPr>
        <w:tc>
          <w:tcPr>
            <w:tcW w:type="dxa" w:w="2947"/>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PBZ Card d.o.o.</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21,627.67</w:t>
            </w:r>
          </w:p>
        </w:tc>
        <w:tc>
          <w:tcPr>
            <w:tcW w:type="dxa" w:w="1463"/>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12,976.60</w:t>
            </w:r>
          </w:p>
        </w:tc>
        <w:tc>
          <w:tcPr>
            <w:tcW w:type="dxa" w:w="144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8,651.07</w:t>
            </w:r>
          </w:p>
        </w:tc>
        <w:tc>
          <w:tcPr>
            <w:tcW w:type="dxa" w:w="108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102.99</w:t>
            </w:r>
          </w:p>
        </w:tc>
      </w:tr>
      <w:tr w:rsidTr="002F1336" w:rsidR="002F1336" w:rsidRPr="002F1336">
        <w:trPr>
          <w:trHeight w:val="300"/>
        </w:trPr>
        <w:tc>
          <w:tcPr>
            <w:tcW w:type="dxa" w:w="2947"/>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Privredna Banka Zagreb d.d.</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1,183.27</w:t>
            </w:r>
          </w:p>
        </w:tc>
        <w:tc>
          <w:tcPr>
            <w:tcW w:type="dxa" w:w="1463"/>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709.96</w:t>
            </w:r>
          </w:p>
        </w:tc>
        <w:tc>
          <w:tcPr>
            <w:tcW w:type="dxa" w:w="144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473.31</w:t>
            </w:r>
          </w:p>
        </w:tc>
        <w:tc>
          <w:tcPr>
            <w:tcW w:type="dxa" w:w="108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5.63</w:t>
            </w:r>
          </w:p>
        </w:tc>
      </w:tr>
      <w:tr w:rsidTr="002F1336" w:rsidR="002F1336" w:rsidRPr="002F1336">
        <w:trPr>
          <w:trHeight w:val="300"/>
        </w:trPr>
        <w:tc>
          <w:tcPr>
            <w:tcW w:type="dxa" w:w="2947"/>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Raiffeisen Leasing d.o.o.</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9,173.38</w:t>
            </w:r>
          </w:p>
        </w:tc>
        <w:tc>
          <w:tcPr>
            <w:tcW w:type="dxa" w:w="1463"/>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5,504.03</w:t>
            </w:r>
          </w:p>
        </w:tc>
        <w:tc>
          <w:tcPr>
            <w:tcW w:type="dxa" w:w="144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3,669.35</w:t>
            </w:r>
          </w:p>
        </w:tc>
        <w:tc>
          <w:tcPr>
            <w:tcW w:type="dxa" w:w="108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43.68</w:t>
            </w:r>
          </w:p>
        </w:tc>
      </w:tr>
      <w:tr w:rsidTr="002F1336" w:rsidR="002F1336" w:rsidRPr="002F1336">
        <w:trPr>
          <w:trHeight w:val="300"/>
        </w:trPr>
        <w:tc>
          <w:tcPr>
            <w:tcW w:type="dxa" w:w="2947"/>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Raiffeisenbank Austria d.d.</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2,109.22</w:t>
            </w:r>
          </w:p>
        </w:tc>
        <w:tc>
          <w:tcPr>
            <w:tcW w:type="dxa" w:w="1463"/>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1,265.53</w:t>
            </w:r>
          </w:p>
        </w:tc>
        <w:tc>
          <w:tcPr>
            <w:tcW w:type="dxa" w:w="144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843.69</w:t>
            </w:r>
          </w:p>
        </w:tc>
        <w:tc>
          <w:tcPr>
            <w:tcW w:type="dxa" w:w="108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10.04</w:t>
            </w:r>
          </w:p>
        </w:tc>
      </w:tr>
      <w:tr w:rsidTr="002F1336" w:rsidR="002F1336" w:rsidRPr="002F1336">
        <w:trPr>
          <w:trHeight w:val="300"/>
        </w:trPr>
        <w:tc>
          <w:tcPr>
            <w:tcW w:type="dxa" w:w="2947"/>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Sberbank d.d.</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624,940.38</w:t>
            </w:r>
          </w:p>
        </w:tc>
        <w:tc>
          <w:tcPr>
            <w:tcW w:type="dxa" w:w="1463"/>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374,964.23</w:t>
            </w:r>
          </w:p>
        </w:tc>
        <w:tc>
          <w:tcPr>
            <w:tcW w:type="dxa" w:w="144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249,976.15</w:t>
            </w:r>
          </w:p>
        </w:tc>
        <w:tc>
          <w:tcPr>
            <w:tcW w:type="dxa" w:w="108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2975.91</w:t>
            </w:r>
          </w:p>
        </w:tc>
      </w:tr>
      <w:tr w:rsidTr="002F1336" w:rsidR="002F1336" w:rsidRPr="002F1336">
        <w:trPr>
          <w:trHeight w:val="300"/>
        </w:trPr>
        <w:tc>
          <w:tcPr>
            <w:tcW w:type="dxa" w:w="2947"/>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Triglav Osiguranje d.d.</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191.49</w:t>
            </w:r>
          </w:p>
        </w:tc>
        <w:tc>
          <w:tcPr>
            <w:tcW w:type="dxa" w:w="1463"/>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114.89</w:t>
            </w:r>
          </w:p>
        </w:tc>
        <w:tc>
          <w:tcPr>
            <w:tcW w:type="dxa" w:w="144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76.60</w:t>
            </w:r>
          </w:p>
        </w:tc>
        <w:tc>
          <w:tcPr>
            <w:tcW w:type="dxa" w:w="1080"/>
            <w:tcBorders>
              <w:top w:val="nil"/>
              <w:left w:val="nil"/>
              <w:bottom w:space="0" w:sz="4" w:color="auto" w:val="single"/>
              <w:right w:space="0" w:sz="4" w:color="auto" w:val="single"/>
            </w:tcBorders>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0.91</w:t>
            </w:r>
          </w:p>
        </w:tc>
      </w:tr>
      <w:tr w:rsidTr="002F1336" w:rsidR="002F1336" w:rsidRPr="002F1336">
        <w:trPr>
          <w:trHeight w:val="300"/>
        </w:trPr>
        <w:tc>
          <w:tcPr>
            <w:tcW w:type="dxa" w:w="2947"/>
            <w:tcBorders>
              <w:top w:space="0" w:sz="4" w:color="auto" w:val="single"/>
              <w:left w:space="0" w:sz="4" w:color="auto" w:val="single"/>
              <w:bottom w:space="0" w:sz="4" w:color="auto" w:val="single"/>
              <w:right w:space="0" w:sz="4" w:color="auto" w:val="single"/>
            </w:tcBorders>
            <w:shd w:fill="00B0F0"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UKUPNO:</w:t>
            </w:r>
          </w:p>
        </w:tc>
        <w:tc>
          <w:tcPr>
            <w:tcW w:type="dxa" w:w="1710"/>
            <w:tcBorders>
              <w:top w:space="0" w:sz="4" w:color="auto" w:val="single"/>
              <w:left w:val="nil"/>
              <w:bottom w:space="0" w:sz="4" w:color="auto" w:val="single"/>
              <w:right w:space="0" w:sz="4" w:color="auto" w:val="single"/>
            </w:tcBorders>
            <w:shd w:fill="00B0F0"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91,405.17</w:t>
            </w:r>
          </w:p>
        </w:tc>
        <w:tc>
          <w:tcPr>
            <w:tcW w:type="dxa" w:w="1463"/>
            <w:tcBorders>
              <w:top w:space="0" w:sz="4" w:color="auto" w:val="single"/>
              <w:left w:val="nil"/>
              <w:bottom w:space="0" w:sz="4" w:color="auto" w:val="single"/>
              <w:right w:space="0" w:sz="4" w:color="auto" w:val="single"/>
            </w:tcBorders>
            <w:shd w:fill="00B0F0" w:color="auto" w:val="clear"/>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414.843,10</w:t>
            </w:r>
          </w:p>
        </w:tc>
        <w:tc>
          <w:tcPr>
            <w:tcW w:type="dxa" w:w="1440"/>
            <w:tcBorders>
              <w:top w:space="0" w:sz="4" w:color="auto" w:val="single"/>
              <w:left w:val="nil"/>
              <w:bottom w:space="0" w:sz="4" w:color="auto" w:val="single"/>
              <w:right w:space="0" w:sz="4" w:color="auto" w:val="single"/>
            </w:tcBorders>
            <w:shd w:fill="00B0F0" w:color="auto" w:val="clear"/>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276,561.65</w:t>
            </w:r>
          </w:p>
        </w:tc>
        <w:tc>
          <w:tcPr>
            <w:tcW w:type="dxa" w:w="1080"/>
            <w:tcBorders>
              <w:top w:space="0" w:sz="4" w:color="auto" w:val="single"/>
              <w:left w:val="nil"/>
              <w:bottom w:space="0" w:sz="4" w:color="auto" w:val="single"/>
              <w:right w:space="0" w:sz="4" w:color="auto" w:val="single"/>
            </w:tcBorders>
            <w:shd w:fill="00B0F0" w:color="auto" w:val="clear"/>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3,292.4</w:t>
            </w:r>
          </w:p>
        </w:tc>
      </w:tr>
    </w:tbl>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Dio tražbine kategorije (b1) koji čini 60% ukupno utvrđenih potraživanja u iznosu navedenom u tablici otpisuje se u cijelosti s danom otvaranja Postupka 17. travnja 2015. godine. Vjerovnici predstečajne Nagodbe tražbina kategorija (b1), svaki pojedinačno, Nagodbom otpuštaju Dužniku dio svoje tražbine kategorija (b1) koji se odnosi na 60% ukupno utvrđenih potraživanja u iznosu navedenom u tablici, a Dužnik pristaje na takav otpust duga.</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 xml:space="preserve">Vjerovnici tražbine kategorije (b1) i Dužnik suglasno utvrđuju kako će preostali iznos od 40% ukupno utvrđene tražbine kategorije (b1) Dužnik isplatiti Vjerovnicima obročnom otplatom, po pravomoćnosti Rješenja o sklopljenoj predstečajnoj nagodbi pred Trgovačkim sudom. Dužnik će preostali iznos od 40% ukupno utvrđene tražbine isplatiti Vjerovnicima beskamatno u 84 mjesečne rate, pri čemu prva rata dospijeva 1. u mjesecu nakon mjeseca u kojem je nastupila pravomoćnost predstečajne nagodbe, a svaka sljedeća istekom vremenskog razdoblja od jednog mjeseca od dospijeća prethodne. </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Ako Dužnik zakasni s ispunjenjem pojedine rate u odnosu na rokove određene ovom Nagodbom, duguje Vjerovniku predstečajne Nagodbe u mjeri u kojoj je to dozvoljeno mjerodavnim propisima, zakonsku zateznu kamatu po stopi određenoj za odnose između trgovaca, za razdoblje od dospijeća istog do isplate.</w:t>
      </w:r>
    </w:p>
    <w:p w:rsidRDefault="002F1336" w:rsidP="002F1336" w:rsidR="002F1336" w:rsidRPr="002F1336">
      <w:pPr>
        <w:ind w:left="720"/>
        <w:rPr>
          <w:rFonts w:hAnsi="Times New Roman" w:ascii="Times New Roman"/>
          <w:sz w:val="24"/>
        </w:rPr>
      </w:pPr>
    </w:p>
    <w:p w:rsidRDefault="002F1336" w:rsidP="00214002" w:rsidR="002F1336" w:rsidRPr="002F1336">
      <w:pPr>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Tražbine kategorije b2)  osigurane financijske institucije namiriti će se na sljedeći način:</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i/>
          <w:sz w:val="24"/>
        </w:rPr>
      </w:pPr>
    </w:p>
    <w:tbl>
      <w:tblPr>
        <w:tblW w:type="dxa" w:w="8640"/>
        <w:tblInd w:type="dxa" w:w="-162"/>
        <w:tblLook w:val="04A0" w:noVBand="1" w:noHBand="0" w:lastColumn="0" w:firstColumn="1" w:lastRow="0" w:firstRow="1"/>
      </w:tblPr>
      <w:tblGrid>
        <w:gridCol w:w="2947"/>
        <w:gridCol w:w="1986"/>
        <w:gridCol w:w="1527"/>
        <w:gridCol w:w="2180"/>
      </w:tblGrid>
      <w:tr w:rsidTr="002F1336" w:rsidR="002F1336" w:rsidRPr="002F1336">
        <w:trPr>
          <w:trHeight w:val="300"/>
        </w:trPr>
        <w:tc>
          <w:tcPr>
            <w:tcW w:type="dxa" w:w="2947"/>
            <w:tcBorders>
              <w:top w:space="0" w:sz="4" w:color="auto" w:val="single"/>
              <w:left w:space="0" w:sz="4" w:color="auto" w:val="single"/>
              <w:bottom w:space="0" w:sz="4" w:color="auto" w:val="single"/>
              <w:right w:space="0" w:sz="4" w:color="auto" w:val="single"/>
            </w:tcBorders>
            <w:shd w:fill="00B0F0"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NAZIV</w:t>
            </w:r>
          </w:p>
        </w:tc>
        <w:tc>
          <w:tcPr>
            <w:tcW w:type="dxa" w:w="1710"/>
            <w:tcBorders>
              <w:top w:space="0" w:sz="4" w:color="auto" w:val="single"/>
              <w:left w:val="nil"/>
              <w:bottom w:space="0" w:sz="4" w:color="auto" w:val="single"/>
              <w:right w:space="0" w:sz="4" w:color="auto" w:val="single"/>
            </w:tcBorders>
            <w:shd w:fill="00B0F0"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UKUPNA OBVEZA</w:t>
            </w:r>
          </w:p>
        </w:tc>
        <w:tc>
          <w:tcPr>
            <w:tcW w:type="dxa" w:w="1737"/>
            <w:tcBorders>
              <w:top w:space="0" w:sz="4" w:color="auto" w:val="single"/>
              <w:left w:val="nil"/>
              <w:bottom w:space="0" w:sz="4" w:color="auto" w:val="single"/>
              <w:right w:space="0" w:sz="4" w:color="auto" w:val="single"/>
            </w:tcBorders>
            <w:shd w:fill="00B0F0" w:color="auto" w:val="clear"/>
          </w:tcPr>
          <w:p w:rsidRDefault="002F1336" w:rsidP="00214002" w:rsidR="002F1336" w:rsidRPr="00214002">
            <w:pPr>
              <w:rPr>
                <w:rFonts w:hAnsi="Times New Roman" w:ascii="Times New Roman"/>
                <w:sz w:val="20"/>
                <w:szCs w:val="20"/>
              </w:rPr>
            </w:pPr>
            <w:r w:rsidRPr="00214002">
              <w:rPr>
                <w:rFonts w:hAnsi="Times New Roman" w:ascii="Times New Roman"/>
                <w:sz w:val="20"/>
                <w:szCs w:val="20"/>
              </w:rPr>
              <w:t>OTPISANA VRIJEDNOST</w:t>
            </w:r>
          </w:p>
        </w:tc>
        <w:tc>
          <w:tcPr>
            <w:tcW w:type="dxa" w:w="2246"/>
            <w:tcBorders>
              <w:top w:space="0" w:sz="4" w:color="auto" w:val="single"/>
              <w:left w:val="nil"/>
              <w:bottom w:space="0" w:sz="4" w:color="auto" w:val="single"/>
              <w:right w:space="0" w:sz="4" w:color="auto" w:val="single"/>
            </w:tcBorders>
            <w:shd w:fill="00B0F0" w:color="auto" w:val="clear"/>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VRIJEDNOST ZA OTPLATU</w:t>
            </w:r>
          </w:p>
        </w:tc>
      </w:tr>
      <w:tr w:rsidTr="002F1336" w:rsidR="002F1336" w:rsidRPr="002F1336">
        <w:trPr>
          <w:trHeight w:val="300"/>
        </w:trPr>
        <w:tc>
          <w:tcPr>
            <w:tcW w:type="dxa" w:w="2947"/>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KentBank d.d.</w:t>
            </w:r>
          </w:p>
        </w:tc>
        <w:tc>
          <w:tcPr>
            <w:tcW w:type="dxa" w:w="1710"/>
            <w:tcBorders>
              <w:top w:val="nil"/>
              <w:left w:val="nil"/>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1,073,380.88</w:t>
            </w:r>
          </w:p>
        </w:tc>
        <w:tc>
          <w:tcPr>
            <w:tcW w:type="dxa" w:w="1737"/>
            <w:tcBorders>
              <w:top w:val="nil"/>
              <w:left w:val="nil"/>
              <w:bottom w:space="0" w:sz="4" w:color="auto" w:val="single"/>
              <w:right w:space="0" w:sz="4" w:color="auto" w:val="single"/>
            </w:tcBorders>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0.00</w:t>
            </w:r>
          </w:p>
        </w:tc>
        <w:tc>
          <w:tcPr>
            <w:tcW w:type="dxa" w:w="2246"/>
            <w:tcBorders>
              <w:top w:val="nil"/>
              <w:left w:val="nil"/>
              <w:bottom w:space="0" w:sz="4" w:color="auto" w:val="single"/>
              <w:right w:space="0" w:sz="4" w:color="auto" w:val="single"/>
            </w:tcBorders>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1,073,380.88</w:t>
            </w:r>
          </w:p>
        </w:tc>
      </w:tr>
    </w:tbl>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Ista će se podmiriti u cijelosti sukladno Ugovoru o kreditu broj 5024003938 dana 07.11.2013., na iznos kredita od 171.503,96 EUR (slovima: stosedamdesetijednatisućapetstotrieura i devedesetišestcenti) u kunskoj protuvrijednosti, s rokom otplate u 60 jednakih mjesečnih anuiteta i kamatnom stopom od 7,50% godišnje, promjenjiva.»</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 xml:space="preserve">c) Ostali vjerovnici </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Tražbine kategorije c) namiriti će se na sljedeći način:</w:t>
      </w:r>
    </w:p>
    <w:tbl>
      <w:tblPr>
        <w:tblW w:type="dxa" w:w="8738"/>
        <w:tblInd w:type="dxa" w:w="-275"/>
        <w:tblLook w:val="04A0" w:noVBand="1" w:noHBand="0" w:lastColumn="0" w:firstColumn="1" w:lastRow="0" w:firstRow="1"/>
      </w:tblPr>
      <w:tblGrid>
        <w:gridCol w:w="2611"/>
        <w:gridCol w:w="1525"/>
        <w:gridCol w:w="1844"/>
        <w:gridCol w:w="1844"/>
        <w:gridCol w:w="1694"/>
      </w:tblGrid>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00B0F0"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NAZIV</w:t>
            </w:r>
          </w:p>
        </w:tc>
        <w:tc>
          <w:tcPr>
            <w:tcW w:type="dxa" w:w="1710"/>
            <w:tcBorders>
              <w:top w:space="0" w:sz="4" w:color="auto" w:val="single"/>
              <w:left w:val="nil"/>
              <w:bottom w:space="0" w:sz="4" w:color="auto" w:val="single"/>
              <w:right w:space="0" w:sz="4" w:color="auto" w:val="single"/>
            </w:tcBorders>
            <w:shd w:fill="00B0F0"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UKUPNA OBVEZA</w:t>
            </w:r>
          </w:p>
        </w:tc>
        <w:tc>
          <w:tcPr>
            <w:tcW w:type="dxa" w:w="1530"/>
            <w:tcBorders>
              <w:top w:space="0" w:sz="4" w:color="auto" w:val="single"/>
              <w:left w:val="nil"/>
              <w:bottom w:space="0" w:sz="4" w:color="auto" w:val="single"/>
              <w:right w:space="0" w:sz="4" w:color="auto" w:val="single"/>
            </w:tcBorders>
            <w:shd w:fill="00B0F0" w:color="auto" w:val="clear"/>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OTPISANA VRIJEDNOST</w:t>
            </w:r>
          </w:p>
        </w:tc>
        <w:tc>
          <w:tcPr>
            <w:tcW w:type="dxa" w:w="1350"/>
            <w:tcBorders>
              <w:top w:space="0" w:sz="4" w:color="auto" w:val="single"/>
              <w:left w:val="nil"/>
              <w:bottom w:space="0" w:sz="4" w:color="auto" w:val="single"/>
              <w:right w:space="0" w:sz="4" w:color="auto" w:val="single"/>
            </w:tcBorders>
            <w:shd w:fill="00B0F0" w:color="auto" w:val="clear"/>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VRIJEDNOST ZA OTPLATU</w:t>
            </w:r>
          </w:p>
        </w:tc>
        <w:tc>
          <w:tcPr>
            <w:tcW w:type="dxa" w:w="1088"/>
            <w:tcBorders>
              <w:top w:space="0" w:sz="4" w:color="auto" w:val="single"/>
              <w:left w:val="nil"/>
              <w:bottom w:space="0" w:sz="4" w:color="auto" w:val="single"/>
              <w:right w:space="0" w:sz="4" w:color="auto" w:val="single"/>
            </w:tcBorders>
            <w:shd w:fill="00B0F0" w:color="auto" w:val="clear"/>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 xml:space="preserve">MJESEČNA RATA </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AB dizajn nova d.o.o.</w:t>
            </w:r>
          </w:p>
        </w:tc>
        <w:tc>
          <w:tcPr>
            <w:tcW w:type="dxa" w:w="1710"/>
            <w:tcBorders>
              <w:top w:val="nil"/>
              <w:left w:val="nil"/>
              <w:bottom w:space="0" w:sz="4" w:color="auto" w:val="single"/>
              <w:right w:space="0" w:sz="4" w:color="auto" w:val="single"/>
            </w:tcBorders>
            <w:shd w:fill="auto" w:color="auto" w:val="clear"/>
            <w:noWrap/>
          </w:tcPr>
          <w:p w:rsidRDefault="00214002" w:rsidP="00707E70"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2,101.94</w:t>
            </w:r>
          </w:p>
        </w:tc>
        <w:tc>
          <w:tcPr>
            <w:tcW w:type="dxa" w:w="1530"/>
            <w:tcBorders>
              <w:top w:val="nil"/>
              <w:left w:val="nil"/>
              <w:bottom w:space="0" w:sz="4" w:color="auto" w:val="single"/>
              <w:right w:space="0" w:sz="4" w:color="auto" w:val="single"/>
            </w:tcBorders>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630.58</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1,471.36</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15.33</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Absolute Alarmi d.o.o.</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ind w:left="720"/>
              <w:jc w:val="right"/>
              <w:rPr>
                <w:rFonts w:hAnsi="Times New Roman" w:ascii="Times New Roman"/>
                <w:sz w:val="20"/>
                <w:szCs w:val="20"/>
              </w:rPr>
            </w:pPr>
            <w:r w:rsidRPr="00214002">
              <w:rPr>
                <w:rFonts w:hAnsi="Times New Roman" w:ascii="Times New Roman"/>
                <w:sz w:val="20"/>
                <w:szCs w:val="20"/>
              </w:rPr>
              <w:t>8.96</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2.69</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6.27</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0.07</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Agro čova d.o.o.</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3,862.23</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1,158.67</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2,703.56</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28.16</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Alca Zagreb d.o.o.</w:t>
            </w:r>
          </w:p>
        </w:tc>
        <w:tc>
          <w:tcPr>
            <w:tcW w:type="dxa" w:w="1710"/>
            <w:tcBorders>
              <w:top w:val="nil"/>
              <w:left w:val="nil"/>
              <w:bottom w:space="0" w:sz="4" w:color="auto" w:val="single"/>
              <w:right w:space="0" w:sz="4" w:color="auto" w:val="single"/>
            </w:tcBorders>
            <w:shd w:fill="auto" w:color="auto" w:val="clear"/>
            <w:noWrap/>
          </w:tcPr>
          <w:p w:rsidRDefault="00214002" w:rsidP="00707E70"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13,810.95</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4,143.29</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9,667.67</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100.70</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Alert d.o.o.</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1,774.69</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532.41</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1,242.28</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12.94</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Automehanika d.d.</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t>1,470.54</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441.16</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1,029.38</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10.72</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Auto-Safir d.o.o.</w:t>
            </w:r>
          </w:p>
        </w:tc>
        <w:tc>
          <w:tcPr>
            <w:tcW w:type="dxa" w:w="1710"/>
            <w:tcBorders>
              <w:top w:val="nil"/>
              <w:left w:val="nil"/>
              <w:bottom w:space="0" w:sz="4" w:color="auto" w:val="single"/>
              <w:right w:space="0" w:sz="4" w:color="auto" w:val="single"/>
            </w:tcBorders>
            <w:shd w:fill="auto" w:color="auto" w:val="clear"/>
            <w:noWrap/>
          </w:tcPr>
          <w:p w:rsidRDefault="00214002" w:rsidP="00707E70"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11,143.24</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3,342.97</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7,800.27</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81.25</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B.TEX d.o.o.</w:t>
            </w:r>
          </w:p>
        </w:tc>
        <w:tc>
          <w:tcPr>
            <w:tcW w:type="dxa" w:w="1710"/>
            <w:tcBorders>
              <w:top w:val="nil"/>
              <w:left w:val="nil"/>
              <w:bottom w:space="0" w:sz="4" w:color="auto" w:val="single"/>
              <w:right w:space="0" w:sz="4" w:color="auto" w:val="single"/>
            </w:tcBorders>
            <w:shd w:fill="auto" w:color="auto" w:val="clear"/>
            <w:noWrap/>
          </w:tcPr>
          <w:p w:rsidRDefault="00214002" w:rsidP="00707E70" w:rsidR="002F1336" w:rsidRPr="00214002">
            <w:pPr>
              <w:ind w:left="720"/>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591.32</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177.40</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413.92</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4.31</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 xml:space="preserve">Bengerplast </w:t>
            </w:r>
            <w:r w:rsidRPr="00214002">
              <w:rPr>
                <w:rFonts w:hAnsi="Times New Roman" w:ascii="Times New Roman"/>
                <w:sz w:val="20"/>
                <w:szCs w:val="20"/>
              </w:rPr>
              <w:lastRenderedPageBreak/>
              <w:t>plastična konfekcija</w:t>
            </w:r>
          </w:p>
        </w:tc>
        <w:tc>
          <w:tcPr>
            <w:tcW w:type="dxa" w:w="1710"/>
            <w:tcBorders>
              <w:top w:val="nil"/>
              <w:left w:val="nil"/>
              <w:bottom w:space="0" w:sz="4" w:color="auto" w:val="single"/>
              <w:right w:space="0" w:sz="4" w:color="auto" w:val="single"/>
            </w:tcBorders>
            <w:shd w:fill="auto" w:color="auto" w:val="clear"/>
            <w:noWrap/>
          </w:tcPr>
          <w:p w:rsidRDefault="002F1336" w:rsidP="00707E70" w:rsidR="002F1336" w:rsidRPr="00214002">
            <w:pPr>
              <w:jc w:val="right"/>
              <w:rPr>
                <w:rFonts w:hAnsi="Times New Roman" w:ascii="Times New Roman"/>
                <w:sz w:val="20"/>
                <w:szCs w:val="20"/>
              </w:rPr>
            </w:pPr>
            <w:r w:rsidRPr="00214002">
              <w:rPr>
                <w:rFonts w:hAnsi="Times New Roman" w:ascii="Times New Roman"/>
                <w:sz w:val="20"/>
                <w:szCs w:val="20"/>
              </w:rPr>
              <w:lastRenderedPageBreak/>
              <w:t>6,250.00</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1,875.00</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4,375.00</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45.57</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lastRenderedPageBreak/>
              <w:t>Bigraf d.o.o.</w:t>
            </w:r>
          </w:p>
        </w:tc>
        <w:tc>
          <w:tcPr>
            <w:tcW w:type="dxa" w:w="1710"/>
            <w:tcBorders>
              <w:top w:val="nil"/>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137,021.19</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41,106.36</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95,914.83</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999.11</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Birodom d.o.o.</w:t>
            </w:r>
          </w:p>
        </w:tc>
        <w:tc>
          <w:tcPr>
            <w:tcW w:type="dxa" w:w="1710"/>
            <w:tcBorders>
              <w:top w:val="nil"/>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12,226.37</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3,667.91</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8,558.46</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89.15</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Blitz-cinestar d.o.o.</w:t>
            </w:r>
          </w:p>
        </w:tc>
        <w:tc>
          <w:tcPr>
            <w:tcW w:type="dxa" w:w="1710"/>
            <w:tcBorders>
              <w:top w:val="nil"/>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116,130.15</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34,839.05</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81,291.11</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846.78</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BMK informatika j.d.o.o.</w:t>
            </w:r>
          </w:p>
        </w:tc>
        <w:tc>
          <w:tcPr>
            <w:tcW w:type="dxa" w:w="1710"/>
            <w:tcBorders>
              <w:top w:val="nil"/>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18,000.00</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5,400.00</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12,600.00</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131.25</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BOMARK AMABALAŽA d.o.o.</w:t>
            </w:r>
          </w:p>
        </w:tc>
        <w:tc>
          <w:tcPr>
            <w:tcW w:type="dxa" w:w="1710"/>
            <w:tcBorders>
              <w:top w:val="nil"/>
              <w:left w:val="nil"/>
              <w:bottom w:space="0" w:sz="4" w:color="auto" w:val="single"/>
              <w:right w:space="0" w:sz="4" w:color="auto" w:val="single"/>
            </w:tcBorders>
            <w:shd w:fill="auto" w:color="auto" w:val="clear"/>
            <w:noWrap/>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3,367.20</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1,010.16</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2,357.04</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24.55</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Capricorno d.o.o.</w:t>
            </w:r>
          </w:p>
        </w:tc>
        <w:tc>
          <w:tcPr>
            <w:tcW w:type="dxa" w:w="1710"/>
            <w:tcBorders>
              <w:top w:val="nil"/>
              <w:left w:val="nil"/>
              <w:bottom w:space="0" w:sz="4" w:color="auto" w:val="single"/>
              <w:right w:space="0" w:sz="4" w:color="auto" w:val="single"/>
            </w:tcBorders>
            <w:shd w:fill="auto" w:color="auto" w:val="clear"/>
            <w:noWrap/>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1,354.37</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406.31</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948.06</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9.88</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Cetis ZG d.o.o.</w:t>
            </w:r>
          </w:p>
        </w:tc>
        <w:tc>
          <w:tcPr>
            <w:tcW w:type="dxa" w:w="1710"/>
            <w:tcBorders>
              <w:top w:val="nil"/>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44,122.57</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13,236.77</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30,885.80</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321.73</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Combis d.o.o.</w:t>
            </w:r>
          </w:p>
        </w:tc>
        <w:tc>
          <w:tcPr>
            <w:tcW w:type="dxa" w:w="1710"/>
            <w:tcBorders>
              <w:top w:val="nil"/>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238916.01</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71,674.80</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167,241.21</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1,742.10</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Datalab tehnologije d.o.o.</w:t>
            </w:r>
          </w:p>
        </w:tc>
        <w:tc>
          <w:tcPr>
            <w:tcW w:type="dxa" w:w="1710"/>
            <w:tcBorders>
              <w:top w:val="nil"/>
              <w:left w:val="nil"/>
              <w:bottom w:space="0" w:sz="4" w:color="auto" w:val="single"/>
              <w:right w:space="0" w:sz="4" w:color="auto" w:val="single"/>
            </w:tcBorders>
            <w:shd w:fill="auto" w:color="auto" w:val="clear"/>
            <w:noWrap/>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5,357.65</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1,607.30</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3,750.36</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39.07</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DIVmar d.o.o.</w:t>
            </w:r>
          </w:p>
        </w:tc>
        <w:tc>
          <w:tcPr>
            <w:tcW w:type="dxa" w:w="1710"/>
            <w:tcBorders>
              <w:top w:val="nil"/>
              <w:left w:val="nil"/>
              <w:bottom w:space="0" w:sz="4" w:color="auto" w:val="single"/>
              <w:right w:space="0" w:sz="4" w:color="auto" w:val="single"/>
            </w:tcBorders>
            <w:shd w:fill="auto" w:color="auto" w:val="clear"/>
            <w:noWrap/>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0.05</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0.02</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0.04</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0.00</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Domex International Co</w:t>
            </w:r>
          </w:p>
        </w:tc>
        <w:tc>
          <w:tcPr>
            <w:tcW w:type="dxa" w:w="1710"/>
            <w:tcBorders>
              <w:top w:val="nil"/>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14,060.44</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4,218.13</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9,842.31</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102.52</w:t>
            </w:r>
          </w:p>
        </w:tc>
      </w:tr>
      <w:tr w:rsidTr="002F1336" w:rsidR="002F1336" w:rsidRPr="002F1336">
        <w:trPr>
          <w:trHeight w:val="300"/>
        </w:trPr>
        <w:tc>
          <w:tcPr>
            <w:tcW w:type="dxa" w:w="3060"/>
            <w:tcBorders>
              <w:top w:val="nil"/>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Douglas parfumerije d.o.o.</w:t>
            </w:r>
          </w:p>
        </w:tc>
        <w:tc>
          <w:tcPr>
            <w:tcW w:type="dxa" w:w="1710"/>
            <w:tcBorders>
              <w:top w:val="nil"/>
              <w:left w:val="nil"/>
              <w:bottom w:space="0" w:sz="4" w:color="auto" w:val="single"/>
              <w:right w:space="0" w:sz="4" w:color="auto" w:val="single"/>
            </w:tcBorders>
            <w:shd w:fill="auto" w:color="auto" w:val="clear"/>
            <w:noWrap/>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618</w:t>
            </w:r>
          </w:p>
        </w:tc>
        <w:tc>
          <w:tcPr>
            <w:tcW w:type="dxa" w:w="153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185.40</w:t>
            </w:r>
          </w:p>
        </w:tc>
        <w:tc>
          <w:tcPr>
            <w:tcW w:type="dxa" w:w="1350"/>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432.60</w:t>
            </w:r>
          </w:p>
        </w:tc>
        <w:tc>
          <w:tcPr>
            <w:tcW w:type="dxa" w:w="1088"/>
            <w:tcBorders>
              <w:top w:val="nil"/>
              <w:left w:val="nil"/>
              <w:bottom w:space="0" w:sz="4" w:color="auto" w:val="single"/>
              <w:right w:space="0" w:sz="4" w:color="auto" w:val="single"/>
            </w:tcBorders>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4.51</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themeFill="background1" w:fill="FFFFFF"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Dradar d.o.o.</w:t>
            </w:r>
          </w:p>
        </w:tc>
        <w:tc>
          <w:tcPr>
            <w:tcW w:type="dxa" w:w="1710"/>
            <w:tcBorders>
              <w:top w:space="0" w:sz="4" w:color="auto" w:val="single"/>
              <w:left w:val="nil"/>
              <w:bottom w:space="0" w:sz="4" w:color="auto" w:val="single"/>
              <w:right w:space="0" w:sz="4" w:color="auto" w:val="single"/>
            </w:tcBorders>
            <w:shd w:themeFill="background1" w:fill="FFFFFF" w:color="auto" w:val="clear"/>
            <w:noWrap/>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200</w:t>
            </w:r>
          </w:p>
        </w:tc>
        <w:tc>
          <w:tcPr>
            <w:tcW w:type="dxa" w:w="1530"/>
            <w:tcBorders>
              <w:top w:space="0" w:sz="4" w:color="auto" w:val="single"/>
              <w:left w:val="nil"/>
              <w:bottom w:space="0" w:sz="4" w:color="auto" w:val="single"/>
              <w:right w:space="0" w:sz="4" w:color="auto" w:val="single"/>
            </w:tcBorders>
            <w:shd w:themeFill="background1" w:fill="FFFFFF"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60.00</w:t>
            </w:r>
          </w:p>
        </w:tc>
        <w:tc>
          <w:tcPr>
            <w:tcW w:type="dxa" w:w="1350"/>
            <w:tcBorders>
              <w:top w:space="0" w:sz="4" w:color="auto" w:val="single"/>
              <w:left w:val="nil"/>
              <w:bottom w:space="0" w:sz="4" w:color="auto" w:val="single"/>
              <w:right w:space="0" w:sz="4" w:color="auto" w:val="single"/>
            </w:tcBorders>
            <w:shd w:themeFill="background1" w:fill="FFFFFF"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140.00</w:t>
            </w:r>
          </w:p>
        </w:tc>
        <w:tc>
          <w:tcPr>
            <w:tcW w:type="dxa" w:w="1088"/>
            <w:tcBorders>
              <w:top w:space="0" w:sz="4" w:color="auto" w:val="single"/>
              <w:left w:val="nil"/>
              <w:bottom w:space="0" w:sz="4" w:color="auto" w:val="single"/>
              <w:right w:space="0" w:sz="4" w:color="auto" w:val="single"/>
            </w:tcBorders>
            <w:shd w:themeFill="background1" w:fill="FFFFFF"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1.46</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themeFill="background1" w:fill="FFFFFF"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 xml:space="preserve">Draženka Hleščik kao pravni sljednik obrta, Cesing obrt za financijske usluge </w:t>
            </w:r>
          </w:p>
        </w:tc>
        <w:tc>
          <w:tcPr>
            <w:tcW w:type="dxa" w:w="1710"/>
            <w:tcBorders>
              <w:top w:space="0" w:sz="4" w:color="auto" w:val="single"/>
              <w:left w:val="nil"/>
              <w:bottom w:space="0" w:sz="4" w:color="auto" w:val="single"/>
              <w:right w:space="0" w:sz="4" w:color="auto" w:val="single"/>
            </w:tcBorders>
            <w:shd w:themeFill="background1" w:fill="FFFFFF" w:color="auto" w:val="clear"/>
            <w:noWrap/>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1,162.57</w:t>
            </w:r>
          </w:p>
        </w:tc>
        <w:tc>
          <w:tcPr>
            <w:tcW w:type="dxa" w:w="1530"/>
            <w:tcBorders>
              <w:top w:space="0" w:sz="4" w:color="auto" w:val="single"/>
              <w:left w:val="nil"/>
              <w:bottom w:space="0" w:sz="4" w:color="auto" w:val="single"/>
              <w:right w:space="0" w:sz="4" w:color="auto" w:val="single"/>
            </w:tcBorders>
            <w:shd w:themeFill="background1" w:fill="FFFFFF"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348.77</w:t>
            </w:r>
          </w:p>
        </w:tc>
        <w:tc>
          <w:tcPr>
            <w:tcW w:type="dxa" w:w="1350"/>
            <w:tcBorders>
              <w:top w:space="0" w:sz="4" w:color="auto" w:val="single"/>
              <w:left w:val="nil"/>
              <w:bottom w:space="0" w:sz="4" w:color="auto" w:val="single"/>
              <w:right w:space="0" w:sz="4" w:color="auto" w:val="single"/>
            </w:tcBorders>
            <w:shd w:themeFill="background1" w:fill="FFFFFF"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813.80</w:t>
            </w:r>
          </w:p>
        </w:tc>
        <w:tc>
          <w:tcPr>
            <w:tcW w:type="dxa" w:w="1088"/>
            <w:tcBorders>
              <w:top w:space="0" w:sz="4" w:color="auto" w:val="single"/>
              <w:left w:val="nil"/>
              <w:bottom w:space="0" w:sz="4" w:color="auto" w:val="single"/>
              <w:right w:space="0" w:sz="4" w:color="auto" w:val="single"/>
            </w:tcBorders>
            <w:shd w:themeFill="background1" w:fill="FFFFFF"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8.48</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themeFill="background1" w:fill="FFFFFF"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Ecos trgovina d.o.o.</w:t>
            </w:r>
          </w:p>
        </w:tc>
        <w:tc>
          <w:tcPr>
            <w:tcW w:type="dxa" w:w="1710"/>
            <w:tcBorders>
              <w:top w:space="0" w:sz="4" w:color="auto" w:val="single"/>
              <w:left w:val="nil"/>
              <w:bottom w:space="0" w:sz="4" w:color="auto" w:val="single"/>
              <w:right w:space="0" w:sz="4" w:color="auto" w:val="single"/>
            </w:tcBorders>
            <w:shd w:themeFill="background1" w:fill="FFFFFF" w:color="auto" w:val="clear"/>
            <w:noWrap/>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1,125.00</w:t>
            </w:r>
          </w:p>
        </w:tc>
        <w:tc>
          <w:tcPr>
            <w:tcW w:type="dxa" w:w="1530"/>
            <w:tcBorders>
              <w:top w:space="0" w:sz="4" w:color="auto" w:val="single"/>
              <w:left w:val="nil"/>
              <w:bottom w:space="0" w:sz="4" w:color="auto" w:val="single"/>
              <w:right w:space="0" w:sz="4" w:color="auto" w:val="single"/>
            </w:tcBorders>
            <w:shd w:themeFill="background1" w:fill="FFFFFF"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337.50</w:t>
            </w:r>
          </w:p>
        </w:tc>
        <w:tc>
          <w:tcPr>
            <w:tcW w:type="dxa" w:w="1350"/>
            <w:tcBorders>
              <w:top w:space="0" w:sz="4" w:color="auto" w:val="single"/>
              <w:left w:val="nil"/>
              <w:bottom w:space="0" w:sz="4" w:color="auto" w:val="single"/>
              <w:right w:space="0" w:sz="4" w:color="auto" w:val="single"/>
            </w:tcBorders>
            <w:shd w:themeFill="background1" w:fill="FFFFFF"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787.50</w:t>
            </w:r>
          </w:p>
        </w:tc>
        <w:tc>
          <w:tcPr>
            <w:tcW w:type="dxa" w:w="1088"/>
            <w:tcBorders>
              <w:top w:space="0" w:sz="4" w:color="auto" w:val="single"/>
              <w:left w:val="nil"/>
              <w:bottom w:space="0" w:sz="4" w:color="auto" w:val="single"/>
              <w:right w:space="0" w:sz="4" w:color="auto" w:val="single"/>
            </w:tcBorders>
            <w:shd w:themeFill="background1" w:fill="FFFFFF"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8.20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 xml:space="preserve">Esselte S.r.l </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3,371.05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1,011.32</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2,359.74</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24.58</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EURO - V.I.K. d.o.o. prodavaonica Bakina kuća</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1,592.61</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477.78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1,114.83</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11.61</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Eurocom d.o.o.</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14,508.20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4,352.46</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10,155.74</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105.79</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Eurogradnja-ŠKOF d. o. 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1,787.50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536.25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1,251.25</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13.03</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Eurokod Pisačić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1,694.35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508.31</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1,186.05</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12.35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Europapier Adria d.o.o.</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162,762.92</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48,828.88</w:t>
            </w:r>
          </w:p>
        </w:tc>
        <w:tc>
          <w:tcPr>
            <w:tcW w:type="dxa" w:w="1350"/>
            <w:tcBorders>
              <w:top w:space="0" w:sz="4" w:color="auto" w:val="single"/>
              <w:left w:val="nil"/>
              <w:bottom w:space="0" w:sz="4" w:color="auto" w:val="single"/>
              <w:right w:space="0" w:sz="4" w:color="auto" w:val="single"/>
            </w:tcBorders>
            <w:shd w:fill="auto" w:color="auto" w:val="clear"/>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113,934.04</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1,186.81</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Eurotrade d.o.o.</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766,048.45</w:t>
            </w:r>
          </w:p>
        </w:tc>
        <w:tc>
          <w:tcPr>
            <w:tcW w:type="dxa" w:w="1530"/>
            <w:tcBorders>
              <w:top w:space="0" w:sz="4" w:color="auto" w:val="single"/>
              <w:left w:val="nil"/>
              <w:bottom w:space="0" w:sz="4" w:color="auto" w:val="single"/>
              <w:right w:space="0" w:sz="4" w:color="auto" w:val="single"/>
            </w:tcBorders>
            <w:shd w:fill="auto" w:color="auto" w:val="clear"/>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229,814.54</w:t>
            </w:r>
          </w:p>
        </w:tc>
        <w:tc>
          <w:tcPr>
            <w:tcW w:type="dxa" w:w="1350"/>
            <w:tcBorders>
              <w:top w:space="0" w:sz="4" w:color="auto" w:val="single"/>
              <w:left w:val="nil"/>
              <w:bottom w:space="0" w:sz="4" w:color="auto" w:val="single"/>
              <w:right w:space="0" w:sz="4" w:color="auto" w:val="single"/>
            </w:tcBorders>
            <w:shd w:fill="auto" w:color="auto" w:val="clear"/>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536,233.92</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5,585.77</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Fina Financijska Agencija</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2,317.61</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695.28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1,622.33</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16.90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Fond za zaštitu okoliša i energetsku učinkovitost</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11,169.60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3,350.88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7,818.72</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81.45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Futuragraf d.o.o. za trgovinu i tiskarsku djelatnost</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82,568.98</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24,770.69</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57,798.29</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602.07</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General Logistics Systems Croatia d.o.o.</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14,841.15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4,452.35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10,388.81</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108.22</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Getra-MB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968.58</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290.57</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678.01</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7.06</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Gigraphix d.o.o.</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118,785.51</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35,635.65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83,149.86</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866.14</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lastRenderedPageBreak/>
              <w:t>Grafoton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1,575.00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472.50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1,102.50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11.48</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GS1 Croatia</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2,747.93</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824.38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1,923.55</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20.04</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GUMIIMPEX-GRP d.d.</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7,336.33</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2,200.90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5,135.43</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53.49</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Hell Energy Magyarorszag Kft.</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75,200.71</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22,560.21</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52,640.50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548.34</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Hotel Galerija d.o.o.</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24538C" w:rsidR="002F1336" w:rsidRPr="00214002">
            <w:pPr>
              <w:ind w:left="720"/>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797.2</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239.16</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558.04</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5.81</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HRT - Hrvatska Radiotelevizija</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5,439.99</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1,632.00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3,807.99</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39.67</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Hrvatska Pošta d.d.</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29,413.89</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8,824.17</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20,589.72</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214.48</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Insako d.o.o.</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23,118.34</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6,935.50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16,182.84</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168.57</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Intereuropa Logističke Usluge d.o.o.</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96,164.92</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28,849.48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67,315.44</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701.20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Interteks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4,264.81</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1,279.44</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2,985.37</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31.10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Javni Bilježnik Anica Hukelj</w:t>
            </w:r>
          </w:p>
        </w:tc>
        <w:tc>
          <w:tcPr>
            <w:tcW w:type="dxa" w:w="1710"/>
            <w:tcBorders>
              <w:top w:space="0" w:sz="4" w:color="auto" w:val="single"/>
              <w:left w:val="nil"/>
              <w:bottom w:space="0" w:sz="4" w:color="auto" w:val="single"/>
              <w:right w:space="0" w:sz="4" w:color="auto" w:val="single"/>
            </w:tcBorders>
            <w:shd w:fill="auto" w:color="auto" w:val="clear"/>
            <w:noWrap/>
          </w:tcPr>
          <w:p w:rsidRDefault="00214002"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10,274.90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3,082.47</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7,192.43</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74.92</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Javni bilježnik Štefica Brozović Škrinjarić</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ind w:left="720"/>
              <w:jc w:val="right"/>
              <w:rPr>
                <w:rFonts w:hAnsi="Times New Roman" w:ascii="Times New Roman"/>
                <w:sz w:val="20"/>
                <w:szCs w:val="20"/>
              </w:rPr>
            </w:pPr>
            <w:r w:rsidRPr="00214002">
              <w:rPr>
                <w:rFonts w:hAnsi="Times New Roman" w:ascii="Times New Roman"/>
                <w:sz w:val="20"/>
                <w:szCs w:val="20"/>
              </w:rPr>
              <w:t>495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148.50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346.50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3.61</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Kompass Info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2,578.20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773.46</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1,804.74</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18.80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KREATIVNI TISAK d.o.o.</w:t>
            </w:r>
          </w:p>
        </w:tc>
        <w:tc>
          <w:tcPr>
            <w:tcW w:type="dxa" w:w="1710"/>
            <w:tcBorders>
              <w:top w:space="0" w:sz="4" w:color="auto" w:val="single"/>
              <w:left w:val="nil"/>
              <w:bottom w:space="0" w:sz="4" w:color="auto" w:val="single"/>
              <w:right w:space="0" w:sz="4" w:color="auto" w:val="single"/>
            </w:tcBorders>
            <w:shd w:fill="auto" w:color="auto" w:val="clear"/>
            <w:noWrap/>
          </w:tcPr>
          <w:p w:rsidRDefault="007F0A31"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14,176.25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4,252.88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9,923.38</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103.37</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Krodat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1,941.14</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582.34</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1,358.80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14.15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KS promet d.o.o.</w:t>
            </w:r>
          </w:p>
        </w:tc>
        <w:tc>
          <w:tcPr>
            <w:tcW w:type="dxa" w:w="1710"/>
            <w:tcBorders>
              <w:top w:space="0" w:sz="4" w:color="auto" w:val="single"/>
              <w:left w:val="nil"/>
              <w:bottom w:space="0" w:sz="4" w:color="auto" w:val="single"/>
              <w:right w:space="0" w:sz="4" w:color="auto" w:val="single"/>
            </w:tcBorders>
            <w:shd w:fill="auto" w:color="auto" w:val="clear"/>
            <w:noWrap/>
          </w:tcPr>
          <w:p w:rsidRDefault="007F0A31"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24,383.05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7,314.92</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17,068.14</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177.79</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Kvark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ind w:left="720"/>
              <w:jc w:val="right"/>
              <w:rPr>
                <w:rFonts w:hAnsi="Times New Roman" w:ascii="Times New Roman"/>
                <w:sz w:val="20"/>
                <w:szCs w:val="20"/>
              </w:rPr>
            </w:pPr>
            <w:r w:rsidRPr="00214002">
              <w:rPr>
                <w:rFonts w:hAnsi="Times New Roman" w:ascii="Times New Roman"/>
                <w:sz w:val="20"/>
                <w:szCs w:val="20"/>
              </w:rPr>
              <w:t>95.7</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28.71</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66.99</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0.70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Lager Bašić d.o.o.</w:t>
            </w:r>
          </w:p>
        </w:tc>
        <w:tc>
          <w:tcPr>
            <w:tcW w:type="dxa" w:w="1710"/>
            <w:tcBorders>
              <w:top w:space="0" w:sz="4" w:color="auto" w:val="single"/>
              <w:left w:val="nil"/>
              <w:bottom w:space="0" w:sz="4" w:color="auto" w:val="single"/>
              <w:right w:space="0" w:sz="4" w:color="auto" w:val="single"/>
            </w:tcBorders>
            <w:shd w:fill="auto" w:color="auto" w:val="clear"/>
            <w:noWrap/>
          </w:tcPr>
          <w:p w:rsidRDefault="007F0A31"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45,459.62</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13,637.89</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31,821.73</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331.48</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Luxor čišćenje i održavanje d.o.o.</w:t>
            </w:r>
          </w:p>
        </w:tc>
        <w:tc>
          <w:tcPr>
            <w:tcW w:type="dxa" w:w="1710"/>
            <w:tcBorders>
              <w:top w:space="0" w:sz="4" w:color="auto" w:val="single"/>
              <w:left w:val="nil"/>
              <w:bottom w:space="0" w:sz="4" w:color="auto" w:val="single"/>
              <w:right w:space="0" w:sz="4" w:color="auto" w:val="single"/>
            </w:tcBorders>
            <w:shd w:fill="auto" w:color="auto" w:val="clear"/>
            <w:noWrap/>
          </w:tcPr>
          <w:p w:rsidRDefault="007F0A31"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33,234.25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9,970.28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23,263.98</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242.33</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M.T.-Uredska Oprema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1,062.50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318.75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743.75</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7.75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Makromikro d.o.o.</w:t>
            </w:r>
          </w:p>
        </w:tc>
        <w:tc>
          <w:tcPr>
            <w:tcW w:type="dxa" w:w="1710"/>
            <w:tcBorders>
              <w:top w:space="0" w:sz="4" w:color="auto" w:val="single"/>
              <w:left w:val="nil"/>
              <w:bottom w:space="0" w:sz="4" w:color="auto" w:val="single"/>
              <w:right w:space="0" w:sz="4" w:color="auto" w:val="single"/>
            </w:tcBorders>
            <w:shd w:fill="auto" w:color="auto" w:val="clear"/>
            <w:noWrap/>
          </w:tcPr>
          <w:p w:rsidRDefault="007F0A31"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33,942.54</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10,182.76</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23,759.78</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247.50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Mar-Mar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6,976.36</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2,092.91</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4,883.45</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50.87</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 xml:space="preserve">MAZARS CINOTTI AUDIT </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4,912.44</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1,473.73</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3,438.71</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35.82</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MENSIS AV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1,385.68</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415.70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969.98</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10.10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Metronet Telekomunikacije d.d.</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7,217.87</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2,165.36</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5,052.51</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52.63</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 xml:space="preserve">Microsoft Ireland Operations Ltd. </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2,413.36</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724.01</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1,689.35</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17.60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Milla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2,641.57</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792.47</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1,849.10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19.26</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MR Servis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jc w:val="right"/>
              <w:rPr>
                <w:rFonts w:hAnsi="Times New Roman" w:ascii="Times New Roman"/>
                <w:sz w:val="20"/>
                <w:szCs w:val="20"/>
              </w:rPr>
            </w:pPr>
            <w:r w:rsidRPr="00214002">
              <w:rPr>
                <w:rFonts w:hAnsi="Times New Roman" w:ascii="Times New Roman"/>
                <w:sz w:val="20"/>
                <w:szCs w:val="20"/>
              </w:rPr>
              <w:t>2,502.41</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750.72</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1,751.69</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18.25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Narodne Novine d.d.</w:t>
            </w:r>
          </w:p>
        </w:tc>
        <w:tc>
          <w:tcPr>
            <w:tcW w:type="dxa" w:w="1710"/>
            <w:tcBorders>
              <w:top w:space="0" w:sz="4" w:color="auto" w:val="single"/>
              <w:left w:val="nil"/>
              <w:bottom w:space="0" w:sz="4" w:color="auto" w:val="single"/>
              <w:right w:space="0" w:sz="4" w:color="auto" w:val="single"/>
            </w:tcBorders>
            <w:shd w:fill="auto" w:color="auto" w:val="clear"/>
            <w:noWrap/>
          </w:tcPr>
          <w:p w:rsidRDefault="007F0A31"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131,976.94</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39,593.08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92,383.86</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962.33</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Nikoprom d.o.o.</w:t>
            </w:r>
          </w:p>
        </w:tc>
        <w:tc>
          <w:tcPr>
            <w:tcW w:type="dxa" w:w="1710"/>
            <w:tcBorders>
              <w:top w:space="0" w:sz="4" w:color="auto" w:val="single"/>
              <w:left w:val="nil"/>
              <w:bottom w:space="0" w:sz="4" w:color="auto" w:val="single"/>
              <w:right w:space="0" w:sz="4" w:color="auto" w:val="single"/>
            </w:tcBorders>
            <w:shd w:fill="auto" w:color="auto" w:val="clear"/>
            <w:noWrap/>
          </w:tcPr>
          <w:p w:rsidRDefault="007F0A31" w:rsidP="0024538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10,259.39</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3,077.82</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7,181.57</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74.81</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Niveta d.d.</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4538C" w:rsidR="002F1336" w:rsidRPr="00214002">
            <w:pPr>
              <w:ind w:left="720"/>
              <w:jc w:val="right"/>
              <w:rPr>
                <w:rFonts w:hAnsi="Times New Roman" w:ascii="Times New Roman"/>
                <w:sz w:val="20"/>
                <w:szCs w:val="20"/>
              </w:rPr>
            </w:pPr>
            <w:r w:rsidRPr="00214002">
              <w:rPr>
                <w:rFonts w:hAnsi="Times New Roman" w:ascii="Times New Roman"/>
                <w:sz w:val="20"/>
                <w:szCs w:val="20"/>
              </w:rPr>
              <w:t>40.59</w:t>
            </w:r>
          </w:p>
        </w:tc>
        <w:tc>
          <w:tcPr>
            <w:tcW w:type="dxa" w:w="1530"/>
            <w:tcBorders>
              <w:top w:space="0" w:sz="4" w:color="auto" w:val="single"/>
              <w:left w:val="nil"/>
              <w:bottom w:space="0" w:sz="4" w:color="auto" w:val="single"/>
              <w:right w:space="0" w:sz="4" w:color="auto" w:val="single"/>
            </w:tcBorders>
            <w:shd w:fill="auto" w:color="auto" w:val="clear"/>
          </w:tcPr>
          <w:p w:rsidRDefault="007F0A31" w:rsidP="007F0A31" w:rsidR="002F1336" w:rsidRPr="00214002">
            <w:pPr>
              <w:ind w:left="720"/>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12.18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28.41</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0.30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 xml:space="preserve">Odvjetničko </w:t>
            </w:r>
            <w:r w:rsidRPr="00214002">
              <w:rPr>
                <w:rFonts w:hAnsi="Times New Roman" w:ascii="Times New Roman"/>
                <w:sz w:val="20"/>
                <w:szCs w:val="20"/>
              </w:rPr>
              <w:lastRenderedPageBreak/>
              <w:t>Društvo Hondl,Konić i Partneri</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ind w:left="720"/>
              <w:jc w:val="right"/>
              <w:rPr>
                <w:rFonts w:hAnsi="Times New Roman" w:ascii="Times New Roman"/>
                <w:sz w:val="20"/>
                <w:szCs w:val="20"/>
              </w:rPr>
            </w:pPr>
            <w:r w:rsidRPr="00214002">
              <w:rPr>
                <w:rFonts w:hAnsi="Times New Roman" w:ascii="Times New Roman"/>
                <w:sz w:val="20"/>
                <w:szCs w:val="20"/>
              </w:rPr>
              <w:lastRenderedPageBreak/>
              <w:t>27.1</w:t>
            </w:r>
          </w:p>
        </w:tc>
        <w:tc>
          <w:tcPr>
            <w:tcW w:type="dxa" w:w="1530"/>
            <w:tcBorders>
              <w:top w:space="0" w:sz="4" w:color="auto" w:val="single"/>
              <w:left w:val="nil"/>
              <w:bottom w:space="0" w:sz="4" w:color="auto" w:val="single"/>
              <w:right w:space="0" w:sz="4" w:color="auto" w:val="single"/>
            </w:tcBorders>
            <w:shd w:fill="auto" w:color="auto" w:val="clear"/>
          </w:tcPr>
          <w:p w:rsidRDefault="007F0A31" w:rsidP="007F0A31" w:rsidR="002F1336" w:rsidRPr="00214002">
            <w:pPr>
              <w:ind w:left="720"/>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8.13</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18.97</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0.20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lastRenderedPageBreak/>
              <w:t xml:space="preserve">Office Depot Europe BV </w:t>
            </w:r>
          </w:p>
        </w:tc>
        <w:tc>
          <w:tcPr>
            <w:tcW w:type="dxa" w:w="1710"/>
            <w:tcBorders>
              <w:top w:space="0" w:sz="4" w:color="auto" w:val="single"/>
              <w:left w:val="nil"/>
              <w:bottom w:space="0" w:sz="4" w:color="auto" w:val="single"/>
              <w:right w:space="0" w:sz="4" w:color="auto" w:val="single"/>
            </w:tcBorders>
            <w:shd w:fill="auto" w:color="auto" w:val="clear"/>
            <w:noWrap/>
          </w:tcPr>
          <w:p w:rsidRDefault="007F0A31" w:rsidP="002E04AC"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917,921.29</w:t>
            </w:r>
          </w:p>
        </w:tc>
        <w:tc>
          <w:tcPr>
            <w:tcW w:type="dxa" w:w="1530"/>
            <w:tcBorders>
              <w:top w:space="0" w:sz="4" w:color="auto" w:val="single"/>
              <w:left w:val="nil"/>
              <w:bottom w:space="0" w:sz="4" w:color="auto" w:val="single"/>
              <w:right w:space="0" w:sz="4" w:color="auto" w:val="single"/>
            </w:tcBorders>
            <w:shd w:fill="auto" w:color="auto" w:val="clear"/>
          </w:tcPr>
          <w:p w:rsidRDefault="007F0A31"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275,376.39</w:t>
            </w:r>
          </w:p>
        </w:tc>
        <w:tc>
          <w:tcPr>
            <w:tcW w:type="dxa" w:w="1350"/>
            <w:tcBorders>
              <w:top w:space="0" w:sz="4" w:color="auto" w:val="single"/>
              <w:left w:val="nil"/>
              <w:bottom w:space="0" w:sz="4" w:color="auto" w:val="single"/>
              <w:right w:space="0" w:sz="4" w:color="auto" w:val="single"/>
            </w:tcBorders>
            <w:shd w:fill="auto" w:color="auto" w:val="clear"/>
          </w:tcPr>
          <w:p w:rsidRDefault="007F0A31" w:rsidP="007F0A31" w:rsidR="002F1336" w:rsidRPr="00214002">
            <w:pPr>
              <w:jc w:val="right"/>
              <w:rPr>
                <w:rFonts w:hAnsi="Times New Roman" w:ascii="Times New Roman"/>
                <w:sz w:val="20"/>
                <w:szCs w:val="20"/>
              </w:rPr>
            </w:pPr>
            <w:r>
              <w:rPr>
                <w:rFonts w:hAnsi="Times New Roman" w:ascii="Times New Roman"/>
                <w:sz w:val="20"/>
                <w:szCs w:val="20"/>
              </w:rPr>
              <w:t xml:space="preserve">          </w:t>
            </w:r>
            <w:r w:rsidR="002F1336" w:rsidRPr="00214002">
              <w:rPr>
                <w:rFonts w:hAnsi="Times New Roman" w:ascii="Times New Roman"/>
                <w:sz w:val="20"/>
                <w:szCs w:val="20"/>
              </w:rPr>
              <w:t>642,544.90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6,693.18</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OG Grafika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ind w:left="720"/>
              <w:jc w:val="right"/>
              <w:rPr>
                <w:rFonts w:hAnsi="Times New Roman" w:ascii="Times New Roman"/>
                <w:sz w:val="20"/>
                <w:szCs w:val="20"/>
              </w:rPr>
            </w:pPr>
            <w:r w:rsidRPr="00214002">
              <w:rPr>
                <w:rFonts w:hAnsi="Times New Roman" w:ascii="Times New Roman"/>
                <w:sz w:val="20"/>
                <w:szCs w:val="20"/>
              </w:rPr>
              <w:t>0.36</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0.11</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0.25</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0.00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Orbi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ind w:left="720"/>
              <w:jc w:val="right"/>
              <w:rPr>
                <w:rFonts w:hAnsi="Times New Roman" w:ascii="Times New Roman"/>
                <w:sz w:val="20"/>
                <w:szCs w:val="20"/>
              </w:rPr>
            </w:pPr>
            <w:r w:rsidRPr="00214002">
              <w:rPr>
                <w:rFonts w:hAnsi="Times New Roman" w:ascii="Times New Roman"/>
                <w:sz w:val="20"/>
                <w:szCs w:val="20"/>
              </w:rPr>
              <w:t>325.57</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97.67</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227.90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2.37</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Osmijeh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9,720.70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2,916.21</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6,804.49</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70.88</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Overseas Trade Co.  Ltd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97,901.93</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29,370.58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68,531.35</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713.87</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Papyrus Croatia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311,604.84</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93,481.45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218,123.39</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2,272.12</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Pastor TVA d.d.</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ind w:left="720"/>
              <w:jc w:val="right"/>
              <w:rPr>
                <w:rFonts w:hAnsi="Times New Roman" w:ascii="Times New Roman"/>
                <w:sz w:val="20"/>
                <w:szCs w:val="20"/>
              </w:rPr>
            </w:pPr>
            <w:r w:rsidRPr="00214002">
              <w:rPr>
                <w:rFonts w:hAnsi="Times New Roman" w:ascii="Times New Roman"/>
                <w:sz w:val="20"/>
                <w:szCs w:val="20"/>
              </w:rPr>
              <w:t>753.49</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226.05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527.44</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5.49</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Polimer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3,179.73</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953.92</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2,225.81</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23.19</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Poslovni Klub Croatica</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9,000.00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2,700.00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6,300.00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65.63</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Print centar Krapina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9,093.75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2,728.13</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6,365.63</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66.31</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Printex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ind w:left="720"/>
              <w:jc w:val="right"/>
              <w:rPr>
                <w:rFonts w:hAnsi="Times New Roman" w:ascii="Times New Roman"/>
                <w:sz w:val="20"/>
                <w:szCs w:val="20"/>
              </w:rPr>
            </w:pPr>
            <w:r w:rsidRPr="00214002">
              <w:rPr>
                <w:rFonts w:hAnsi="Times New Roman" w:ascii="Times New Roman"/>
                <w:sz w:val="20"/>
                <w:szCs w:val="20"/>
              </w:rPr>
              <w:t>74.35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22.31</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52.05</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0.54</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Procesor zastupanje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30,737.02</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9,221.11</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21,515.91</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224.12</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Prokura revizija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23,510.46</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7,053.14</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16,457.32</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171.43</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Quahwa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ind w:left="720"/>
              <w:jc w:val="right"/>
              <w:rPr>
                <w:rFonts w:hAnsi="Times New Roman" w:ascii="Times New Roman"/>
                <w:sz w:val="20"/>
                <w:szCs w:val="20"/>
              </w:rPr>
            </w:pPr>
            <w:r w:rsidRPr="00214002">
              <w:rPr>
                <w:rFonts w:hAnsi="Times New Roman" w:ascii="Times New Roman"/>
                <w:sz w:val="20"/>
                <w:szCs w:val="20"/>
              </w:rPr>
              <w:t>488.36</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146.51</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341.85</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3.56</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Recro d.d.</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112,689.18</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33,806.75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78,882.43</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821.69</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Repro-Grav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1,136.70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341.01</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795.69</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8.29</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Romiz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2,298.44</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689.53</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1,608.91</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16.76</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Roto Dinamic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10,648.23</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3,194.47</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7,453.76</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77.64</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SECURITAS HRVATSKA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2,129.49</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638.85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1,490.64</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15.53</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SE-MARK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ind w:left="720"/>
              <w:jc w:val="right"/>
              <w:rPr>
                <w:rFonts w:hAnsi="Times New Roman" w:ascii="Times New Roman"/>
                <w:sz w:val="20"/>
                <w:szCs w:val="20"/>
              </w:rPr>
            </w:pPr>
            <w:r w:rsidRPr="00214002">
              <w:rPr>
                <w:rFonts w:hAnsi="Times New Roman" w:ascii="Times New Roman"/>
                <w:sz w:val="20"/>
                <w:szCs w:val="20"/>
              </w:rPr>
              <w:t>7.16</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2.15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5.01</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0.05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Shacko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28,250.00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8,475.00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19,775.00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205.99</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Sieckmeyer Fotografie , Jurgen Sieckmeyer</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47,501.12</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14,250.34</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33,250.78</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346.36</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Skylink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3,854.89</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1,156.47</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2,698.42</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28.11</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Smit Commerce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2,640.46</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792.14</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1,848.32</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19.25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Softpro Tetral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1,906.50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571.95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1,334.55</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13.90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Specijalni ambalažni program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2,941.49</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882.45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2,059.04</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21.45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Stara Knežija d.o.o.Bistro Madera grill</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3,542.76</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1,062.83</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2,479.93</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25.83</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STILLVIL, servis viličara, Vl. Vanja Šuvak</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14,233.15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4,269.95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9,963.21</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103.78</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Stilos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56,977.90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17,093.37</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39,884.53</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415.46</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Studentske zadruge „Student“ Novi Sad</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627,154.40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188,146.32</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jc w:val="right"/>
              <w:rPr>
                <w:rFonts w:hAnsi="Times New Roman" w:ascii="Times New Roman"/>
                <w:sz w:val="20"/>
                <w:szCs w:val="20"/>
              </w:rPr>
            </w:pPr>
            <w:r w:rsidRPr="00214002">
              <w:rPr>
                <w:rFonts w:hAnsi="Times New Roman" w:ascii="Times New Roman"/>
                <w:sz w:val="20"/>
                <w:szCs w:val="20"/>
              </w:rPr>
              <w:t>439,008.08</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4,573.00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Stublić impex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8,869.74</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2,660.92</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6,208.82</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64.68</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Studio Bregant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2E04AC" w:rsidR="002F1336" w:rsidRPr="00214002">
            <w:pPr>
              <w:jc w:val="right"/>
              <w:rPr>
                <w:rFonts w:hAnsi="Times New Roman" w:ascii="Times New Roman"/>
                <w:sz w:val="20"/>
                <w:szCs w:val="20"/>
              </w:rPr>
            </w:pPr>
            <w:r w:rsidRPr="00214002">
              <w:rPr>
                <w:rFonts w:hAnsi="Times New Roman" w:ascii="Times New Roman"/>
                <w:sz w:val="20"/>
                <w:szCs w:val="20"/>
              </w:rPr>
              <w:t>1,625.00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487.50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1,137.50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7F0A31" w:rsidR="002F1336" w:rsidRPr="00214002">
            <w:pPr>
              <w:ind w:left="720"/>
              <w:jc w:val="right"/>
              <w:rPr>
                <w:rFonts w:hAnsi="Times New Roman" w:ascii="Times New Roman"/>
                <w:sz w:val="20"/>
                <w:szCs w:val="20"/>
              </w:rPr>
            </w:pPr>
            <w:r w:rsidRPr="00214002">
              <w:rPr>
                <w:rFonts w:hAnsi="Times New Roman" w:ascii="Times New Roman"/>
                <w:sz w:val="20"/>
                <w:szCs w:val="20"/>
              </w:rPr>
              <w:t>11.85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lastRenderedPageBreak/>
              <w:t>Super program j.d.o.o.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122,133.19</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36,639.96</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85,493.23</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890.55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Šafram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1,370.27</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411.08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959.19</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9.99</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Širanović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5,115.00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1,534.50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3,580.50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37.30</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TEB KOMPLEKSNI SUSTAVI I RJEŠE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3,750.00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1,125.00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2,625.00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27.34</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Tehničar-Computers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1,537.60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461.28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1,076.32</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11.21</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Tehničar-Computers d.o.o. / Tehničar Grič IT  d.o.o. OIB: 02680654056</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12,157.08</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3,647.12</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8,509.96</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88.65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TIPKO tiskarsko-uslužni obrt</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1,375.00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412.50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962.50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10.03</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Tisak d.d.</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40,290.96</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12,087.29</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28,203.67</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293.79</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Tiskara Vidić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2,158.31</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647.49</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1,510.82</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15.74</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TOZ Penkala Proizvodnja i Usluge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5,637.84</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1,691.35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3,946.49</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41.11</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Trast logistika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1,456.25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436.88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1,019.38</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10.62</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Trgocentar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3,865.74</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1,159.72</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2,706.02</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28.19</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TRS Europe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295,343.12</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88,602.94</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206,740.18</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2,153.54</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TUROPOLIS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1,279.50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383.85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895.65</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9.33</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ULBA PROMONT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625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187.50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437.50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4.56</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Ultra gros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3,500.49</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1,050.15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2,450.34</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25.52</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Vega-Dubravka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1,500.00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450.00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1,050.00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10.94</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Velprom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14,050.58</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4,215.17</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9,835.41</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102.45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Veljaš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334.85</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100.46</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234.40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2.44</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Ventex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11,906.23</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3,571.87</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8,334.36</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86.82</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Vrećica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14,412.84</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4,323.85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10,088.99</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105.09</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Vulkanizersko-trgovački obrt Katić vl.Željko Katić</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830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249.00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581.00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6.05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Weber escal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3,546.94</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1,064.08</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2,482.86</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25.86</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Webteh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6,288.86</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1,886.66</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4,402.20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45.86</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Zagrebgradnja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1,639.23</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491.77</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1,147.46</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11.95</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Zavod Za istraživanje i Razvoj Sigurnosti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5,000.00</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1,500.00</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3,500.00</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36.46</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auto"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ZZ concept d.o.o.</w:t>
            </w:r>
          </w:p>
        </w:tc>
        <w:tc>
          <w:tcPr>
            <w:tcW w:type="dxa" w:w="1710"/>
            <w:tcBorders>
              <w:top w:space="0" w:sz="4" w:color="auto" w:val="single"/>
              <w:left w:val="nil"/>
              <w:bottom w:space="0" w:sz="4" w:color="auto" w:val="single"/>
              <w:right w:space="0" w:sz="4" w:color="auto" w:val="single"/>
            </w:tcBorders>
            <w:shd w:fill="auto"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3,974.17</w:t>
            </w:r>
          </w:p>
        </w:tc>
        <w:tc>
          <w:tcPr>
            <w:tcW w:type="dxa" w:w="153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1,192.25</w:t>
            </w:r>
          </w:p>
        </w:tc>
        <w:tc>
          <w:tcPr>
            <w:tcW w:type="dxa" w:w="1350"/>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2,781.92</w:t>
            </w:r>
          </w:p>
        </w:tc>
        <w:tc>
          <w:tcPr>
            <w:tcW w:type="dxa" w:w="1088"/>
            <w:tcBorders>
              <w:top w:space="0" w:sz="4" w:color="auto" w:val="single"/>
              <w:left w:val="nil"/>
              <w:bottom w:space="0" w:sz="4" w:color="auto" w:val="single"/>
              <w:right w:space="0" w:sz="4" w:color="auto" w:val="single"/>
            </w:tcBorders>
            <w:shd w:fill="auto" w:color="auto" w:val="clear"/>
          </w:tcPr>
          <w:p w:rsidRDefault="002F1336" w:rsidP="000C1A30" w:rsidR="002F1336" w:rsidRPr="00214002">
            <w:pPr>
              <w:ind w:left="720"/>
              <w:jc w:val="right"/>
              <w:rPr>
                <w:rFonts w:hAnsi="Times New Roman" w:ascii="Times New Roman"/>
                <w:sz w:val="20"/>
                <w:szCs w:val="20"/>
              </w:rPr>
            </w:pPr>
            <w:r w:rsidRPr="00214002">
              <w:rPr>
                <w:rFonts w:hAnsi="Times New Roman" w:ascii="Times New Roman"/>
                <w:sz w:val="20"/>
                <w:szCs w:val="20"/>
              </w:rPr>
              <w:t>28.98</w:t>
            </w:r>
          </w:p>
        </w:tc>
      </w:tr>
      <w:tr w:rsidTr="002F1336" w:rsidR="002F1336" w:rsidRPr="002F1336">
        <w:trPr>
          <w:trHeight w:val="300"/>
        </w:trPr>
        <w:tc>
          <w:tcPr>
            <w:tcW w:type="dxa" w:w="3060"/>
            <w:tcBorders>
              <w:top w:space="0" w:sz="4" w:color="auto" w:val="single"/>
              <w:left w:space="0" w:sz="4" w:color="auto" w:val="single"/>
              <w:bottom w:space="0" w:sz="4" w:color="auto" w:val="single"/>
              <w:right w:space="0" w:sz="4" w:color="auto" w:val="single"/>
            </w:tcBorders>
            <w:shd w:fill="00B0F0" w:color="auto" w:val="clear"/>
            <w:noWrap/>
          </w:tcPr>
          <w:p w:rsidRDefault="002F1336" w:rsidP="002F1336" w:rsidR="002F1336" w:rsidRPr="00214002">
            <w:pPr>
              <w:ind w:left="720"/>
              <w:rPr>
                <w:rFonts w:hAnsi="Times New Roman" w:ascii="Times New Roman"/>
                <w:sz w:val="20"/>
                <w:szCs w:val="20"/>
              </w:rPr>
            </w:pPr>
            <w:r w:rsidRPr="00214002">
              <w:rPr>
                <w:rFonts w:hAnsi="Times New Roman" w:ascii="Times New Roman"/>
                <w:sz w:val="20"/>
                <w:szCs w:val="20"/>
              </w:rPr>
              <w:t>UKUPNO:</w:t>
            </w:r>
          </w:p>
        </w:tc>
        <w:tc>
          <w:tcPr>
            <w:tcW w:type="dxa" w:w="1710"/>
            <w:tcBorders>
              <w:top w:space="0" w:sz="4" w:color="auto" w:val="single"/>
              <w:left w:val="nil"/>
              <w:bottom w:space="0" w:sz="4" w:color="auto" w:val="single"/>
              <w:right w:space="0" w:sz="4" w:color="auto" w:val="single"/>
            </w:tcBorders>
            <w:shd w:fill="00B0F0" w:color="auto" w:val="clear"/>
            <w:noWrap/>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5,308,945.44</w:t>
            </w:r>
          </w:p>
        </w:tc>
        <w:tc>
          <w:tcPr>
            <w:tcW w:type="dxa" w:w="1530"/>
            <w:tcBorders>
              <w:top w:space="0" w:sz="4" w:color="auto" w:val="single"/>
              <w:left w:val="nil"/>
              <w:bottom w:space="0" w:sz="4" w:color="auto" w:val="single"/>
              <w:right w:space="0" w:sz="4" w:color="auto" w:val="single"/>
            </w:tcBorders>
            <w:shd w:fill="00B0F0" w:color="auto" w:val="clear"/>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1,592,683.63</w:t>
            </w:r>
          </w:p>
        </w:tc>
        <w:tc>
          <w:tcPr>
            <w:tcW w:type="dxa" w:w="1350"/>
            <w:tcBorders>
              <w:top w:space="0" w:sz="4" w:color="auto" w:val="single"/>
              <w:left w:val="nil"/>
              <w:bottom w:space="0" w:sz="4" w:color="auto" w:val="single"/>
              <w:right w:space="0" w:sz="4" w:color="auto" w:val="single"/>
            </w:tcBorders>
            <w:shd w:fill="00B0F0" w:color="auto" w:val="clear"/>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3,716,261.81</w:t>
            </w:r>
          </w:p>
        </w:tc>
        <w:tc>
          <w:tcPr>
            <w:tcW w:type="dxa" w:w="1088"/>
            <w:tcBorders>
              <w:top w:space="0" w:sz="4" w:color="auto" w:val="single"/>
              <w:left w:val="nil"/>
              <w:bottom w:space="0" w:sz="4" w:color="auto" w:val="single"/>
              <w:right w:space="0" w:sz="4" w:color="auto" w:val="single"/>
            </w:tcBorders>
            <w:shd w:fill="00B0F0" w:color="auto" w:val="clear"/>
          </w:tcPr>
          <w:p w:rsidRDefault="002F1336" w:rsidP="000C1A30" w:rsidR="002F1336" w:rsidRPr="00214002">
            <w:pPr>
              <w:jc w:val="right"/>
              <w:rPr>
                <w:rFonts w:hAnsi="Times New Roman" w:ascii="Times New Roman"/>
                <w:sz w:val="20"/>
                <w:szCs w:val="20"/>
              </w:rPr>
            </w:pPr>
            <w:r w:rsidRPr="00214002">
              <w:rPr>
                <w:rFonts w:hAnsi="Times New Roman" w:ascii="Times New Roman"/>
                <w:sz w:val="20"/>
                <w:szCs w:val="20"/>
              </w:rPr>
              <w:t>38,711.06</w:t>
            </w:r>
          </w:p>
        </w:tc>
      </w:tr>
    </w:tbl>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Dio tražbine kategorije (c) koji čini 30% ukupno utvrđenih potraživanja u iznosu navedenom u tablici otpisuje se u cijelosti s danom otvaranja Postupka 17. travnja 2015. godine. Vjerovnici predstečajne Nagodbe tražbina kategorija (c), svaki pojedinačno, Nagodbom otpuštaju Dužniku dio svoje tražbine kategorija (c) koji se odnosi na 30% ukupno utvrđenih potraživanja u iznosu navedenom u tablici, a Dužnik pristaje na takav otpust duga.</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 xml:space="preserve">Vjerovnici tražbine kategorije (c) i Dužnik suglasno utvrđuju kako će preostali iznos od 70% ukupno utvrđene tražbine kategorije (c) Dužnik isplatiti Vjerovnicima obročnom otplatom, po pravomoćnosti Rješenja o sklopljenoj predstečajnoj nagodbi pred Trgovačkim sudom. Dužnik će preostali iznos od 70% ukupno utvrđene tražbine isplatiti Vjerovnicima beskamatno u 96 mjesečnih rata, pri čemu prva rata dospijeva 1. u mjesecu nakon mjeseca u kojem je nastupila pravomoćnost predstečajne nagodbe, a svaka sljedeća istekom vremenskog razdoblja od jednog mjeseca od dospijeća prethodne. </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Ako Dužnik zakasni s ispunjenjem pojedine rate u odnosu na rokove određene ovom Nagodbom, duguje Vjerovniku predstečajne Nagodbe u mjeri u kojoj je to dozvoljeno mjerodavnim propisima, zakonsku zateznu kamatu po stopi određenoj za odnose između trgovaca, za razdoblje od dospijeća istog do isplate.</w:t>
      </w:r>
    </w:p>
    <w:p w:rsidRDefault="002F1336" w:rsidP="008950B7" w:rsidR="002F1336" w:rsidRPr="002F1336">
      <w:pPr>
        <w:rPr>
          <w:rFonts w:hAnsi="Times New Roman" w:ascii="Times New Roman"/>
          <w:sz w:val="24"/>
        </w:rPr>
      </w:pPr>
    </w:p>
    <w:p w:rsidRDefault="002F1336" w:rsidP="002F1336" w:rsidR="002F1336" w:rsidRPr="008950B7">
      <w:pPr>
        <w:ind w:left="720"/>
        <w:rPr>
          <w:rFonts w:hAnsi="Times New Roman" w:ascii="Times New Roman"/>
          <w:b/>
          <w:sz w:val="24"/>
        </w:rPr>
      </w:pPr>
      <w:r w:rsidRPr="008950B7">
        <w:rPr>
          <w:rFonts w:hAnsi="Times New Roman" w:ascii="Times New Roman"/>
          <w:b/>
          <w:sz w:val="24"/>
        </w:rPr>
        <w:t>Ostale odredbe</w:t>
      </w:r>
    </w:p>
    <w:p w:rsidRDefault="002F1336" w:rsidP="002F1336" w:rsidR="002F1336" w:rsidRPr="002F1336">
      <w:pPr>
        <w:ind w:left="720"/>
        <w:rPr>
          <w:rFonts w:hAnsi="Times New Roman" w:ascii="Times New Roman"/>
          <w:b/>
          <w:i/>
          <w:sz w:val="24"/>
        </w:rPr>
      </w:pPr>
    </w:p>
    <w:p w:rsidRDefault="002F1336" w:rsidP="002F1336" w:rsidR="002F1336" w:rsidRPr="002F1336">
      <w:pPr>
        <w:ind w:left="720"/>
        <w:rPr>
          <w:rFonts w:hAnsi="Times New Roman" w:ascii="Times New Roman"/>
          <w:b/>
          <w:i/>
          <w:sz w:val="24"/>
        </w:rPr>
      </w:pPr>
      <w:r w:rsidRPr="002F1336">
        <w:rPr>
          <w:rFonts w:hAnsi="Times New Roman" w:ascii="Times New Roman"/>
          <w:b/>
          <w:i/>
          <w:sz w:val="24"/>
        </w:rPr>
        <w:tab/>
      </w:r>
      <w:r w:rsidRPr="002F1336">
        <w:rPr>
          <w:rFonts w:hAnsi="Times New Roman" w:ascii="Times New Roman"/>
          <w:sz w:val="24"/>
        </w:rPr>
        <w:t>Ukoliko bilo koji iznos iz ove Nagodbe dospijeva na naplatu na neradni dan, Dužnik je u obvezi isti iznos podmiriti na prvi sljedeći radni dan.</w:t>
      </w:r>
    </w:p>
    <w:p w:rsidRDefault="002F1336" w:rsidP="002F1336" w:rsidR="002F1336" w:rsidRPr="002F1336">
      <w:pPr>
        <w:ind w:left="720"/>
        <w:rPr>
          <w:rFonts w:hAnsi="Times New Roman" w:ascii="Times New Roman"/>
          <w:b/>
          <w:i/>
          <w:sz w:val="24"/>
        </w:rPr>
      </w:pPr>
    </w:p>
    <w:p w:rsidRDefault="002F1336" w:rsidP="002F1336" w:rsidR="002F1336" w:rsidRPr="002F1336">
      <w:pPr>
        <w:ind w:left="720"/>
        <w:rPr>
          <w:rFonts w:hAnsi="Times New Roman" w:ascii="Times New Roman"/>
          <w:sz w:val="24"/>
        </w:rPr>
      </w:pPr>
      <w:r w:rsidRPr="002F1336">
        <w:rPr>
          <w:rFonts w:hAnsi="Times New Roman" w:ascii="Times New Roman"/>
          <w:b/>
          <w:i/>
          <w:sz w:val="24"/>
        </w:rPr>
        <w:tab/>
      </w:r>
      <w:r w:rsidRPr="002F1336">
        <w:rPr>
          <w:rFonts w:hAnsi="Times New Roman" w:ascii="Times New Roman"/>
          <w:sz w:val="24"/>
        </w:rPr>
        <w:t>Dužnik se u poslovanju, a posebno u slučaju potrebe za novim zaduženjem, obvezuje postupati s pažnjom dobrog stručnjaka, poduzimajući radnje i poslove u interesu Dužnika, te postupajući pritom s dužnom pažnjom prema obvezama preuzetim Nagodbom.</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Dužnik ovime izjavljuje kako sklapanje ove Nagodbe neće imati utjecaja na tražbine radnika.</w:t>
      </w:r>
    </w:p>
    <w:p w:rsidRDefault="002F1336" w:rsidP="002F1336" w:rsidR="002F1336" w:rsidRPr="002F1336">
      <w:pPr>
        <w:ind w:left="720"/>
        <w:rPr>
          <w:rFonts w:hAnsi="Times New Roman" w:ascii="Times New Roman"/>
          <w:sz w:val="24"/>
        </w:rPr>
      </w:pPr>
    </w:p>
    <w:p w:rsidRDefault="002F1336" w:rsidP="002F1336" w:rsidR="002F1336" w:rsidRPr="002F1336">
      <w:pPr>
        <w:ind w:left="720"/>
        <w:rPr>
          <w:rFonts w:hAnsi="Times New Roman" w:ascii="Times New Roman"/>
          <w:sz w:val="24"/>
        </w:rPr>
      </w:pPr>
      <w:r w:rsidRPr="002F1336">
        <w:rPr>
          <w:rFonts w:hAnsi="Times New Roman" w:ascii="Times New Roman"/>
          <w:sz w:val="24"/>
        </w:rPr>
        <w:tab/>
        <w:t>Dužnik se obvezuje Vjerovnike predstečajne Nagodbe obavještavati kvartalno o ispunjavanju plana predstečajne Nagodbe, sukladno Zakonu.</w:t>
      </w:r>
    </w:p>
    <w:p w:rsidRDefault="002F1336" w:rsidP="002F1336" w:rsidR="002F1336" w:rsidRPr="002F1336">
      <w:pPr>
        <w:ind w:left="720"/>
        <w:rPr>
          <w:rFonts w:hAnsi="Times New Roman" w:ascii="Times New Roman"/>
          <w:sz w:val="24"/>
        </w:rPr>
      </w:pPr>
    </w:p>
    <w:p w:rsidRDefault="002F1336" w:rsidP="002F1336" w:rsidR="005509A8">
      <w:pPr>
        <w:ind w:left="720"/>
        <w:rPr>
          <w:rFonts w:hAnsi="Times New Roman" w:ascii="Times New Roman"/>
          <w:sz w:val="24"/>
        </w:rPr>
      </w:pPr>
      <w:r w:rsidRPr="002F1336">
        <w:rPr>
          <w:rFonts w:hAnsi="Times New Roman" w:ascii="Times New Roman"/>
          <w:sz w:val="24"/>
        </w:rPr>
        <w:tab/>
        <w:t>Ako se predstečajna nagodba potpuno ne izvrši, Vjerovnici koji su namireni u predstečajnoj nagodbi nisu dužni vratiti ono što su primili. Njihove tražbine smatrat će se potpuno namirenim ako su namireni iznosi utvrđeni u predstečajnoj nagodbi. Vjerovnici koji su djelomično namireni u smislu predstečajne nagodbe prijavljuju u stečajnom postupku ukupnu tražbinu iz nagodbe umanjenu za iznos koji se smatra da su po predstečajnoj nagodbi namireni. Vjerovnici koji ni djelomično nisu namireni u smislu predstečajne nagodbe prijavljuju tražbine u stečajnom postupku u iznosu iz sklopljene predstečajne nagodbe.</w:t>
      </w:r>
      <w:r w:rsidR="00A33C76">
        <w:rPr>
          <w:rFonts w:hAnsi="Times New Roman" w:ascii="Times New Roman"/>
          <w:sz w:val="24"/>
        </w:rPr>
        <w:t>"</w:t>
      </w:r>
    </w:p>
    <w:p w:rsidRDefault="00A33C76" w:rsidP="00090F50" w:rsidR="00A33C76">
      <w:pPr>
        <w:jc w:val="cente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Obrazloženje</w:t>
      </w:r>
    </w:p>
    <w:p w:rsidRDefault="00762798" w:rsidP="00090F50" w:rsidR="00762798" w:rsidRPr="000C4362">
      <w:pPr>
        <w:jc w:val="cente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90F50" w:rsidP="00090F50" w:rsidR="00090F50" w:rsidRPr="000C4362">
      <w:pP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 xml:space="preserve">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w:t>
      </w:r>
      <w:r w:rsidRPr="000C4362">
        <w:rPr>
          <w:rFonts w:hAnsi="Times New Roman" w:ascii="Times New Roman"/>
          <w:sz w:val="24"/>
        </w:rPr>
        <w:lastRenderedPageBreak/>
        <w:t>pravilima o sudskoj nagodbi i da je njezin sadržaj u bitnim sastojcima odgovarajući prihvaćenom planu financijskog i operativnog restrukturiranja dužnika, slijedom čega je temeljem članka 66. stavak 9. ZFPPN riješeno kao u izreci.</w:t>
      </w:r>
    </w:p>
    <w:p w:rsidRDefault="00090F50" w:rsidP="00090F50" w:rsidR="00090F50" w:rsidRPr="00792286">
      <w:pPr>
        <w:rPr>
          <w:rFonts w:hAnsi="Times New Roman" w:ascii="Times New Roman"/>
          <w:sz w:val="24"/>
        </w:rPr>
      </w:pPr>
    </w:p>
    <w:p w:rsidRDefault="00090F50" w:rsidP="00090F50" w:rsidR="00090F50" w:rsidRPr="00792286">
      <w:pPr>
        <w:jc w:val="center"/>
        <w:rPr>
          <w:rFonts w:hAnsi="Times New Roman" w:ascii="Times New Roman"/>
          <w:sz w:val="24"/>
        </w:rPr>
      </w:pPr>
      <w:r w:rsidRPr="00792286">
        <w:rPr>
          <w:rFonts w:hAnsi="Times New Roman" w:ascii="Times New Roman"/>
          <w:sz w:val="24"/>
        </w:rPr>
        <w:t xml:space="preserve">U Zagrebu, </w:t>
      </w:r>
      <w:r w:rsidR="008950B7" w:rsidRPr="00792286">
        <w:rPr>
          <w:rFonts w:hAnsi="Times New Roman" w:ascii="Times New Roman"/>
          <w:sz w:val="24"/>
        </w:rPr>
        <w:t>14. rujna</w:t>
      </w:r>
      <w:r w:rsidR="0054406A" w:rsidRPr="00792286">
        <w:rPr>
          <w:rFonts w:hAnsi="Times New Roman" w:ascii="Times New Roman"/>
          <w:sz w:val="24"/>
        </w:rPr>
        <w:t xml:space="preserve"> 2016.</w:t>
      </w:r>
    </w:p>
    <w:p w:rsidRDefault="00090F50" w:rsidP="00090F50" w:rsidR="00090F50" w:rsidRPr="00792286">
      <w:pPr>
        <w:rPr>
          <w:rFonts w:hAnsi="Times New Roman" w:ascii="Times New Roman"/>
          <w:sz w:val="24"/>
        </w:rPr>
      </w:pPr>
      <w:r w:rsidRPr="00792286">
        <w:rPr>
          <w:rFonts w:hAnsi="Times New Roman" w:ascii="Times New Roman"/>
          <w:sz w:val="24"/>
        </w:rPr>
        <w:t xml:space="preserve">                                                                                                               S U D A C:</w:t>
      </w:r>
    </w:p>
    <w:p w:rsidRDefault="00090F50" w:rsidP="00090F50" w:rsidR="00090F50" w:rsidRPr="00792286">
      <w:pPr>
        <w:rPr>
          <w:rFonts w:hAnsi="Times New Roman" w:ascii="Times New Roman"/>
          <w:sz w:val="24"/>
        </w:rPr>
      </w:pPr>
      <w:r w:rsidRPr="00792286">
        <w:rPr>
          <w:rFonts w:hAnsi="Times New Roman" w:ascii="Times New Roman"/>
          <w:sz w:val="24"/>
        </w:rPr>
        <w:t xml:space="preserve">                                                                                                        MIHAEL KOVAČIĆ, v.r.</w:t>
      </w:r>
    </w:p>
    <w:p w:rsidRDefault="00090F50" w:rsidP="00090F50" w:rsidR="00090F50" w:rsidRPr="00792286">
      <w:pPr>
        <w:rPr>
          <w:rFonts w:hAnsi="Times New Roman" w:ascii="Times New Roman"/>
          <w:sz w:val="24"/>
        </w:rPr>
      </w:pPr>
    </w:p>
    <w:p w:rsidRDefault="00A33C76" w:rsidP="00090F50" w:rsidR="00A33C76" w:rsidRPr="00792286">
      <w:pPr>
        <w:rPr>
          <w:rFonts w:hAnsi="Times New Roman" w:ascii="Times New Roman"/>
          <w:sz w:val="24"/>
        </w:rPr>
      </w:pPr>
    </w:p>
    <w:p w:rsidRDefault="00090F50" w:rsidP="00090F50" w:rsidR="00090F50" w:rsidRPr="00792286">
      <w:pPr>
        <w:rPr>
          <w:rFonts w:hAnsi="Times New Roman" w:ascii="Times New Roman"/>
          <w:sz w:val="24"/>
        </w:rPr>
      </w:pPr>
      <w:r w:rsidRPr="00792286">
        <w:rPr>
          <w:rFonts w:hAnsi="Times New Roman" w:ascii="Times New Roman"/>
          <w:sz w:val="24"/>
        </w:rPr>
        <w:t xml:space="preserve">Pouka o pravnom lijeku: </w:t>
      </w:r>
    </w:p>
    <w:p w:rsidRDefault="00090F50" w:rsidP="00090F50" w:rsidR="00090F50" w:rsidRPr="00792286">
      <w:pPr>
        <w:rPr>
          <w:rFonts w:hAnsi="Times New Roman" w:ascii="Times New Roman"/>
          <w:sz w:val="24"/>
        </w:rPr>
      </w:pPr>
      <w:r w:rsidRPr="00792286">
        <w:rPr>
          <w:rFonts w:hAnsi="Times New Roman" w:ascii="Times New Roman"/>
          <w:sz w:val="24"/>
        </w:rPr>
        <w:t xml:space="preserve">Na ovo rješenje dopuštena je žalba koja se podnosi ovome sudu u roku osam dana, u dva primjerka. </w:t>
      </w:r>
    </w:p>
    <w:p w:rsidRDefault="00090F50" w:rsidP="00090F50" w:rsidR="00090F50" w:rsidRPr="00792286">
      <w:pPr>
        <w:rPr>
          <w:rFonts w:hAnsi="Times New Roman" w:ascii="Times New Roman"/>
          <w:sz w:val="24"/>
        </w:rPr>
      </w:pPr>
      <w:r w:rsidRPr="00792286">
        <w:rPr>
          <w:rFonts w:hAnsi="Times New Roman" w:ascii="Times New Roman"/>
          <w:sz w:val="24"/>
        </w:rPr>
        <w:tab/>
      </w:r>
      <w:r w:rsidRPr="00792286">
        <w:rPr>
          <w:rFonts w:hAnsi="Times New Roman" w:ascii="Times New Roman"/>
          <w:sz w:val="24"/>
        </w:rPr>
        <w:tab/>
      </w:r>
      <w:r w:rsidRPr="00792286">
        <w:rPr>
          <w:rFonts w:hAnsi="Times New Roman" w:ascii="Times New Roman"/>
          <w:sz w:val="24"/>
        </w:rPr>
        <w:tab/>
      </w:r>
      <w:r w:rsidRPr="00792286">
        <w:rPr>
          <w:rFonts w:hAnsi="Times New Roman" w:ascii="Times New Roman"/>
          <w:sz w:val="24"/>
        </w:rPr>
        <w:tab/>
      </w:r>
      <w:r w:rsidRPr="00792286">
        <w:rPr>
          <w:rFonts w:hAnsi="Times New Roman" w:ascii="Times New Roman"/>
          <w:sz w:val="24"/>
        </w:rPr>
        <w:tab/>
      </w:r>
      <w:r w:rsidRPr="00792286">
        <w:rPr>
          <w:rFonts w:hAnsi="Times New Roman" w:ascii="Times New Roman"/>
          <w:sz w:val="24"/>
        </w:rPr>
        <w:tab/>
      </w:r>
      <w:r w:rsidRPr="00792286">
        <w:rPr>
          <w:rFonts w:hAnsi="Times New Roman" w:ascii="Times New Roman"/>
          <w:sz w:val="24"/>
        </w:rPr>
        <w:tab/>
        <w:t>Za točnost otpravka ovlašteni službenik</w:t>
      </w:r>
    </w:p>
    <w:p w:rsidRDefault="00090F50" w:rsidP="00090F50" w:rsidR="00090F50" w:rsidRPr="00792286">
      <w:pPr>
        <w:rPr>
          <w:rFonts w:hAnsi="Times New Roman" w:ascii="Times New Roman"/>
          <w:sz w:val="24"/>
        </w:rPr>
      </w:pPr>
      <w:r w:rsidRPr="00792286">
        <w:rPr>
          <w:rFonts w:hAnsi="Times New Roman" w:ascii="Times New Roman"/>
          <w:sz w:val="24"/>
        </w:rPr>
        <w:tab/>
      </w:r>
      <w:r w:rsidRPr="00792286">
        <w:rPr>
          <w:rFonts w:hAnsi="Times New Roman" w:ascii="Times New Roman"/>
          <w:sz w:val="24"/>
        </w:rPr>
        <w:tab/>
      </w:r>
      <w:r w:rsidRPr="00792286">
        <w:rPr>
          <w:rFonts w:hAnsi="Times New Roman" w:ascii="Times New Roman"/>
          <w:sz w:val="24"/>
        </w:rPr>
        <w:tab/>
      </w:r>
      <w:r w:rsidRPr="00792286">
        <w:rPr>
          <w:rFonts w:hAnsi="Times New Roman" w:ascii="Times New Roman"/>
          <w:sz w:val="24"/>
        </w:rPr>
        <w:tab/>
      </w:r>
      <w:r w:rsidRPr="00792286">
        <w:rPr>
          <w:rFonts w:hAnsi="Times New Roman" w:ascii="Times New Roman"/>
          <w:sz w:val="24"/>
        </w:rPr>
        <w:tab/>
      </w:r>
      <w:r w:rsidRPr="00792286">
        <w:rPr>
          <w:rFonts w:hAnsi="Times New Roman" w:ascii="Times New Roman"/>
          <w:sz w:val="24"/>
        </w:rPr>
        <w:tab/>
      </w:r>
      <w:r w:rsidRPr="00792286">
        <w:rPr>
          <w:rFonts w:hAnsi="Times New Roman" w:ascii="Times New Roman"/>
          <w:sz w:val="24"/>
        </w:rPr>
        <w:tab/>
      </w:r>
      <w:r w:rsidRPr="00792286">
        <w:rPr>
          <w:rFonts w:hAnsi="Times New Roman" w:ascii="Times New Roman"/>
          <w:sz w:val="24"/>
        </w:rPr>
        <w:tab/>
      </w:r>
      <w:r w:rsidRPr="00792286">
        <w:rPr>
          <w:rFonts w:hAnsi="Times New Roman" w:ascii="Times New Roman"/>
          <w:sz w:val="24"/>
        </w:rPr>
        <w:tab/>
        <w:t>Sonja Pilić</w:t>
      </w:r>
    </w:p>
    <w:p w:rsidRDefault="008950B7" w:rsidP="00090F50" w:rsidR="008950B7" w:rsidRPr="00792286">
      <w:pPr>
        <w:rPr>
          <w:rFonts w:hAnsi="Times New Roman" w:ascii="Times New Roman"/>
          <w:sz w:val="24"/>
        </w:rPr>
      </w:pPr>
    </w:p>
    <w:p w:rsidRDefault="00090F50" w:rsidP="00090F50" w:rsidR="00090F50" w:rsidRPr="00792286">
      <w:pPr>
        <w:rPr>
          <w:rFonts w:hAnsi="Times New Roman" w:ascii="Times New Roman"/>
          <w:color w:themeColor="background1" w:val="FFFFFF"/>
          <w:sz w:val="24"/>
        </w:rPr>
      </w:pPr>
      <w:r w:rsidRPr="00792286">
        <w:rPr>
          <w:rFonts w:hAnsi="Times New Roman" w:ascii="Times New Roman"/>
          <w:color w:themeColor="background1" w:val="FFFFFF"/>
          <w:sz w:val="24"/>
        </w:rPr>
        <w:t>DNA:</w:t>
      </w:r>
    </w:p>
    <w:p w:rsidRDefault="00090F50" w:rsidP="00090F50" w:rsidR="00090F50" w:rsidRPr="00792286">
      <w:pPr>
        <w:rPr>
          <w:rFonts w:hAnsi="Times New Roman" w:ascii="Times New Roman"/>
          <w:color w:themeColor="background1" w:val="FFFFFF"/>
          <w:sz w:val="24"/>
        </w:rPr>
      </w:pPr>
      <w:r w:rsidRPr="00792286">
        <w:rPr>
          <w:rFonts w:hAnsi="Times New Roman" w:ascii="Times New Roman"/>
          <w:color w:themeColor="background1" w:val="FFFFFF"/>
          <w:sz w:val="24"/>
        </w:rPr>
        <w:t>1. e-Oglasna ploča</w:t>
      </w:r>
    </w:p>
    <w:p w:rsidRDefault="00090F50" w:rsidP="00090F50" w:rsidR="00090F50" w:rsidRPr="00792286">
      <w:pPr>
        <w:rPr>
          <w:rFonts w:hAnsi="Times New Roman" w:ascii="Times New Roman"/>
          <w:color w:themeColor="background1" w:val="FFFFFF"/>
          <w:sz w:val="24"/>
        </w:rPr>
      </w:pPr>
      <w:r w:rsidRPr="00792286">
        <w:rPr>
          <w:rFonts w:hAnsi="Times New Roman" w:ascii="Times New Roman"/>
          <w:color w:themeColor="background1" w:val="FFFFFF"/>
          <w:sz w:val="24"/>
        </w:rPr>
        <w:t>2. FINA</w:t>
      </w:r>
    </w:p>
    <w:p w:rsidRDefault="000B778C" w:rsidP="00090F50" w:rsidR="000B778C" w:rsidRPr="00792286">
      <w:pPr>
        <w:rPr>
          <w:rFonts w:hAnsi="Times New Roman" w:ascii="Times New Roman"/>
          <w:color w:themeColor="background1" w:val="FFFFFF"/>
          <w:sz w:val="24"/>
        </w:rPr>
      </w:pPr>
    </w:p>
    <w:p w:rsidRDefault="000B778C" w:rsidP="00090F50" w:rsidR="000B778C" w:rsidRPr="00792286">
      <w:pPr>
        <w:rPr>
          <w:rFonts w:hAnsi="Times New Roman" w:ascii="Times New Roman"/>
          <w:color w:themeColor="background1" w:val="FFFFFF"/>
          <w:sz w:val="24"/>
        </w:rPr>
      </w:pPr>
    </w:p>
    <w:p w:rsidRDefault="00090F50" w:rsidP="00090F50" w:rsidR="00090F50" w:rsidRPr="00792286">
      <w:pPr>
        <w:rPr>
          <w:rFonts w:hAnsi="Times New Roman" w:ascii="Times New Roman"/>
          <w:color w:themeColor="background1" w:val="FFFFFF"/>
          <w:sz w:val="24"/>
        </w:rPr>
      </w:pPr>
      <w:r w:rsidRPr="00792286">
        <w:rPr>
          <w:rFonts w:hAnsi="Times New Roman" w:ascii="Times New Roman"/>
          <w:color w:themeColor="background1" w:val="FFFFFF"/>
          <w:sz w:val="24"/>
        </w:rPr>
        <w:t>NK:</w:t>
      </w:r>
    </w:p>
    <w:p w:rsidRDefault="00090F50" w:rsidP="00090F50" w:rsidR="00090F50" w:rsidRPr="00792286">
      <w:pPr>
        <w:rPr>
          <w:rFonts w:hAnsi="Times New Roman" w:ascii="Times New Roman"/>
          <w:color w:themeColor="background1" w:val="FFFFFF"/>
          <w:sz w:val="24"/>
        </w:rPr>
      </w:pPr>
      <w:r w:rsidRPr="00792286">
        <w:rPr>
          <w:rFonts w:hAnsi="Times New Roman" w:ascii="Times New Roman"/>
          <w:color w:themeColor="background1" w:val="FFFFFF"/>
          <w:sz w:val="24"/>
        </w:rPr>
        <w:t>1. Nepravomoćno</w:t>
      </w:r>
    </w:p>
    <w:p w:rsidRDefault="00090F50" w:rsidP="00090F50" w:rsidR="00090F50" w:rsidRPr="00792286">
      <w:pPr>
        <w:rPr>
          <w:rFonts w:hAnsi="Times New Roman" w:ascii="Times New Roman"/>
          <w:color w:themeColor="background1" w:val="FFFFFF"/>
          <w:sz w:val="24"/>
        </w:rPr>
      </w:pPr>
      <w:r w:rsidRPr="00792286">
        <w:rPr>
          <w:rFonts w:hAnsi="Times New Roman" w:ascii="Times New Roman"/>
          <w:color w:themeColor="background1" w:val="FFFFFF"/>
          <w:sz w:val="24"/>
        </w:rPr>
        <w:t>2. Provedi u e-Spisu</w:t>
      </w:r>
    </w:p>
    <w:p w:rsidRDefault="00090F50" w:rsidP="00090F50" w:rsidR="00090F50" w:rsidRPr="00792286">
      <w:pPr>
        <w:rPr>
          <w:rFonts w:hAnsi="Times New Roman" w:ascii="Times New Roman"/>
          <w:color w:themeColor="background1" w:val="FFFFFF"/>
          <w:sz w:val="24"/>
        </w:rPr>
      </w:pPr>
      <w:r w:rsidRPr="00792286">
        <w:rPr>
          <w:rFonts w:hAnsi="Times New Roman" w:ascii="Times New Roman"/>
          <w:color w:themeColor="background1" w:val="FFFFFF"/>
          <w:sz w:val="24"/>
        </w:rPr>
        <w:t>3. kal. 15 d.</w:t>
      </w:r>
    </w:p>
    <w:p w:rsidRDefault="00090F50" w:rsidR="00B822B2" w:rsidRPr="00271AD3">
      <w:pPr>
        <w:rPr>
          <w:rFonts w:hAnsi="Times New Roman" w:ascii="Times New Roman"/>
          <w:color w:themeColor="background1" w:val="FFFFFF"/>
          <w:sz w:val="24"/>
        </w:rPr>
      </w:pPr>
      <w:r w:rsidRPr="00792286">
        <w:rPr>
          <w:rFonts w:hAnsi="Times New Roman" w:ascii="Times New Roman"/>
          <w:color w:themeColor="background1" w:val="FFFFFF"/>
          <w:sz w:val="24"/>
        </w:rPr>
        <w:t xml:space="preserve">                    Z, </w:t>
      </w:r>
      <w:r w:rsidRPr="00792286">
        <w:rPr>
          <w:rFonts w:hAnsi="Times New Roman" w:ascii="Times New Roman"/>
          <w:color w:themeColor="background1" w:val="FFFFFF"/>
          <w:sz w:val="24"/>
        </w:rPr>
        <w:fldChar w:fldCharType="begin"/>
      </w:r>
      <w:r w:rsidRPr="00792286">
        <w:rPr>
          <w:rFonts w:hAnsi="Times New Roman" w:ascii="Times New Roman"/>
          <w:color w:themeColor="background1" w:val="FFFFFF"/>
          <w:sz w:val="24"/>
        </w:rPr>
        <w:instrText xml:space="preserve"> TIME \@ "dd.MM.yyyy" </w:instrText>
      </w:r>
      <w:r w:rsidRPr="00792286">
        <w:rPr>
          <w:rFonts w:hAnsi="Times New Roman" w:ascii="Times New Roman"/>
          <w:color w:themeColor="background1" w:val="FFFFFF"/>
          <w:sz w:val="24"/>
        </w:rPr>
        <w:fldChar w:fldCharType="separate"/>
      </w:r>
      <w:r w:rsidR="002D4C80">
        <w:rPr>
          <w:rFonts w:hAnsi="Times New Roman" w:ascii="Times New Roman"/>
          <w:noProof/>
          <w:color w:themeColor="background1" w:val="FFFFFF"/>
          <w:sz w:val="24"/>
        </w:rPr>
        <w:t>21.09.2016</w:t>
      </w:r>
      <w:r w:rsidRPr="00792286">
        <w:rPr>
          <w:rFonts w:hAnsi="Times New Roman" w:ascii="Times New Roman"/>
          <w:color w:themeColor="background1" w:val="FFFFFF"/>
          <w:sz w:val="24"/>
        </w:rPr>
        <w:fldChar w:fldCharType="end"/>
      </w:r>
      <w:r w:rsidRPr="00271AD3">
        <w:rPr>
          <w:rFonts w:hAnsi="Times New Roman" w:ascii="Times New Roman"/>
          <w:color w:themeColor="background1" w:val="FFFFFF"/>
          <w:sz w:val="24"/>
        </w:rPr>
        <w:t xml:space="preserve">.       </w:t>
      </w:r>
      <w:r w:rsidRPr="00271AD3">
        <w:rPr>
          <w:rFonts w:hAnsi="Times New Roman" w:ascii="Times New Roman"/>
          <w:i/>
          <w:color w:themeColor="background1" w:val="FFFFFF"/>
          <w:sz w:val="24"/>
        </w:rPr>
        <w:t>Sudac:</w:t>
      </w:r>
    </w:p>
    <w:sectPr w:rsidSect="002F1336" w:rsidR="00B822B2" w:rsidRPr="00271AD3">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C82" w:rsidP="0054406A" w:rsidR="00E90C82">
      <w:r>
        <w:separator/>
      </w:r>
    </w:p>
  </w:endnote>
  <w:endnote w:id="0" w:type="continuationSeparator">
    <w:p w:rsidRDefault="00E90C82" w:rsidP="0054406A" w:rsidR="00E90C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MS Mincho">
    <w:altName w:val="ＭＳ 明朝"/>
    <w:panose1 w:val="02020609040205080304"/>
    <w:charset w:val="80"/>
    <w:family w:val="modern"/>
    <w:pitch w:val="fixed"/>
    <w:sig w:csb1="00000000" w:csb0="0002009F" w:usb3="00000000" w:usb2="00000012" w:usb1="6AC7FDFB" w:usb0="E00002FF"/>
  </w:font>
  <w:font w:name="9999999">
    <w:altName w:val="Times New Roman"/>
    <w:panose1 w:val="00000000000000000000"/>
    <w:charset w:val="00"/>
    <w:family w:val="roman"/>
    <w:notTrueType/>
    <w:pitch w:val="default"/>
  </w:font>
  <w:font w:name="Calibri">
    <w:panose1 w:val="020F0502020204030204"/>
    <w:charset w:val="EE"/>
    <w:family w:val="swiss"/>
    <w:pitch w:val="variable"/>
    <w:sig w:csb1="00000000" w:csb0="0000019F" w:usb3="00000000" w:usb2="00000001" w:usb1="4000ACFF" w:usb0="E00002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Lucida Grande">
    <w:charset w:val="00"/>
    <w:family w:val="auto"/>
    <w:pitch w:val="variable"/>
    <w:sig w:csb1="00000000" w:csb0="000001BF" w:usb3="00000000" w:usb2="00000000" w:usb1="5000A1FF" w:usb0="E1000AEF"/>
  </w:font>
  <w:font w:name="MS Gothic">
    <w:altName w:val="ＭＳ ゴシック"/>
    <w:panose1 w:val="020B0609070205080204"/>
    <w:charset w:val="80"/>
    <w:family w:val="modern"/>
    <w:notTrueType/>
    <w:pitch w:val="fixed"/>
    <w:sig w:csb1="00000000" w:csb0="00020000" w:usb3="00000000" w:usb2="00000010" w:usb1="08070000" w:usb0="00000001"/>
  </w:font>
  <w:font w:name="DejaVu Sans">
    <w:altName w:val="Times New Roman"/>
    <w:charset w:val="00"/>
    <w:family w:val="auto"/>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C82" w:rsidP="0054406A" w:rsidR="00E90C82">
      <w:r>
        <w:separator/>
      </w:r>
    </w:p>
  </w:footnote>
  <w:footnote w:id="0" w:type="continuationSeparator">
    <w:p w:rsidRDefault="00E90C82" w:rsidP="0054406A" w:rsidR="00E90C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0C82" w:rsidP="002F1336" w:rsidR="00E90C8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0C82" w:rsidR="00E90C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0C82" w:rsidP="002F1336" w:rsidR="00E90C82" w:rsidRPr="00B77BED">
    <w:pPr>
      <w:pStyle w:val="Zaglavlje"/>
      <w:framePr w:y="1" w:xAlign="center" w:vAnchor="text" w:hAnchor="margin" w:wrap="around"/>
      <w:rPr>
        <w:rStyle w:val="Brojstranice"/>
        <w:rFonts w:hAnsi="Times New Roman" w:ascii="Times New Roman"/>
      </w:rPr>
    </w:pPr>
    <w:r w:rsidRPr="00B77BED">
      <w:rPr>
        <w:rStyle w:val="Brojstranice"/>
        <w:rFonts w:hAnsi="Times New Roman" w:ascii="Times New Roman"/>
      </w:rPr>
      <w:t xml:space="preserve">- </w:t>
    </w:r>
    <w:r w:rsidRPr="00B77BED">
      <w:rPr>
        <w:rStyle w:val="Brojstranice"/>
        <w:rFonts w:hAnsi="Times New Roman" w:ascii="Times New Roman"/>
      </w:rPr>
      <w:fldChar w:fldCharType="begin"/>
    </w:r>
    <w:r w:rsidRPr="00B77BED">
      <w:rPr>
        <w:rStyle w:val="Brojstranice"/>
        <w:rFonts w:hAnsi="Times New Roman" w:ascii="Times New Roman"/>
      </w:rPr>
      <w:instrText xml:space="preserve">PAGE  </w:instrText>
    </w:r>
    <w:r w:rsidRPr="00B77BED">
      <w:rPr>
        <w:rStyle w:val="Brojstranice"/>
        <w:rFonts w:hAnsi="Times New Roman" w:ascii="Times New Roman"/>
      </w:rPr>
      <w:fldChar w:fldCharType="separate"/>
    </w:r>
    <w:r w:rsidR="002D4C80">
      <w:rPr>
        <w:rStyle w:val="Brojstranice"/>
        <w:rFonts w:hAnsi="Times New Roman" w:ascii="Times New Roman"/>
        <w:noProof/>
      </w:rPr>
      <w:t>9</w:t>
    </w:r>
    <w:r w:rsidRPr="00B77BED">
      <w:rPr>
        <w:rStyle w:val="Brojstranice"/>
        <w:rFonts w:hAnsi="Times New Roman" w:ascii="Times New Roman"/>
      </w:rPr>
      <w:fldChar w:fldCharType="end"/>
    </w:r>
    <w:r w:rsidRPr="00B77BED">
      <w:rPr>
        <w:rStyle w:val="Brojstranice"/>
        <w:rFonts w:hAnsi="Times New Roman" w:ascii="Times New Roman"/>
      </w:rPr>
      <w:t xml:space="preserve"> -</w:t>
    </w:r>
  </w:p>
  <w:p w:rsidRDefault="00E90C82" w:rsidP="002F1336" w:rsidR="00E90C82">
    <w:pPr>
      <w:jc w:val="right"/>
      <w:rPr>
        <w:rFonts w:hAnsi="Times New Roman" w:ascii="Times New Roman"/>
        <w:szCs w:val="22"/>
      </w:rPr>
    </w:pPr>
  </w:p>
  <w:p w:rsidRDefault="00E90C82" w:rsidP="002F1336" w:rsidR="00E90C82" w:rsidRPr="00F76991">
    <w:pPr>
      <w:jc w:val="right"/>
      <w:rPr>
        <w:rFonts w:hAnsi="Calibri" w:ascii="Calibri"/>
      </w:rPr>
    </w:pPr>
    <w:r>
      <w:rPr>
        <w:rFonts w:hAnsi="Times New Roman" w:ascii="Times New Roman"/>
        <w:szCs w:val="22"/>
      </w:rPr>
      <w:t>3 St</w:t>
    </w:r>
    <w:r w:rsidRPr="00A03CFC">
      <w:rPr>
        <w:rFonts w:hAnsi="Times New Roman" w:ascii="Times New Roman"/>
        <w:szCs w:val="22"/>
      </w:rPr>
      <w:t>-</w:t>
    </w:r>
    <w:r>
      <w:rPr>
        <w:rFonts w:hAnsi="Times New Roman" w:ascii="Times New Roman"/>
        <w:szCs w:val="22"/>
      </w:rPr>
      <w:t>8661/15-14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32AE8E9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0000004"/>
    <w:multiLevelType w:val="multilevel"/>
    <w:tmpl w:val="00000004"/>
    <w:name w:val="WW8Num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3">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4">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8">
    <w:nsid w:val="0A8D6A9A"/>
    <w:multiLevelType w:val="hybridMultilevel"/>
    <w:tmpl w:val="E8F25190"/>
    <w:lvl w:tplc="04090001" w:ilvl="0">
      <w:start w:val="1"/>
      <w:numFmt w:val="bullet"/>
      <w:lvlText w:val=""/>
      <w:lvlJc w:val="left"/>
      <w:pPr>
        <w:ind w:hanging="360" w:left="1080"/>
      </w:pPr>
      <w:rPr>
        <w:rFonts w:hAnsi="Symbol" w:ascii="Symbol" w:hint="default"/>
      </w:rPr>
    </w:lvl>
    <w:lvl w:tentative="true" w:tplc="04090003" w:ilvl="1">
      <w:start w:val="1"/>
      <w:numFmt w:val="bullet"/>
      <w:lvlText w:val="o"/>
      <w:lvlJc w:val="left"/>
      <w:pPr>
        <w:ind w:hanging="360" w:left="1800"/>
      </w:pPr>
      <w:rPr>
        <w:rFonts w:cs="Courier New"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cs="Courier New"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cs="Courier New"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abstractNum w:abstractNumId="9">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11">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2">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1EEB629C"/>
    <w:multiLevelType w:val="hybridMultilevel"/>
    <w:tmpl w:val="FC26EA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25DA5D56"/>
    <w:multiLevelType w:val="multilevel"/>
    <w:tmpl w:val="EE0A7788"/>
    <w:lvl w:ilvl="0">
      <w:start w:val="1"/>
      <w:numFmt w:val="decimal"/>
      <w:lvlText w:val="%1"/>
      <w:lvlJc w:val="left"/>
      <w:pPr>
        <w:tabs>
          <w:tab w:pos="340" w:val="num"/>
        </w:tabs>
        <w:ind w:hanging="340" w:left="340"/>
      </w:pPr>
      <w:rPr>
        <w:rFonts w:cs="Arial" w:hAnsi="Arial" w:ascii="Arial" w:hint="default"/>
        <w:i w:val="false"/>
        <w:sz w:val="21"/>
        <w:szCs w:val="21"/>
      </w:rPr>
    </w:lvl>
    <w:lvl w:ilvl="1">
      <w:start w:val="1"/>
      <w:numFmt w:val="bullet"/>
      <w:lvlText w:val=""/>
      <w:lvlJc w:val="left"/>
      <w:pPr>
        <w:tabs>
          <w:tab w:pos="680" w:val="num"/>
        </w:tabs>
        <w:ind w:hanging="340" w:left="680"/>
      </w:pPr>
      <w:rPr>
        <w:rFonts w:hAnsi="Symbol" w:ascii="Symbol" w:hint="default"/>
        <w:sz w:val="22"/>
      </w:rPr>
    </w:lvl>
    <w:lvl w:ilvl="2">
      <w:start w:val="1"/>
      <w:numFmt w:val="bullet"/>
      <w:lvlText w:val="-"/>
      <w:lvlJc w:val="left"/>
      <w:pPr>
        <w:tabs>
          <w:tab w:pos="1020" w:val="num"/>
        </w:tabs>
        <w:ind w:hanging="340" w:left="1020"/>
      </w:pPr>
      <w:rPr>
        <w:rFonts w:hAnsi="9999999" w:ascii="9999999" w:hint="default"/>
      </w:rPr>
    </w:lvl>
    <w:lvl w:ilvl="3">
      <w:start w:val="1"/>
      <w:numFmt w:val="bullet"/>
      <w:lvlText w:val=""/>
      <w:lvlJc w:val="left"/>
      <w:pPr>
        <w:tabs>
          <w:tab w:pos="1361" w:val="num"/>
        </w:tabs>
        <w:ind w:hanging="341" w:left="1361"/>
      </w:pPr>
      <w:rPr>
        <w:rFonts w:hAnsi="Symbol" w:ascii="Symbol" w:hint="default"/>
        <w:sz w:val="22"/>
      </w:rPr>
    </w:lvl>
    <w:lvl w:ilvl="4">
      <w:start w:val="1"/>
      <w:numFmt w:val="bullet"/>
      <w:lvlText w:val=""/>
      <w:lvlJc w:val="left"/>
      <w:pPr>
        <w:tabs>
          <w:tab w:pos="1701" w:val="num"/>
        </w:tabs>
        <w:ind w:hanging="340" w:left="1701"/>
      </w:pPr>
      <w:rPr>
        <w:rFonts w:hAnsi="Symbol" w:ascii="Symbol" w:hint="default"/>
      </w:rPr>
    </w:lvl>
    <w:lvl w:ilvl="5">
      <w:start w:val="1"/>
      <w:numFmt w:val="bullet"/>
      <w:lvlText w:val=""/>
      <w:lvlJc w:val="left"/>
      <w:pPr>
        <w:tabs>
          <w:tab w:pos="2041" w:val="num"/>
        </w:tabs>
        <w:ind w:hanging="340" w:left="2041"/>
      </w:pPr>
      <w:rPr>
        <w:rFonts w:hAnsi="Wingdings" w:ascii="Wingdings" w:hint="default"/>
      </w:rPr>
    </w:lvl>
    <w:lvl w:ilvl="6">
      <w:start w:val="1"/>
      <w:numFmt w:val="bullet"/>
      <w:lvlText w:val=""/>
      <w:lvlJc w:val="left"/>
      <w:pPr>
        <w:tabs>
          <w:tab w:pos="2381" w:val="num"/>
        </w:tabs>
        <w:ind w:hanging="340" w:left="2381"/>
      </w:pPr>
      <w:rPr>
        <w:rFonts w:hAnsi="Wingdings" w:ascii="Wingdings" w:hint="default"/>
      </w:rPr>
    </w:lvl>
    <w:lvl w:ilvl="7">
      <w:start w:val="1"/>
      <w:numFmt w:val="bullet"/>
      <w:lvlText w:val=""/>
      <w:lvlJc w:val="left"/>
      <w:pPr>
        <w:tabs>
          <w:tab w:pos="2721" w:val="num"/>
        </w:tabs>
        <w:ind w:hanging="340" w:left="2721"/>
      </w:pPr>
      <w:rPr>
        <w:rFonts w:hAnsi="Symbol" w:ascii="Symbol" w:hint="default"/>
      </w:rPr>
    </w:lvl>
    <w:lvl w:ilvl="8">
      <w:start w:val="1"/>
      <w:numFmt w:val="bullet"/>
      <w:lvlText w:val=""/>
      <w:lvlJc w:val="left"/>
      <w:pPr>
        <w:tabs>
          <w:tab w:pos="3061" w:val="num"/>
        </w:tabs>
        <w:ind w:hanging="340" w:left="3061"/>
      </w:pPr>
      <w:rPr>
        <w:rFonts w:hAnsi="Symbol" w:ascii="Symbol" w:hint="default"/>
      </w:rPr>
    </w:lvl>
  </w:abstractNum>
  <w:abstractNum w:abstractNumId="18">
    <w:nsid w:val="27CD247B"/>
    <w:multiLevelType w:val="hybridMultilevel"/>
    <w:tmpl w:val="AB58EF58"/>
    <w:lvl w:tplc="B1EC418A" w:ilvl="0">
      <w:numFmt w:val="bullet"/>
      <w:lvlText w:val=""/>
      <w:lvlJc w:val="left"/>
      <w:pPr>
        <w:ind w:hanging="360" w:left="720"/>
      </w:pPr>
      <w:rPr>
        <w:rFonts w:cs="Arial"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0">
    <w:nsid w:val="2D137A7E"/>
    <w:multiLevelType w:val="hybridMultilevel"/>
    <w:tmpl w:val="4BB6F5CC"/>
    <w:lvl w:tplc="82D2422E" w:ilvl="0">
      <w:start w:val="3"/>
      <w:numFmt w:val="bullet"/>
      <w:lvlText w:val=""/>
      <w:lvlJc w:val="left"/>
      <w:pPr>
        <w:ind w:hanging="360" w:left="720"/>
      </w:pPr>
      <w:rPr>
        <w:rFonts w:cstheme="minorBidi" w:eastAsiaTheme="minorHAnsi"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31CD425B"/>
    <w:multiLevelType w:val="multilevel"/>
    <w:tmpl w:val="B2C00756"/>
    <w:lvl w:ilvl="0">
      <w:start w:val="1"/>
      <w:numFmt w:val="lowerLetter"/>
      <w:lvlText w:val="(%1)"/>
      <w:lvlJc w:val="left"/>
      <w:pPr>
        <w:tabs>
          <w:tab w:pos="680" w:val="num"/>
        </w:tabs>
        <w:ind w:hanging="340" w:left="680"/>
      </w:pPr>
      <w:rPr>
        <w:rFonts w:hint="default"/>
        <w:i w:val="false"/>
        <w:sz w:val="20"/>
        <w:szCs w:val="20"/>
      </w:rPr>
    </w:lvl>
    <w:lvl w:ilvl="1">
      <w:start w:val="1"/>
      <w:numFmt w:val="bullet"/>
      <w:lvlText w:val=""/>
      <w:lvlJc w:val="left"/>
      <w:pPr>
        <w:tabs>
          <w:tab w:pos="1020" w:val="num"/>
        </w:tabs>
        <w:ind w:hanging="340" w:left="1020"/>
      </w:pPr>
      <w:rPr>
        <w:rFonts w:hAnsi="Symbol" w:ascii="Symbol" w:hint="default"/>
        <w:sz w:val="22"/>
      </w:rPr>
    </w:lvl>
    <w:lvl w:ilvl="2">
      <w:start w:val="1"/>
      <w:numFmt w:val="bullet"/>
      <w:lvlText w:val="-"/>
      <w:lvlJc w:val="left"/>
      <w:pPr>
        <w:tabs>
          <w:tab w:pos="1360" w:val="num"/>
        </w:tabs>
        <w:ind w:hanging="340" w:left="1360"/>
      </w:pPr>
      <w:rPr>
        <w:rFonts w:hAnsi="9999999" w:ascii="9999999" w:hint="default"/>
      </w:rPr>
    </w:lvl>
    <w:lvl w:ilvl="3">
      <w:start w:val="1"/>
      <w:numFmt w:val="bullet"/>
      <w:lvlText w:val=""/>
      <w:lvlJc w:val="left"/>
      <w:pPr>
        <w:tabs>
          <w:tab w:pos="1701" w:val="num"/>
        </w:tabs>
        <w:ind w:hanging="341" w:left="1701"/>
      </w:pPr>
      <w:rPr>
        <w:rFonts w:hAnsi="Symbol" w:ascii="Symbol" w:hint="default"/>
        <w:sz w:val="22"/>
      </w:rPr>
    </w:lvl>
    <w:lvl w:ilvl="4">
      <w:start w:val="1"/>
      <w:numFmt w:val="bullet"/>
      <w:lvlText w:val=""/>
      <w:lvlJc w:val="left"/>
      <w:pPr>
        <w:tabs>
          <w:tab w:pos="2041" w:val="num"/>
        </w:tabs>
        <w:ind w:hanging="340" w:left="2041"/>
      </w:pPr>
      <w:rPr>
        <w:rFonts w:hAnsi="Symbol" w:ascii="Symbol" w:hint="default"/>
      </w:rPr>
    </w:lvl>
    <w:lvl w:ilvl="5">
      <w:start w:val="1"/>
      <w:numFmt w:val="bullet"/>
      <w:lvlText w:val=""/>
      <w:lvlJc w:val="left"/>
      <w:pPr>
        <w:tabs>
          <w:tab w:pos="2381" w:val="num"/>
        </w:tabs>
        <w:ind w:hanging="340" w:left="2381"/>
      </w:pPr>
      <w:rPr>
        <w:rFonts w:hAnsi="Wingdings" w:ascii="Wingdings" w:hint="default"/>
      </w:rPr>
    </w:lvl>
    <w:lvl w:ilvl="6">
      <w:start w:val="1"/>
      <w:numFmt w:val="bullet"/>
      <w:lvlText w:val=""/>
      <w:lvlJc w:val="left"/>
      <w:pPr>
        <w:tabs>
          <w:tab w:pos="2721" w:val="num"/>
        </w:tabs>
        <w:ind w:hanging="340" w:left="2721"/>
      </w:pPr>
      <w:rPr>
        <w:rFonts w:hAnsi="Wingdings" w:ascii="Wingdings" w:hint="default"/>
      </w:rPr>
    </w:lvl>
    <w:lvl w:ilvl="7">
      <w:start w:val="1"/>
      <w:numFmt w:val="bullet"/>
      <w:lvlText w:val=""/>
      <w:lvlJc w:val="left"/>
      <w:pPr>
        <w:tabs>
          <w:tab w:pos="3061" w:val="num"/>
        </w:tabs>
        <w:ind w:hanging="340" w:left="3061"/>
      </w:pPr>
      <w:rPr>
        <w:rFonts w:hAnsi="Symbol" w:ascii="Symbol" w:hint="default"/>
      </w:rPr>
    </w:lvl>
    <w:lvl w:ilvl="8">
      <w:start w:val="1"/>
      <w:numFmt w:val="bullet"/>
      <w:lvlText w:val=""/>
      <w:lvlJc w:val="left"/>
      <w:pPr>
        <w:tabs>
          <w:tab w:pos="3401" w:val="num"/>
        </w:tabs>
        <w:ind w:hanging="340" w:left="3401"/>
      </w:pPr>
      <w:rPr>
        <w:rFonts w:hAnsi="Symbol" w:ascii="Symbol" w:hint="default"/>
      </w:rPr>
    </w:lvl>
  </w:abstractNum>
  <w:abstractNum w:abstractNumId="22">
    <w:nsid w:val="320B0B91"/>
    <w:multiLevelType w:val="hybridMultilevel"/>
    <w:tmpl w:val="A7FC0BB0"/>
    <w:lvl w:tplc="F1E8DB46" w:ilvl="0">
      <w:numFmt w:val="bullet"/>
      <w:lvlText w:val=""/>
      <w:lvlJc w:val="left"/>
      <w:pPr>
        <w:ind w:hanging="360" w:left="720"/>
      </w:pPr>
      <w:rPr>
        <w:rFonts w:cstheme="minorBidi" w:eastAsiaTheme="minorHAns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5111B1D"/>
    <w:multiLevelType w:val="hybridMultilevel"/>
    <w:tmpl w:val="A028BF9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25">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43211C1E"/>
    <w:multiLevelType w:val="hybridMultilevel"/>
    <w:tmpl w:val="A492ECC4"/>
    <w:lvl w:tplc="D68E8376" w:ilvl="0">
      <w:numFmt w:val="bullet"/>
      <w:lvlText w:val=""/>
      <w:lvlJc w:val="left"/>
      <w:pPr>
        <w:ind w:hanging="360" w:left="720"/>
      </w:pPr>
      <w:rPr>
        <w:rFonts w:cstheme="minorBidi" w:eastAsiaTheme="minorHAns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4568708D"/>
    <w:multiLevelType w:val="hybridMultilevel"/>
    <w:tmpl w:val="C672871E"/>
    <w:lvl w:tplc="66009CE0" w:ilvl="0">
      <w:start w:val="5"/>
      <w:numFmt w:val="bullet"/>
      <w:lvlText w:val="-"/>
      <w:lvlJc w:val="left"/>
      <w:pPr>
        <w:ind w:hanging="360" w:left="1080"/>
      </w:pPr>
      <w:rPr>
        <w:rFonts w:cstheme="minorBidi" w:eastAsiaTheme="minorHAnsi" w:hAnsi="Calibri" w:ascii="Calibri"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8">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9">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0">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1">
    <w:nsid w:val="517F4772"/>
    <w:multiLevelType w:val="hybridMultilevel"/>
    <w:tmpl w:val="D7348600"/>
    <w:lvl w:tplc="DD72DF1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7040771"/>
    <w:multiLevelType w:val="hybridMultilevel"/>
    <w:tmpl w:val="E4D67224"/>
    <w:lvl w:tplc="F24A8FFA"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5CE044BD"/>
    <w:multiLevelType w:val="multilevel"/>
    <w:tmpl w:val="1F844AEC"/>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34">
    <w:nsid w:val="5D55630E"/>
    <w:multiLevelType w:val="multilevel"/>
    <w:tmpl w:val="0BE80AD6"/>
    <w:lvl w:ilvl="0">
      <w:start w:val="1"/>
      <w:numFmt w:val="decimal"/>
      <w:lvlText w:val="%1."/>
      <w:lvlJc w:val="left"/>
      <w:pPr>
        <w:ind w:hanging="360" w:left="720"/>
      </w:pPr>
      <w:rPr>
        <w:rFonts w:hint="default"/>
      </w:rPr>
    </w:lvl>
    <w:lvl w:ilvl="1">
      <w:start w:val="1"/>
      <w:numFmt w:val="decimal"/>
      <w:isLgl/>
      <w:lvlText w:val="%1.%2."/>
      <w:lvlJc w:val="left"/>
      <w:pPr>
        <w:ind w:hanging="360" w:left="1069"/>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5">
    <w:nsid w:val="65A000A4"/>
    <w:multiLevelType w:val="hybridMultilevel"/>
    <w:tmpl w:val="92CC1420"/>
    <w:lvl w:tplc="1A520830" w:ilvl="0">
      <w:start w:val="1"/>
      <w:numFmt w:val="lowerLetter"/>
      <w:lvlText w:val="%1)"/>
      <w:lvlJc w:val="left"/>
      <w:pPr>
        <w:ind w:hanging="360" w:left="720"/>
      </w:pPr>
      <w:rPr>
        <w:rFonts w:hint="default"/>
        <w:b/>
        <w:u w:val="singl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6D41861"/>
    <w:multiLevelType w:val="hybridMultilevel"/>
    <w:tmpl w:val="623E6318"/>
    <w:lvl w:tplc="631CA9AA" w:ilvl="0">
      <w:start w:val="19"/>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8">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9">
    <w:nsid w:val="76143A23"/>
    <w:multiLevelType w:val="hybridMultilevel"/>
    <w:tmpl w:val="289E800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3344A4"/>
    <w:multiLevelType w:val="hybridMultilevel"/>
    <w:tmpl w:val="90548C9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74266EC"/>
    <w:multiLevelType w:val="hybridMultilevel"/>
    <w:tmpl w:val="0EF64F32"/>
    <w:lvl w:tplc="80BAC17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2">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43">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31"/>
  </w:num>
  <w:num w:numId="2">
    <w:abstractNumId w:val="1"/>
  </w:num>
  <w:num w:numId="3">
    <w:abstractNumId w:val="6"/>
  </w:num>
  <w:num w:numId="4">
    <w:abstractNumId w:val="19"/>
  </w:num>
  <w:num w:numId="5">
    <w:abstractNumId w:val="29"/>
  </w:num>
  <w:num w:numId="6">
    <w:abstractNumId w:val="28"/>
  </w:num>
  <w:num w:numId="7">
    <w:abstractNumId w:val="0"/>
  </w:num>
  <w:num w:numId="8">
    <w:abstractNumId w:val="12"/>
  </w:num>
  <w:num w:numId="9">
    <w:abstractNumId w:val="42"/>
  </w:num>
  <w:num w:numId="10">
    <w:abstractNumId w:val="7"/>
  </w:num>
  <w:num w:numId="11">
    <w:abstractNumId w:val="5"/>
  </w:num>
  <w:num w:numId="12">
    <w:abstractNumId w:val="30"/>
  </w:num>
  <w:num w:numId="13">
    <w:abstractNumId w:val="15"/>
  </w:num>
  <w:num w:numId="14">
    <w:abstractNumId w:val="24"/>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37"/>
  </w:num>
  <w:num w:numId="18">
    <w:abstractNumId w:val="43"/>
  </w:num>
  <w:num w:numId="19">
    <w:abstractNumId w:val="11"/>
  </w:num>
  <w:num w:numId="20">
    <w:abstractNumId w:val="16"/>
  </w:num>
  <w:num w:numId="21">
    <w:abstractNumId w:val="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3"/>
  </w:num>
  <w:num w:numId="25">
    <w:abstractNumId w:val="38"/>
  </w:num>
  <w:num w:numId="26">
    <w:abstractNumId w:val="14"/>
  </w:num>
  <w:num w:numId="27">
    <w:abstractNumId w:val="39"/>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1"/>
  </w:num>
  <w:num w:numId="31">
    <w:abstractNumId w:val="33"/>
  </w:num>
  <w:num w:numId="32">
    <w:abstractNumId w:val="34"/>
  </w:num>
  <w:num w:numId="33">
    <w:abstractNumId w:val="22"/>
  </w:num>
  <w:num w:numId="34">
    <w:abstractNumId w:val="20"/>
  </w:num>
  <w:num w:numId="35">
    <w:abstractNumId w:val="27"/>
  </w:num>
  <w:num w:numId="36">
    <w:abstractNumId w:val="8"/>
  </w:num>
  <w:num w:numId="37">
    <w:abstractNumId w:val="18"/>
  </w:num>
  <w:num w:numId="38">
    <w:abstractNumId w:val="36"/>
  </w:num>
  <w:num w:numId="39">
    <w:abstractNumId w:val="26"/>
  </w:num>
  <w:num w:numId="40">
    <w:abstractNumId w:val="40"/>
  </w:num>
  <w:num w:numId="41">
    <w:abstractNumId w:val="23"/>
  </w:num>
  <w:num w:numId="42">
    <w:abstractNumId w:val="32"/>
  </w:num>
  <w:num w:numId="43">
    <w:abstractNumId w:val="41"/>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F50"/>
    <w:rsid w:val="00090F50"/>
    <w:rsid w:val="000B778C"/>
    <w:rsid w:val="000C1A30"/>
    <w:rsid w:val="000C4362"/>
    <w:rsid w:val="000E3534"/>
    <w:rsid w:val="000F4D61"/>
    <w:rsid w:val="00214002"/>
    <w:rsid w:val="0024538C"/>
    <w:rsid w:val="00271AD3"/>
    <w:rsid w:val="002D4C80"/>
    <w:rsid w:val="002E04AC"/>
    <w:rsid w:val="002F1336"/>
    <w:rsid w:val="00310FBF"/>
    <w:rsid w:val="00352785"/>
    <w:rsid w:val="003E4748"/>
    <w:rsid w:val="0054406A"/>
    <w:rsid w:val="005509A8"/>
    <w:rsid w:val="005875F9"/>
    <w:rsid w:val="00636535"/>
    <w:rsid w:val="00661A7F"/>
    <w:rsid w:val="0067749C"/>
    <w:rsid w:val="00707E70"/>
    <w:rsid w:val="00762798"/>
    <w:rsid w:val="00792286"/>
    <w:rsid w:val="007F0A31"/>
    <w:rsid w:val="0082329E"/>
    <w:rsid w:val="008460E1"/>
    <w:rsid w:val="008950B7"/>
    <w:rsid w:val="0099542B"/>
    <w:rsid w:val="00A055F7"/>
    <w:rsid w:val="00A12E19"/>
    <w:rsid w:val="00A33C76"/>
    <w:rsid w:val="00B822B2"/>
    <w:rsid w:val="00E62B2A"/>
    <w:rsid w:val="00E90C82"/>
    <w:rsid w:val="00F460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F50"/>
    <w:pPr>
      <w:spacing w:lineRule="auto" w:line="240" w:after="0"/>
      <w:jc w:val="both"/>
    </w:pPr>
    <w:rPr>
      <w:rFonts w:cs="Times New Roman" w:eastAsia="Times New Roman" w:hAnsi="Mangal" w:ascii="Mangal"/>
      <w:szCs w:val="24"/>
    </w:rPr>
  </w:style>
  <w:style w:styleId="Naslov1" w:type="paragraph">
    <w:name w:val="heading 1"/>
    <w:basedOn w:val="Normal"/>
    <w:next w:val="Normal"/>
    <w:link w:val="Naslov1Char"/>
    <w:autoRedefine/>
    <w:qFormat/>
    <w:rsid w:val="00A055F7"/>
    <w:pPr>
      <w:keepNext/>
      <w:tabs>
        <w:tab w:pos="1225" w:val="left"/>
      </w:tabs>
      <w:spacing w:lineRule="auto" w:line="360" w:after="60" w:before="240"/>
      <w:outlineLvl w:val="0"/>
    </w:pPr>
    <w:rPr>
      <w:rFonts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055F7"/>
    <w:rPr>
      <w:rFonts w:cs="Times New Roman" w:eastAsia="Times New Roman" w:hAnsi="Times New Roman" w:ascii="Times New Roman"/>
      <w:sz w:val="24"/>
      <w:szCs w:val="24"/>
      <w:lang w:eastAsia="hr-HR"/>
    </w:rPr>
  </w:style>
  <w:style w:styleId="Zaglavlje" w:type="paragraph">
    <w:name w:val="header"/>
    <w:basedOn w:val="Normal"/>
    <w:link w:val="ZaglavljeChar"/>
    <w:uiPriority w:val="99"/>
    <w:rsid w:val="00090F50"/>
    <w:pPr>
      <w:tabs>
        <w:tab w:pos="4320" w:val="center"/>
        <w:tab w:pos="8640" w:val="right"/>
      </w:tabs>
    </w:pPr>
  </w:style>
  <w:style w:customStyle="true" w:styleId="ZaglavljeChar" w:type="character">
    <w:name w:val="Zaglavlje Char"/>
    <w:basedOn w:val="Zadanifontodlomka"/>
    <w:link w:val="Zaglavlje"/>
    <w:uiPriority w:val="99"/>
    <w:rsid w:val="00090F50"/>
    <w:rPr>
      <w:rFonts w:cs="Times New Roman" w:eastAsia="Times New Roman" w:hAnsi="Mangal" w:ascii="Mangal"/>
      <w:szCs w:val="24"/>
    </w:rPr>
  </w:style>
  <w:style w:styleId="Brojstranice" w:type="character">
    <w:name w:val="page number"/>
    <w:basedOn w:val="Zadanifontodlomka"/>
    <w:uiPriority w:val="99"/>
    <w:rsid w:val="00090F50"/>
  </w:style>
  <w:style w:styleId="Podnoje" w:type="paragraph">
    <w:name w:val="footer"/>
    <w:basedOn w:val="Normal"/>
    <w:link w:val="PodnojeChar"/>
    <w:uiPriority w:val="99"/>
    <w:unhideWhenUsed/>
    <w:rsid w:val="0054406A"/>
    <w:pPr>
      <w:tabs>
        <w:tab w:pos="4536" w:val="center"/>
        <w:tab w:pos="9072" w:val="right"/>
      </w:tabs>
    </w:pPr>
  </w:style>
  <w:style w:customStyle="true" w:styleId="PodnojeChar" w:type="character">
    <w:name w:val="Podnožje Char"/>
    <w:basedOn w:val="Zadanifontodlomka"/>
    <w:link w:val="Podnoje"/>
    <w:uiPriority w:val="99"/>
    <w:rsid w:val="0054406A"/>
    <w:rPr>
      <w:rFonts w:cs="Times New Roman" w:eastAsia="Times New Roman" w:hAnsi="Mangal" w:ascii="Mangal"/>
      <w:szCs w:val="24"/>
    </w:rPr>
  </w:style>
  <w:style w:styleId="Odlomakpopisa" w:type="paragraph">
    <w:name w:val="List Paragraph"/>
    <w:basedOn w:val="Normal"/>
    <w:qFormat/>
    <w:rsid w:val="00661A7F"/>
    <w:pPr>
      <w:ind w:left="720"/>
      <w:contextualSpacing/>
    </w:pPr>
  </w:style>
  <w:style w:styleId="Reetkatablice" w:type="table">
    <w:name w:val="Table Grid"/>
    <w:basedOn w:val="Obinatablica"/>
    <w:rsid w:val="00A055F7"/>
    <w:pPr>
      <w:spacing w:lineRule="auto" w:line="240" w:after="0"/>
    </w:pPr>
    <w:rPr>
      <w:rFonts w:cs="Times New Roman" w:eastAsia="MS Mincho" w:hAnsi="Cambria" w:ascii="Cambria"/>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vijetlareetka-Isticanje31" w:type="paragraph">
    <w:name w:val="Svijetla rešetka - Isticanje 31"/>
    <w:basedOn w:val="Normal"/>
    <w:uiPriority w:val="34"/>
    <w:qFormat/>
    <w:rsid w:val="00A055F7"/>
    <w:pPr>
      <w:ind w:left="720"/>
      <w:contextualSpacing/>
      <w:jc w:val="left"/>
    </w:pPr>
    <w:rPr>
      <w:rFonts w:eastAsia="MS Mincho" w:hAnsi="Cambria" w:ascii="Cambria"/>
      <w:sz w:val="24"/>
    </w:rPr>
  </w:style>
  <w:style w:styleId="Tekstbalonia" w:type="paragraph">
    <w:name w:val="Balloon Text"/>
    <w:basedOn w:val="Normal"/>
    <w:link w:val="TekstbaloniaChar"/>
    <w:uiPriority w:val="99"/>
    <w:semiHidden/>
    <w:unhideWhenUsed/>
    <w:rsid w:val="00A055F7"/>
    <w:pPr>
      <w:jc w:val="left"/>
    </w:pPr>
    <w:rPr>
      <w:rFonts w:cs="Lucida Grande" w:eastAsia="MS Mincho" w:hAnsi="Lucida Grande" w:ascii="Lucida Grande"/>
      <w:sz w:val="18"/>
      <w:szCs w:val="18"/>
    </w:rPr>
  </w:style>
  <w:style w:customStyle="true" w:styleId="TekstbaloniaChar" w:type="character">
    <w:name w:val="Tekst balončića Char"/>
    <w:basedOn w:val="Zadanifontodlomka"/>
    <w:link w:val="Tekstbalonia"/>
    <w:uiPriority w:val="99"/>
    <w:semiHidden/>
    <w:rsid w:val="00A055F7"/>
    <w:rPr>
      <w:rFonts w:cs="Lucida Grande" w:eastAsia="MS Mincho" w:hAnsi="Lucida Grande" w:ascii="Lucida Grande"/>
      <w:sz w:val="18"/>
      <w:szCs w:val="18"/>
    </w:rPr>
  </w:style>
  <w:style w:styleId="Grafikeoznake2" w:type="paragraph">
    <w:name w:val="List Bullet 2"/>
    <w:basedOn w:val="Normal"/>
    <w:uiPriority w:val="99"/>
    <w:unhideWhenUsed/>
    <w:rsid w:val="00A055F7"/>
    <w:pPr>
      <w:numPr>
        <w:numId w:val="2"/>
      </w:numPr>
      <w:contextualSpacing/>
      <w:jc w:val="left"/>
    </w:pPr>
    <w:rPr>
      <w:rFonts w:hAnsi="Times New Roman" w:ascii="Times New Roman"/>
      <w:sz w:val="24"/>
      <w:lang w:eastAsia="hr-HR"/>
    </w:rPr>
  </w:style>
  <w:style w:customStyle="true" w:styleId="apple-converted-space" w:type="character">
    <w:name w:val="apple-converted-space"/>
    <w:rsid w:val="00A055F7"/>
  </w:style>
  <w:style w:styleId="Hiperveza" w:type="character">
    <w:name w:val="Hyperlink"/>
    <w:uiPriority w:val="99"/>
    <w:semiHidden/>
    <w:unhideWhenUsed/>
    <w:rsid w:val="00A055F7"/>
    <w:rPr>
      <w:color w:val="0000FF"/>
      <w:u w:val="single"/>
    </w:rPr>
  </w:style>
  <w:style w:customStyle="true" w:styleId="Obojanipopis-Isticanje11" w:type="paragraph">
    <w:name w:val="Obojani popis - Isticanje 11"/>
    <w:basedOn w:val="Normal"/>
    <w:link w:val="Obojanipopis-Isticanje1Char"/>
    <w:uiPriority w:val="34"/>
    <w:qFormat/>
    <w:rsid w:val="00A055F7"/>
    <w:pPr>
      <w:ind w:left="708"/>
      <w:jc w:val="left"/>
    </w:pPr>
    <w:rPr>
      <w:rFonts w:eastAsia="MS Mincho" w:hAnsi="Cambria" w:ascii="Cambria"/>
      <w:sz w:val="24"/>
    </w:rPr>
  </w:style>
  <w:style w:customStyle="true" w:styleId="Obojanipopis-Isticanje1Char" w:type="character">
    <w:name w:val="Obojani popis - Isticanje 1 Char"/>
    <w:link w:val="Obojanipopis-Isticanje11"/>
    <w:uiPriority w:val="34"/>
    <w:locked/>
    <w:rsid w:val="00A055F7"/>
    <w:rPr>
      <w:rFonts w:cs="Times New Roman" w:eastAsia="MS Mincho" w:hAnsi="Cambria" w:ascii="Cambria"/>
      <w:sz w:val="24"/>
      <w:szCs w:val="24"/>
    </w:rPr>
  </w:style>
  <w:style w:customStyle="true" w:styleId="tabletextfield" w:type="character">
    <w:name w:val="table_text_field"/>
    <w:rsid w:val="00A055F7"/>
  </w:style>
  <w:style w:styleId="Tijeloteksta" w:type="paragraph">
    <w:name w:val="Body Text"/>
    <w:basedOn w:val="Normal"/>
    <w:link w:val="TijelotekstaChar"/>
    <w:rsid w:val="00A055F7"/>
    <w:rPr>
      <w:rFonts w:hAnsi="Arial" w:ascii="Arial"/>
      <w:snapToGrid w:val="false"/>
      <w:sz w:val="20"/>
      <w:szCs w:val="20"/>
      <w:lang w:val="fr-FR"/>
    </w:rPr>
  </w:style>
  <w:style w:customStyle="true" w:styleId="TijelotekstaChar" w:type="character">
    <w:name w:val="Tijelo teksta Char"/>
    <w:basedOn w:val="Zadanifontodlomka"/>
    <w:link w:val="Tijeloteksta"/>
    <w:rsid w:val="00A055F7"/>
    <w:rPr>
      <w:rFonts w:cs="Times New Roman" w:eastAsia="Times New Roman" w:hAnsi="Arial" w:ascii="Arial"/>
      <w:snapToGrid w:val="false"/>
      <w:sz w:val="20"/>
      <w:szCs w:val="20"/>
      <w:lang w:val="fr-FR"/>
    </w:rPr>
  </w:style>
  <w:style w:customStyle="true" w:styleId="Srednjareetka21" w:type="paragraph">
    <w:name w:val="Srednja rešetka 21"/>
    <w:link w:val="Srednjareetka2Char"/>
    <w:uiPriority w:val="1"/>
    <w:qFormat/>
    <w:rsid w:val="00A055F7"/>
    <w:pPr>
      <w:spacing w:lineRule="auto" w:line="240" w:after="0"/>
    </w:pPr>
    <w:rPr>
      <w:rFonts w:cs="Calibri" w:eastAsia="Calibri" w:hAnsi="Calibri" w:ascii="Calibri"/>
      <w:color w:val="17365D"/>
      <w:sz w:val="20"/>
      <w:szCs w:val="20"/>
      <w:lang w:eastAsia="ja-JP" w:val="en-US"/>
    </w:rPr>
  </w:style>
  <w:style w:customStyle="true" w:styleId="Srednjareetka2Char" w:type="character">
    <w:name w:val="Srednja rešetka 2 Char"/>
    <w:link w:val="Srednjareetka21"/>
    <w:uiPriority w:val="1"/>
    <w:rsid w:val="00A055F7"/>
    <w:rPr>
      <w:rFonts w:cs="Calibri" w:eastAsia="Calibri" w:hAnsi="Calibri" w:ascii="Calibri"/>
      <w:color w:val="17365D"/>
      <w:sz w:val="20"/>
      <w:szCs w:val="20"/>
      <w:lang w:eastAsia="ja-JP" w:val="en-US"/>
    </w:rPr>
  </w:style>
  <w:style w:styleId="Opisslike" w:type="paragraph">
    <w:name w:val="caption"/>
    <w:basedOn w:val="Normal"/>
    <w:next w:val="Normal"/>
    <w:qFormat/>
    <w:rsid w:val="00A055F7"/>
    <w:pPr>
      <w:jc w:val="left"/>
    </w:pPr>
    <w:rPr>
      <w:rFonts w:hAnsi="Arial" w:ascii="Arial"/>
      <w:b/>
      <w:szCs w:val="20"/>
      <w:lang w:eastAsia="de-DE" w:val="en-GB"/>
    </w:rPr>
  </w:style>
  <w:style w:customStyle="true" w:styleId="Heading1Char" w:type="character">
    <w:name w:val="Heading 1 Char"/>
    <w:uiPriority w:val="9"/>
    <w:rsid w:val="00A055F7"/>
    <w:rPr>
      <w:rFonts w:cs="Times New Roman" w:eastAsia="MS Gothic" w:hAnsi="Calibri" w:ascii="Calibri"/>
      <w:b/>
      <w:bCs/>
      <w:kern w:val="32"/>
      <w:sz w:val="32"/>
      <w:szCs w:val="32"/>
    </w:rPr>
  </w:style>
  <w:style w:styleId="SlijeenaHiperveza" w:type="character">
    <w:name w:val="FollowedHyperlink"/>
    <w:uiPriority w:val="99"/>
    <w:semiHidden/>
    <w:unhideWhenUsed/>
    <w:rsid w:val="00A055F7"/>
    <w:rPr>
      <w:color w:val="800080"/>
      <w:u w:val="single"/>
    </w:rPr>
  </w:style>
  <w:style w:customStyle="true" w:styleId="xl90" w:type="paragraph">
    <w:name w:val="xl90"/>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textAlignment w:val="center"/>
    </w:pPr>
    <w:rPr>
      <w:rFonts w:eastAsia="MS Mincho" w:hAnsi="Times New Roman" w:ascii="Times New Roman"/>
      <w:b/>
      <w:bCs/>
      <w:sz w:val="16"/>
      <w:szCs w:val="16"/>
      <w:lang w:val="en-US"/>
    </w:rPr>
  </w:style>
  <w:style w:customStyle="true" w:styleId="xl91" w:type="paragraph">
    <w:name w:val="xl91"/>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b/>
      <w:bCs/>
      <w:sz w:val="16"/>
      <w:szCs w:val="16"/>
      <w:lang w:val="en-US"/>
    </w:rPr>
  </w:style>
  <w:style w:customStyle="true" w:styleId="xl92" w:type="paragraph">
    <w:name w:val="xl92"/>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textAlignment w:val="center"/>
    </w:pPr>
    <w:rPr>
      <w:rFonts w:eastAsia="MS Mincho" w:hAnsi="Times New Roman" w:ascii="Times New Roman"/>
      <w:b/>
      <w:bCs/>
      <w:sz w:val="16"/>
      <w:szCs w:val="16"/>
      <w:lang w:val="en-US"/>
    </w:rPr>
  </w:style>
  <w:style w:customStyle="true" w:styleId="xl93" w:type="paragraph">
    <w:name w:val="xl93"/>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right"/>
    </w:pPr>
    <w:rPr>
      <w:rFonts w:eastAsia="MS Mincho" w:hAnsi="Times New Roman" w:ascii="Times New Roman"/>
      <w:b/>
      <w:bCs/>
      <w:sz w:val="16"/>
      <w:szCs w:val="16"/>
      <w:lang w:val="en-US"/>
    </w:rPr>
  </w:style>
  <w:style w:customStyle="true" w:styleId="xl94" w:type="paragraph">
    <w:name w:val="xl94"/>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xl95" w:type="paragraph">
    <w:name w:val="xl95"/>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MS Mincho" w:hAnsi="Times New Roman" w:ascii="Times New Roman"/>
      <w:sz w:val="16"/>
      <w:szCs w:val="16"/>
      <w:lang w:val="en-US"/>
    </w:rPr>
  </w:style>
  <w:style w:customStyle="true" w:styleId="xl96" w:type="paragraph">
    <w:name w:val="xl96"/>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MS Mincho" w:hAnsi="Times New Roman" w:ascii="Times New Roman"/>
      <w:sz w:val="16"/>
      <w:szCs w:val="16"/>
      <w:lang w:val="en-US"/>
    </w:rPr>
  </w:style>
  <w:style w:customStyle="true" w:styleId="xl97" w:type="paragraph">
    <w:name w:val="xl97"/>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MS Mincho" w:hAnsi="Times New Roman" w:ascii="Times New Roman"/>
      <w:sz w:val="16"/>
      <w:szCs w:val="16"/>
      <w:lang w:val="en-US"/>
    </w:rPr>
  </w:style>
  <w:style w:customStyle="true" w:styleId="xl98" w:type="paragraph">
    <w:name w:val="xl98"/>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MS Mincho" w:hAnsi="Times New Roman" w:ascii="Times New Roman"/>
      <w:sz w:val="16"/>
      <w:szCs w:val="16"/>
      <w:lang w:val="en-US"/>
    </w:rPr>
  </w:style>
  <w:style w:customStyle="true" w:styleId="xl99" w:type="paragraph">
    <w:name w:val="xl99"/>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MS Mincho" w:hAnsi="Times New Roman" w:ascii="Times New Roman"/>
      <w:sz w:val="16"/>
      <w:szCs w:val="16"/>
      <w:lang w:val="en-US"/>
    </w:rPr>
  </w:style>
  <w:style w:customStyle="true" w:styleId="xl100" w:type="paragraph">
    <w:name w:val="xl100"/>
    <w:basedOn w:val="Normal"/>
    <w:rsid w:val="00A055F7"/>
    <w:pPr>
      <w:spacing w:afterAutospacing="true" w:after="100" w:beforeAutospacing="true" w:before="100"/>
      <w:jc w:val="right"/>
    </w:pPr>
    <w:rPr>
      <w:rFonts w:eastAsia="MS Mincho" w:hAnsi="Times New Roman" w:ascii="Times New Roman"/>
      <w:sz w:val="16"/>
      <w:szCs w:val="16"/>
      <w:lang w:val="en-US"/>
    </w:rPr>
  </w:style>
  <w:style w:customStyle="true" w:styleId="xl101" w:type="paragraph">
    <w:name w:val="xl101"/>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2" w:type="paragraph">
    <w:name w:val="xl102"/>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3" w:type="paragraph">
    <w:name w:val="xl103"/>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b/>
      <w:bCs/>
      <w:sz w:val="16"/>
      <w:szCs w:val="16"/>
      <w:lang w:val="en-US"/>
    </w:rPr>
  </w:style>
  <w:style w:customStyle="true" w:styleId="xl104" w:type="paragraph">
    <w:name w:val="xl104"/>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pPr>
    <w:rPr>
      <w:rFonts w:eastAsia="MS Mincho" w:hAnsi="Times New Roman" w:ascii="Times New Roman"/>
      <w:sz w:val="16"/>
      <w:szCs w:val="16"/>
      <w:lang w:val="en-US"/>
    </w:rPr>
  </w:style>
  <w:style w:customStyle="true" w:styleId="xl105" w:type="paragraph">
    <w:name w:val="xl105"/>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6" w:type="paragraph">
    <w:name w:val="xl106"/>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7" w:type="paragraph">
    <w:name w:val="xl107"/>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pPr>
    <w:rPr>
      <w:rFonts w:eastAsia="MS Mincho" w:hAnsi="Times New Roman" w:ascii="Times New Roman"/>
      <w:sz w:val="16"/>
      <w:szCs w:val="16"/>
      <w:lang w:val="en-US"/>
    </w:rPr>
  </w:style>
  <w:style w:customStyle="true" w:styleId="xl108" w:type="paragraph">
    <w:name w:val="xl108"/>
    <w:basedOn w:val="Normal"/>
    <w:rsid w:val="00A055F7"/>
    <w:pP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9" w:type="paragraph">
    <w:name w:val="xl109"/>
    <w:basedOn w:val="Normal"/>
    <w:rsid w:val="00A055F7"/>
    <w:pPr>
      <w:pBdr>
        <w:top w:space="0" w:sz="4" w:color="auto" w:val="single"/>
        <w:left w:space="5" w:sz="4" w:color="auto" w:val="single"/>
        <w:bottom w:space="0" w:sz="4" w:color="auto" w:val="single"/>
        <w:right w:space="0" w:sz="4" w:color="auto" w:val="single"/>
      </w:pBdr>
      <w:shd w:fill="FFFFFF" w:color="000000" w:val="clear"/>
      <w:spacing w:afterAutospacing="true" w:after="100" w:beforeAutospacing="true" w:before="100"/>
      <w:ind w:firstLineChars="100" w:firstLine="100"/>
      <w:jc w:val="left"/>
    </w:pPr>
    <w:rPr>
      <w:rFonts w:eastAsia="MS Mincho" w:hAnsi="Times New Roman" w:ascii="Times New Roman"/>
      <w:sz w:val="16"/>
      <w:szCs w:val="16"/>
      <w:lang w:val="en-US"/>
    </w:rPr>
  </w:style>
  <w:style w:customStyle="true" w:styleId="xl110" w:type="paragraph">
    <w:name w:val="xl110"/>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textAlignment w:val="center"/>
    </w:pPr>
    <w:rPr>
      <w:rFonts w:eastAsia="MS Mincho" w:hAnsi="Times New Roman" w:ascii="Times New Roman"/>
      <w:sz w:val="16"/>
      <w:szCs w:val="16"/>
      <w:lang w:val="en-US"/>
    </w:rPr>
  </w:style>
  <w:style w:customStyle="true" w:styleId="xl111" w:type="paragraph">
    <w:name w:val="xl111"/>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textAlignment w:val="center"/>
    </w:pPr>
    <w:rPr>
      <w:rFonts w:eastAsia="MS Mincho" w:hAnsi="Times New Roman" w:ascii="Times New Roman"/>
      <w:sz w:val="16"/>
      <w:szCs w:val="16"/>
      <w:lang w:val="en-US"/>
    </w:rPr>
  </w:style>
  <w:style w:customStyle="true" w:styleId="xl112" w:type="paragraph">
    <w:name w:val="xl112"/>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pPr>
    <w:rPr>
      <w:rFonts w:eastAsia="MS Mincho" w:hAnsi="Times New Roman" w:ascii="Times New Roman"/>
      <w:sz w:val="16"/>
      <w:szCs w:val="16"/>
      <w:lang w:val="en-US"/>
    </w:rPr>
  </w:style>
  <w:style w:customStyle="true" w:styleId="xl113" w:type="paragraph">
    <w:name w:val="xl113"/>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rFonts w:eastAsia="MS Mincho" w:hAnsi="Times New Roman" w:ascii="Times New Roman"/>
      <w:sz w:val="16"/>
      <w:szCs w:val="16"/>
      <w:lang w:val="en-US"/>
    </w:rPr>
  </w:style>
  <w:style w:customStyle="true" w:styleId="xl114" w:type="paragraph">
    <w:name w:val="xl114"/>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pPr>
    <w:rPr>
      <w:rFonts w:eastAsia="MS Mincho" w:hAnsi="Times New Roman" w:ascii="Times New Roman"/>
      <w:sz w:val="16"/>
      <w:szCs w:val="16"/>
      <w:lang w:val="en-US"/>
    </w:rPr>
  </w:style>
  <w:style w:customStyle="true" w:styleId="xl115" w:type="paragraph">
    <w:name w:val="xl115"/>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textAlignment w:val="center"/>
    </w:pPr>
    <w:rPr>
      <w:rFonts w:eastAsia="MS Mincho" w:hAnsi="Times New Roman" w:ascii="Times New Roman"/>
      <w:sz w:val="16"/>
      <w:szCs w:val="16"/>
      <w:lang w:val="en-US"/>
    </w:rPr>
  </w:style>
  <w:style w:customStyle="true" w:styleId="xl116" w:type="paragraph">
    <w:name w:val="xl116"/>
    <w:basedOn w:val="Normal"/>
    <w:rsid w:val="00A055F7"/>
    <w:pPr>
      <w:pBdr>
        <w:top w:space="0" w:sz="4" w:color="auto" w:val="single"/>
        <w:left w:space="5" w:sz="4" w:color="auto" w:val="single"/>
        <w:bottom w:space="0" w:sz="4" w:color="auto" w:val="single"/>
        <w:right w:space="0" w:sz="4" w:color="auto" w:val="single"/>
      </w:pBdr>
      <w:shd w:fill="FFFFFF" w:color="000000" w:val="clear"/>
      <w:spacing w:afterAutospacing="true" w:after="100" w:beforeAutospacing="true" w:before="100"/>
      <w:ind w:firstLineChars="100" w:firstLine="100"/>
      <w:jc w:val="left"/>
      <w:textAlignment w:val="center"/>
    </w:pPr>
    <w:rPr>
      <w:rFonts w:eastAsia="MS Mincho" w:hAnsi="Times New Roman" w:ascii="Times New Roman"/>
      <w:sz w:val="16"/>
      <w:szCs w:val="16"/>
      <w:lang w:val="en-US"/>
    </w:rPr>
  </w:style>
  <w:style w:customStyle="true" w:styleId="xl117" w:type="paragraph">
    <w:name w:val="xl117"/>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xl118" w:type="paragraph">
    <w:name w:val="xl118"/>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font5" w:type="paragraph">
    <w:name w:val="font5"/>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normalchar1" w:type="character">
    <w:name w:val="normal__char1"/>
    <w:basedOn w:val="Zadanifontodlomka"/>
    <w:rsid w:val="002F1336"/>
    <w:rPr>
      <w:rFonts w:cs="Times New Roman" w:hAnsi="Times New Roman" w:ascii="Times New Roman" w:hint="default"/>
      <w:sz w:val="24"/>
      <w:szCs w:val="24"/>
    </w:rPr>
  </w:style>
  <w:style w:customStyle="true" w:styleId="t-9-8" w:type="paragraph">
    <w:name w:val="t-9-8"/>
    <w:basedOn w:val="Normal"/>
    <w:rsid w:val="002F1336"/>
    <w:pPr>
      <w:spacing w:afterAutospacing="true" w:after="100" w:beforeAutospacing="true" w:before="100"/>
      <w:jc w:val="left"/>
    </w:pPr>
    <w:rPr>
      <w:rFonts w:hAnsi="Times New Roman" w:ascii="Times New Roman"/>
      <w:sz w:val="24"/>
      <w:lang w:eastAsia="hr-HR"/>
    </w:rPr>
  </w:style>
  <w:style w:customStyle="true" w:styleId="Standard" w:type="paragraph">
    <w:name w:val="Standard"/>
    <w:rsid w:val="002F1336"/>
    <w:pPr>
      <w:suppressAutoHyphens/>
      <w:autoSpaceDN w:val="false"/>
      <w:textAlignment w:val="baseline"/>
    </w:pPr>
    <w:rPr>
      <w:rFonts w:cs="DejaVu Sans" w:eastAsia="DejaVu Sans" w:hAnsi="Calibri" w:ascii="Calibri"/>
      <w:kern w:val="3"/>
      <w:lang w:eastAsia="hr-HR"/>
    </w:rPr>
  </w:style>
  <w:style w:customStyle="true" w:styleId="HeaderEven" w:type="paragraph">
    <w:name w:val="Header Even"/>
    <w:basedOn w:val="Bezproreda"/>
    <w:qFormat/>
    <w:rsid w:val="002F1336"/>
    <w:pPr>
      <w:pBdr>
        <w:bottom w:space="1" w:sz="4" w:themeColor="accent1" w:color="4F81BD" w:val="single"/>
      </w:pBdr>
    </w:pPr>
    <w:rPr>
      <w:rFonts w:cs="Times New Roman"/>
      <w:b/>
      <w:color w:themeColor="text2" w:val="1F497D"/>
      <w:sz w:val="20"/>
      <w:szCs w:val="20"/>
      <w:lang w:eastAsia="ja-JP" w:val="en-US"/>
    </w:rPr>
  </w:style>
  <w:style w:styleId="Bezproreda" w:type="paragraph">
    <w:name w:val="No Spacing"/>
    <w:uiPriority w:val="1"/>
    <w:qFormat/>
    <w:rsid w:val="002F1336"/>
    <w:pPr>
      <w:spacing w:lineRule="auto" w:line="240" w:after="0"/>
    </w:pPr>
  </w:style>
  <w:style w:customStyle="true" w:styleId="st1" w:type="character">
    <w:name w:val="st1"/>
    <w:basedOn w:val="Zadanifontodlomka"/>
    <w:rsid w:val="002F1336"/>
  </w:style>
  <w:style w:customStyle="true" w:styleId="TekstkomentaraChar" w:type="character">
    <w:name w:val="Tekst komentara Char"/>
    <w:basedOn w:val="Zadanifontodlomka"/>
    <w:link w:val="Tekstkomentara"/>
    <w:uiPriority w:val="99"/>
    <w:semiHidden/>
    <w:rsid w:val="002F1336"/>
    <w:rPr>
      <w:sz w:val="20"/>
      <w:szCs w:val="20"/>
    </w:rPr>
  </w:style>
  <w:style w:styleId="Tekstkomentara" w:type="paragraph">
    <w:name w:val="annotation text"/>
    <w:basedOn w:val="Normal"/>
    <w:link w:val="TekstkomentaraChar"/>
    <w:uiPriority w:val="99"/>
    <w:semiHidden/>
    <w:unhideWhenUsed/>
    <w:rsid w:val="002F1336"/>
    <w:pPr>
      <w:spacing w:after="200"/>
      <w:jc w:val="left"/>
    </w:pPr>
    <w:rPr>
      <w:rFonts w:cstheme="minorBidi" w:eastAsiaTheme="minorHAnsi" w:hAnsiTheme="minorHAnsi" w:asciiTheme="minorHAnsi"/>
      <w:sz w:val="20"/>
      <w:szCs w:val="20"/>
    </w:rPr>
  </w:style>
  <w:style w:customStyle="true" w:styleId="TekstkomentaraChar1" w:type="character">
    <w:name w:val="Tekst komentara Char1"/>
    <w:basedOn w:val="Zadanifontodlomka"/>
    <w:uiPriority w:val="99"/>
    <w:semiHidden/>
    <w:rsid w:val="002F1336"/>
    <w:rPr>
      <w:rFonts w:cs="Times New Roman" w:eastAsia="Times New Roman" w:hAnsi="Mangal" w:ascii="Mangal"/>
      <w:sz w:val="20"/>
      <w:szCs w:val="20"/>
    </w:rPr>
  </w:style>
  <w:style w:customStyle="true" w:styleId="PredmetkomentaraChar" w:type="character">
    <w:name w:val="Predmet komentara Char"/>
    <w:basedOn w:val="TekstkomentaraChar"/>
    <w:link w:val="Predmetkomentara"/>
    <w:uiPriority w:val="99"/>
    <w:semiHidden/>
    <w:rsid w:val="002F1336"/>
    <w:rPr>
      <w:b/>
      <w:bCs/>
      <w:sz w:val="20"/>
      <w:szCs w:val="20"/>
    </w:rPr>
  </w:style>
  <w:style w:styleId="Predmetkomentara" w:type="paragraph">
    <w:name w:val="annotation subject"/>
    <w:basedOn w:val="Tekstkomentara"/>
    <w:next w:val="Tekstkomentara"/>
    <w:link w:val="PredmetkomentaraChar"/>
    <w:uiPriority w:val="99"/>
    <w:semiHidden/>
    <w:unhideWhenUsed/>
    <w:rsid w:val="002F1336"/>
    <w:rPr>
      <w:b/>
      <w:bCs/>
    </w:rPr>
  </w:style>
  <w:style w:customStyle="true" w:styleId="PredmetkomentaraChar1" w:type="character">
    <w:name w:val="Predmet komentara Char1"/>
    <w:basedOn w:val="TekstkomentaraChar1"/>
    <w:uiPriority w:val="99"/>
    <w:semiHidden/>
    <w:rsid w:val="002F1336"/>
    <w:rPr>
      <w:rFonts w:cs="Times New Roman" w:eastAsia="Times New Roman" w:hAnsi="Mangal" w:ascii="Mangal"/>
      <w:b/>
      <w:bCs/>
      <w:sz w:val="20"/>
      <w:szCs w:val="20"/>
    </w:rPr>
  </w:style>
  <w:style w:customStyle="true" w:styleId="st" w:type="character">
    <w:name w:val="st"/>
    <w:basedOn w:val="Zadanifontodlomka"/>
    <w:rsid w:val="002F1336"/>
  </w:style>
  <w:style w:customStyle="true" w:styleId="Normal1" w:type="paragraph">
    <w:name w:val="Normal1"/>
    <w:rsid w:val="002F1336"/>
    <w:pPr>
      <w:suppressAutoHyphens/>
      <w:textAlignment w:val="baseline"/>
    </w:pPr>
    <w:rPr>
      <w:rFonts w:cs="DejaVu Sans" w:eastAsia="DejaVu Sans" w:hAnsi="Calibri" w:ascii="Calibri"/>
      <w:color w:val="00000A"/>
      <w:lang w:eastAsia="hr-HR"/>
    </w:rPr>
  </w:style>
  <w:style w:customStyle="true" w:styleId="eSPISCCParagraphDefaultFont" w:type="character">
    <w:name w:val="eSPIS_CC_Paragraph Default Font"/>
    <w:basedOn w:val="Zadanifontodlomka"/>
    <w:rsid w:val="002F13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133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13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1336"/>
    <w:rPr>
      <w:rFonts w:cs="Times New Roman" w:hAnsi="Times New Roman" w:ascii="Times New Roman"/>
      <w:sz w:val="24"/>
      <w:szCs w:val="24"/>
      <w:bdr w:space="0" w:sz="0" w:color="auto" w:val="none"/>
      <w:shd w:fill="CCFFCC" w:color="auto" w:val="clear"/>
      <w:lang w:val="hr-HR"/>
    </w:rPr>
  </w:style>
  <w:style w:styleId="Tekstrezerviranogmjesta" w:type="character">
    <w:name w:val="Placeholder Text"/>
    <w:basedOn w:val="Zadanifontodlomka"/>
    <w:uiPriority w:val="99"/>
    <w:semiHidden/>
    <w:rsid w:val="002D4C80"/>
    <w:rPr>
      <w:color w:val="808080"/>
      <w:bdr w:space="0" w:sz="0" w:color="auto" w:val="none"/>
      <w:shd w:fill="auto" w:color="auto" w:val="clea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F50"/>
    <w:pPr>
      <w:spacing w:after="0" w:line="240" w:lineRule="auto"/>
      <w:jc w:val="both"/>
    </w:pPr>
    <w:rPr>
      <w:rFonts w:ascii="Mangal" w:cs="Times New Roman" w:eastAsia="Times New Roman" w:hAnsi="Mangal"/>
      <w:szCs w:val="24"/>
    </w:rPr>
  </w:style>
  <w:style w:styleId="Naslov1" w:type="paragraph">
    <w:name w:val="heading 1"/>
    <w:basedOn w:val="Normal"/>
    <w:next w:val="Normal"/>
    <w:link w:val="Naslov1Char"/>
    <w:autoRedefine/>
    <w:qFormat/>
    <w:rsid w:val="00A055F7"/>
    <w:pPr>
      <w:keepNext/>
      <w:tabs>
        <w:tab w:pos="1225" w:val="left"/>
      </w:tabs>
      <w:spacing w:after="60" w:before="240" w:line="360" w:lineRule="auto"/>
      <w:outlineLvl w:val="0"/>
    </w:pPr>
    <w:rPr>
      <w:rFonts w:ascii="Times New Roman"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055F7"/>
    <w:rPr>
      <w:rFonts w:ascii="Times New Roman" w:cs="Times New Roman" w:eastAsia="Times New Roman" w:hAnsi="Times New Roman"/>
      <w:sz w:val="24"/>
      <w:szCs w:val="24"/>
      <w:lang w:eastAsia="hr-HR"/>
    </w:rPr>
  </w:style>
  <w:style w:styleId="Zaglavlje" w:type="paragraph">
    <w:name w:val="header"/>
    <w:basedOn w:val="Normal"/>
    <w:link w:val="ZaglavljeChar"/>
    <w:uiPriority w:val="99"/>
    <w:rsid w:val="00090F50"/>
    <w:pPr>
      <w:tabs>
        <w:tab w:pos="4320" w:val="center"/>
        <w:tab w:pos="8640" w:val="right"/>
      </w:tabs>
    </w:pPr>
  </w:style>
  <w:style w:customStyle="1" w:styleId="ZaglavljeChar" w:type="character">
    <w:name w:val="Zaglavlje Char"/>
    <w:basedOn w:val="Zadanifontodlomka"/>
    <w:link w:val="Zaglavlje"/>
    <w:uiPriority w:val="99"/>
    <w:rsid w:val="00090F50"/>
    <w:rPr>
      <w:rFonts w:ascii="Mangal" w:cs="Times New Roman" w:eastAsia="Times New Roman" w:hAnsi="Mangal"/>
      <w:szCs w:val="24"/>
    </w:rPr>
  </w:style>
  <w:style w:styleId="Brojstranice" w:type="character">
    <w:name w:val="page number"/>
    <w:basedOn w:val="Zadanifontodlomka"/>
    <w:uiPriority w:val="99"/>
    <w:rsid w:val="00090F50"/>
  </w:style>
  <w:style w:styleId="Podnoje" w:type="paragraph">
    <w:name w:val="footer"/>
    <w:basedOn w:val="Normal"/>
    <w:link w:val="PodnojeChar"/>
    <w:uiPriority w:val="99"/>
    <w:unhideWhenUsed/>
    <w:rsid w:val="0054406A"/>
    <w:pPr>
      <w:tabs>
        <w:tab w:pos="4536" w:val="center"/>
        <w:tab w:pos="9072" w:val="right"/>
      </w:tabs>
    </w:pPr>
  </w:style>
  <w:style w:customStyle="1" w:styleId="PodnojeChar" w:type="character">
    <w:name w:val="Podnožje Char"/>
    <w:basedOn w:val="Zadanifontodlomka"/>
    <w:link w:val="Podnoje"/>
    <w:uiPriority w:val="99"/>
    <w:rsid w:val="0054406A"/>
    <w:rPr>
      <w:rFonts w:ascii="Mangal" w:cs="Times New Roman" w:eastAsia="Times New Roman" w:hAnsi="Mangal"/>
      <w:szCs w:val="24"/>
    </w:rPr>
  </w:style>
  <w:style w:styleId="Odlomakpopisa" w:type="paragraph">
    <w:name w:val="List Paragraph"/>
    <w:basedOn w:val="Normal"/>
    <w:qFormat/>
    <w:rsid w:val="00661A7F"/>
    <w:pPr>
      <w:ind w:left="720"/>
      <w:contextualSpacing/>
    </w:pPr>
  </w:style>
  <w:style w:styleId="Reetkatablice" w:type="table">
    <w:name w:val="Table Grid"/>
    <w:basedOn w:val="Obinatablica"/>
    <w:rsid w:val="00A055F7"/>
    <w:pPr>
      <w:spacing w:after="0" w:line="240" w:lineRule="auto"/>
    </w:pPr>
    <w:rPr>
      <w:rFonts w:ascii="Cambria" w:cs="Times New Roman" w:eastAsia="MS Mincho" w:hAnsi="Cambria"/>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vijetlareetka-Isticanje31" w:type="paragraph">
    <w:name w:val="Svijetla rešetka - Isticanje 31"/>
    <w:basedOn w:val="Normal"/>
    <w:uiPriority w:val="34"/>
    <w:qFormat/>
    <w:rsid w:val="00A055F7"/>
    <w:pPr>
      <w:ind w:left="720"/>
      <w:contextualSpacing/>
      <w:jc w:val="left"/>
    </w:pPr>
    <w:rPr>
      <w:rFonts w:ascii="Cambria" w:eastAsia="MS Mincho" w:hAnsi="Cambria"/>
      <w:sz w:val="24"/>
    </w:rPr>
  </w:style>
  <w:style w:styleId="Tekstbalonia" w:type="paragraph">
    <w:name w:val="Balloon Text"/>
    <w:basedOn w:val="Normal"/>
    <w:link w:val="TekstbaloniaChar"/>
    <w:uiPriority w:val="99"/>
    <w:semiHidden/>
    <w:unhideWhenUsed/>
    <w:rsid w:val="00A055F7"/>
    <w:pPr>
      <w:jc w:val="left"/>
    </w:pPr>
    <w:rPr>
      <w:rFonts w:ascii="Lucida Grande" w:cs="Lucida Grande" w:eastAsia="MS Mincho" w:hAnsi="Lucida Grande"/>
      <w:sz w:val="18"/>
      <w:szCs w:val="18"/>
    </w:rPr>
  </w:style>
  <w:style w:customStyle="1" w:styleId="TekstbaloniaChar" w:type="character">
    <w:name w:val="Tekst balončića Char"/>
    <w:basedOn w:val="Zadanifontodlomka"/>
    <w:link w:val="Tekstbalonia"/>
    <w:uiPriority w:val="99"/>
    <w:semiHidden/>
    <w:rsid w:val="00A055F7"/>
    <w:rPr>
      <w:rFonts w:ascii="Lucida Grande" w:cs="Lucida Grande" w:eastAsia="MS Mincho" w:hAnsi="Lucida Grande"/>
      <w:sz w:val="18"/>
      <w:szCs w:val="18"/>
    </w:rPr>
  </w:style>
  <w:style w:styleId="Grafikeoznake2" w:type="paragraph">
    <w:name w:val="List Bullet 2"/>
    <w:basedOn w:val="Normal"/>
    <w:uiPriority w:val="99"/>
    <w:unhideWhenUsed/>
    <w:rsid w:val="00A055F7"/>
    <w:pPr>
      <w:numPr>
        <w:numId w:val="2"/>
      </w:numPr>
      <w:contextualSpacing/>
      <w:jc w:val="left"/>
    </w:pPr>
    <w:rPr>
      <w:rFonts w:ascii="Times New Roman" w:hAnsi="Times New Roman"/>
      <w:sz w:val="24"/>
      <w:lang w:eastAsia="hr-HR"/>
    </w:rPr>
  </w:style>
  <w:style w:customStyle="1" w:styleId="apple-converted-space" w:type="character">
    <w:name w:val="apple-converted-space"/>
    <w:rsid w:val="00A055F7"/>
  </w:style>
  <w:style w:styleId="Hiperveza" w:type="character">
    <w:name w:val="Hyperlink"/>
    <w:uiPriority w:val="99"/>
    <w:semiHidden/>
    <w:unhideWhenUsed/>
    <w:rsid w:val="00A055F7"/>
    <w:rPr>
      <w:color w:val="0000FF"/>
      <w:u w:val="single"/>
    </w:rPr>
  </w:style>
  <w:style w:customStyle="1" w:styleId="Obojanipopis-Isticanje11" w:type="paragraph">
    <w:name w:val="Obojani popis - Isticanje 11"/>
    <w:basedOn w:val="Normal"/>
    <w:link w:val="Obojanipopis-Isticanje1Char"/>
    <w:uiPriority w:val="34"/>
    <w:qFormat/>
    <w:rsid w:val="00A055F7"/>
    <w:pPr>
      <w:ind w:left="708"/>
      <w:jc w:val="left"/>
    </w:pPr>
    <w:rPr>
      <w:rFonts w:ascii="Cambria" w:eastAsia="MS Mincho" w:hAnsi="Cambria"/>
      <w:sz w:val="24"/>
    </w:rPr>
  </w:style>
  <w:style w:customStyle="1" w:styleId="Obojanipopis-Isticanje1Char" w:type="character">
    <w:name w:val="Obojani popis - Isticanje 1 Char"/>
    <w:link w:val="Obojanipopis-Isticanje11"/>
    <w:uiPriority w:val="34"/>
    <w:locked/>
    <w:rsid w:val="00A055F7"/>
    <w:rPr>
      <w:rFonts w:ascii="Cambria" w:cs="Times New Roman" w:eastAsia="MS Mincho" w:hAnsi="Cambria"/>
      <w:sz w:val="24"/>
      <w:szCs w:val="24"/>
    </w:rPr>
  </w:style>
  <w:style w:customStyle="1" w:styleId="tabletextfield" w:type="character">
    <w:name w:val="table_text_field"/>
    <w:rsid w:val="00A055F7"/>
  </w:style>
  <w:style w:styleId="Tijeloteksta" w:type="paragraph">
    <w:name w:val="Body Text"/>
    <w:basedOn w:val="Normal"/>
    <w:link w:val="TijelotekstaChar"/>
    <w:rsid w:val="00A055F7"/>
    <w:rPr>
      <w:rFonts w:ascii="Arial" w:hAnsi="Arial"/>
      <w:snapToGrid w:val="0"/>
      <w:sz w:val="20"/>
      <w:szCs w:val="20"/>
      <w:lang w:val="fr-FR"/>
    </w:rPr>
  </w:style>
  <w:style w:customStyle="1" w:styleId="TijelotekstaChar" w:type="character">
    <w:name w:val="Tijelo teksta Char"/>
    <w:basedOn w:val="Zadanifontodlomka"/>
    <w:link w:val="Tijeloteksta"/>
    <w:rsid w:val="00A055F7"/>
    <w:rPr>
      <w:rFonts w:ascii="Arial" w:cs="Times New Roman" w:eastAsia="Times New Roman" w:hAnsi="Arial"/>
      <w:snapToGrid w:val="0"/>
      <w:sz w:val="20"/>
      <w:szCs w:val="20"/>
      <w:lang w:val="fr-FR"/>
    </w:rPr>
  </w:style>
  <w:style w:customStyle="1" w:styleId="Srednjareetka21" w:type="paragraph">
    <w:name w:val="Srednja rešetka 21"/>
    <w:link w:val="Srednjareetka2Char"/>
    <w:uiPriority w:val="1"/>
    <w:qFormat/>
    <w:rsid w:val="00A055F7"/>
    <w:pPr>
      <w:spacing w:after="0" w:line="240" w:lineRule="auto"/>
    </w:pPr>
    <w:rPr>
      <w:rFonts w:ascii="Calibri" w:cs="Calibri" w:eastAsia="Calibri" w:hAnsi="Calibri"/>
      <w:color w:val="17365D"/>
      <w:sz w:val="20"/>
      <w:szCs w:val="20"/>
      <w:lang w:eastAsia="ja-JP" w:val="en-US"/>
    </w:rPr>
  </w:style>
  <w:style w:customStyle="1" w:styleId="Srednjareetka2Char" w:type="character">
    <w:name w:val="Srednja rešetka 2 Char"/>
    <w:link w:val="Srednjareetka21"/>
    <w:uiPriority w:val="1"/>
    <w:rsid w:val="00A055F7"/>
    <w:rPr>
      <w:rFonts w:ascii="Calibri" w:cs="Calibri" w:eastAsia="Calibri" w:hAnsi="Calibri"/>
      <w:color w:val="17365D"/>
      <w:sz w:val="20"/>
      <w:szCs w:val="20"/>
      <w:lang w:eastAsia="ja-JP" w:val="en-US"/>
    </w:rPr>
  </w:style>
  <w:style w:styleId="Opisslike" w:type="paragraph">
    <w:name w:val="caption"/>
    <w:basedOn w:val="Normal"/>
    <w:next w:val="Normal"/>
    <w:qFormat/>
    <w:rsid w:val="00A055F7"/>
    <w:pPr>
      <w:jc w:val="left"/>
    </w:pPr>
    <w:rPr>
      <w:rFonts w:ascii="Arial" w:hAnsi="Arial"/>
      <w:b/>
      <w:szCs w:val="20"/>
      <w:lang w:eastAsia="de-DE" w:val="en-GB"/>
    </w:rPr>
  </w:style>
  <w:style w:customStyle="1" w:styleId="Heading1Char" w:type="character">
    <w:name w:val="Heading 1 Char"/>
    <w:uiPriority w:val="9"/>
    <w:rsid w:val="00A055F7"/>
    <w:rPr>
      <w:rFonts w:ascii="Calibri" w:cs="Times New Roman" w:eastAsia="MS Gothic" w:hAnsi="Calibri"/>
      <w:b/>
      <w:bCs/>
      <w:kern w:val="32"/>
      <w:sz w:val="32"/>
      <w:szCs w:val="32"/>
    </w:rPr>
  </w:style>
  <w:style w:styleId="SlijeenaHiperveza" w:type="character">
    <w:name w:val="FollowedHyperlink"/>
    <w:uiPriority w:val="99"/>
    <w:semiHidden/>
    <w:unhideWhenUsed/>
    <w:rsid w:val="00A055F7"/>
    <w:rPr>
      <w:color w:val="800080"/>
      <w:u w:val="single"/>
    </w:rPr>
  </w:style>
  <w:style w:customStyle="1" w:styleId="xl90" w:type="paragraph">
    <w:name w:val="xl90"/>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textAlignment w:val="center"/>
    </w:pPr>
    <w:rPr>
      <w:rFonts w:ascii="Times New Roman" w:eastAsia="MS Mincho" w:hAnsi="Times New Roman"/>
      <w:b/>
      <w:bCs/>
      <w:sz w:val="16"/>
      <w:szCs w:val="16"/>
      <w:lang w:val="en-US"/>
    </w:rPr>
  </w:style>
  <w:style w:customStyle="1" w:styleId="xl91" w:type="paragraph">
    <w:name w:val="xl91"/>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b/>
      <w:bCs/>
      <w:sz w:val="16"/>
      <w:szCs w:val="16"/>
      <w:lang w:val="en-US"/>
    </w:rPr>
  </w:style>
  <w:style w:customStyle="1" w:styleId="xl92" w:type="paragraph">
    <w:name w:val="xl92"/>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textAlignment w:val="center"/>
    </w:pPr>
    <w:rPr>
      <w:rFonts w:ascii="Times New Roman" w:eastAsia="MS Mincho" w:hAnsi="Times New Roman"/>
      <w:b/>
      <w:bCs/>
      <w:sz w:val="16"/>
      <w:szCs w:val="16"/>
      <w:lang w:val="en-US"/>
    </w:rPr>
  </w:style>
  <w:style w:customStyle="1" w:styleId="xl93" w:type="paragraph">
    <w:name w:val="xl93"/>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right"/>
    </w:pPr>
    <w:rPr>
      <w:rFonts w:ascii="Times New Roman" w:eastAsia="MS Mincho" w:hAnsi="Times New Roman"/>
      <w:b/>
      <w:bCs/>
      <w:sz w:val="16"/>
      <w:szCs w:val="16"/>
      <w:lang w:val="en-US"/>
    </w:rPr>
  </w:style>
  <w:style w:customStyle="1" w:styleId="xl94" w:type="paragraph">
    <w:name w:val="xl94"/>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xl95" w:type="paragraph">
    <w:name w:val="xl95"/>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MS Mincho" w:hAnsi="Times New Roman"/>
      <w:sz w:val="16"/>
      <w:szCs w:val="16"/>
      <w:lang w:val="en-US"/>
    </w:rPr>
  </w:style>
  <w:style w:customStyle="1" w:styleId="xl96" w:type="paragraph">
    <w:name w:val="xl96"/>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MS Mincho" w:hAnsi="Times New Roman"/>
      <w:sz w:val="16"/>
      <w:szCs w:val="16"/>
      <w:lang w:val="en-US"/>
    </w:rPr>
  </w:style>
  <w:style w:customStyle="1" w:styleId="xl97" w:type="paragraph">
    <w:name w:val="xl97"/>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MS Mincho" w:hAnsi="Times New Roman"/>
      <w:sz w:val="16"/>
      <w:szCs w:val="16"/>
      <w:lang w:val="en-US"/>
    </w:rPr>
  </w:style>
  <w:style w:customStyle="1" w:styleId="xl98" w:type="paragraph">
    <w:name w:val="xl98"/>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MS Mincho" w:hAnsi="Times New Roman"/>
      <w:sz w:val="16"/>
      <w:szCs w:val="16"/>
      <w:lang w:val="en-US"/>
    </w:rPr>
  </w:style>
  <w:style w:customStyle="1" w:styleId="xl99" w:type="paragraph">
    <w:name w:val="xl99"/>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MS Mincho" w:hAnsi="Times New Roman"/>
      <w:sz w:val="16"/>
      <w:szCs w:val="16"/>
      <w:lang w:val="en-US"/>
    </w:rPr>
  </w:style>
  <w:style w:customStyle="1" w:styleId="xl100" w:type="paragraph">
    <w:name w:val="xl100"/>
    <w:basedOn w:val="Normal"/>
    <w:rsid w:val="00A055F7"/>
    <w:pPr>
      <w:spacing w:after="100" w:afterAutospacing="1" w:before="100" w:beforeAutospacing="1"/>
      <w:jc w:val="right"/>
    </w:pPr>
    <w:rPr>
      <w:rFonts w:ascii="Times New Roman" w:eastAsia="MS Mincho" w:hAnsi="Times New Roman"/>
      <w:sz w:val="16"/>
      <w:szCs w:val="16"/>
      <w:lang w:val="en-US"/>
    </w:rPr>
  </w:style>
  <w:style w:customStyle="1" w:styleId="xl101" w:type="paragraph">
    <w:name w:val="xl101"/>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sz w:val="16"/>
      <w:szCs w:val="16"/>
      <w:lang w:val="en-US"/>
    </w:rPr>
  </w:style>
  <w:style w:customStyle="1" w:styleId="xl102" w:type="paragraph">
    <w:name w:val="xl102"/>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sz w:val="16"/>
      <w:szCs w:val="16"/>
      <w:lang w:val="en-US"/>
    </w:rPr>
  </w:style>
  <w:style w:customStyle="1" w:styleId="xl103" w:type="paragraph">
    <w:name w:val="xl103"/>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b/>
      <w:bCs/>
      <w:sz w:val="16"/>
      <w:szCs w:val="16"/>
      <w:lang w:val="en-US"/>
    </w:rPr>
  </w:style>
  <w:style w:customStyle="1" w:styleId="xl104" w:type="paragraph">
    <w:name w:val="xl104"/>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pPr>
    <w:rPr>
      <w:rFonts w:ascii="Times New Roman" w:eastAsia="MS Mincho" w:hAnsi="Times New Roman"/>
      <w:sz w:val="16"/>
      <w:szCs w:val="16"/>
      <w:lang w:val="en-US"/>
    </w:rPr>
  </w:style>
  <w:style w:customStyle="1" w:styleId="xl105" w:type="paragraph">
    <w:name w:val="xl105"/>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6" w:type="paragraph">
    <w:name w:val="xl106"/>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7" w:type="paragraph">
    <w:name w:val="xl107"/>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pPr>
    <w:rPr>
      <w:rFonts w:ascii="Times New Roman" w:eastAsia="MS Mincho" w:hAnsi="Times New Roman"/>
      <w:sz w:val="16"/>
      <w:szCs w:val="16"/>
      <w:lang w:val="en-US"/>
    </w:rPr>
  </w:style>
  <w:style w:customStyle="1" w:styleId="xl108" w:type="paragraph">
    <w:name w:val="xl108"/>
    <w:basedOn w:val="Normal"/>
    <w:rsid w:val="00A055F7"/>
    <w:pP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9" w:type="paragraph">
    <w:name w:val="xl109"/>
    <w:basedOn w:val="Normal"/>
    <w:rsid w:val="00A055F7"/>
    <w:pPr>
      <w:pBdr>
        <w:top w:color="auto" w:space="0" w:sz="4" w:val="single"/>
        <w:left w:color="auto" w:space="5" w:sz="4" w:val="single"/>
        <w:bottom w:color="auto" w:space="0" w:sz="4" w:val="single"/>
        <w:right w:color="auto" w:space="0" w:sz="4" w:val="single"/>
      </w:pBdr>
      <w:shd w:color="000000" w:fill="FFFFFF" w:val="clear"/>
      <w:spacing w:after="100" w:afterAutospacing="1" w:before="100" w:beforeAutospacing="1"/>
      <w:ind w:firstLine="100" w:firstLineChars="100"/>
      <w:jc w:val="left"/>
    </w:pPr>
    <w:rPr>
      <w:rFonts w:ascii="Times New Roman" w:eastAsia="MS Mincho" w:hAnsi="Times New Roman"/>
      <w:sz w:val="16"/>
      <w:szCs w:val="16"/>
      <w:lang w:val="en-US"/>
    </w:rPr>
  </w:style>
  <w:style w:customStyle="1" w:styleId="xl110" w:type="paragraph">
    <w:name w:val="xl110"/>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textAlignment w:val="center"/>
    </w:pPr>
    <w:rPr>
      <w:rFonts w:ascii="Times New Roman" w:eastAsia="MS Mincho" w:hAnsi="Times New Roman"/>
      <w:sz w:val="16"/>
      <w:szCs w:val="16"/>
      <w:lang w:val="en-US"/>
    </w:rPr>
  </w:style>
  <w:style w:customStyle="1" w:styleId="xl111" w:type="paragraph">
    <w:name w:val="xl111"/>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textAlignment w:val="center"/>
    </w:pPr>
    <w:rPr>
      <w:rFonts w:ascii="Times New Roman" w:eastAsia="MS Mincho" w:hAnsi="Times New Roman"/>
      <w:sz w:val="16"/>
      <w:szCs w:val="16"/>
      <w:lang w:val="en-US"/>
    </w:rPr>
  </w:style>
  <w:style w:customStyle="1" w:styleId="xl112" w:type="paragraph">
    <w:name w:val="xl112"/>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pPr>
    <w:rPr>
      <w:rFonts w:ascii="Times New Roman" w:eastAsia="MS Mincho" w:hAnsi="Times New Roman"/>
      <w:sz w:val="16"/>
      <w:szCs w:val="16"/>
      <w:lang w:val="en-US"/>
    </w:rPr>
  </w:style>
  <w:style w:customStyle="1" w:styleId="xl113" w:type="paragraph">
    <w:name w:val="xl113"/>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Times New Roman" w:eastAsia="MS Mincho" w:hAnsi="Times New Roman"/>
      <w:sz w:val="16"/>
      <w:szCs w:val="16"/>
      <w:lang w:val="en-US"/>
    </w:rPr>
  </w:style>
  <w:style w:customStyle="1" w:styleId="xl114" w:type="paragraph">
    <w:name w:val="xl114"/>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pPr>
    <w:rPr>
      <w:rFonts w:ascii="Times New Roman" w:eastAsia="MS Mincho" w:hAnsi="Times New Roman"/>
      <w:sz w:val="16"/>
      <w:szCs w:val="16"/>
      <w:lang w:val="en-US"/>
    </w:rPr>
  </w:style>
  <w:style w:customStyle="1" w:styleId="xl115" w:type="paragraph">
    <w:name w:val="xl115"/>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textAlignment w:val="center"/>
    </w:pPr>
    <w:rPr>
      <w:rFonts w:ascii="Times New Roman" w:eastAsia="MS Mincho" w:hAnsi="Times New Roman"/>
      <w:sz w:val="16"/>
      <w:szCs w:val="16"/>
      <w:lang w:val="en-US"/>
    </w:rPr>
  </w:style>
  <w:style w:customStyle="1" w:styleId="xl116" w:type="paragraph">
    <w:name w:val="xl116"/>
    <w:basedOn w:val="Normal"/>
    <w:rsid w:val="00A055F7"/>
    <w:pPr>
      <w:pBdr>
        <w:top w:color="auto" w:space="0" w:sz="4" w:val="single"/>
        <w:left w:color="auto" w:space="5" w:sz="4" w:val="single"/>
        <w:bottom w:color="auto" w:space="0" w:sz="4" w:val="single"/>
        <w:right w:color="auto" w:space="0" w:sz="4" w:val="single"/>
      </w:pBdr>
      <w:shd w:color="000000" w:fill="FFFFFF" w:val="clear"/>
      <w:spacing w:after="100" w:afterAutospacing="1" w:before="100" w:beforeAutospacing="1"/>
      <w:ind w:firstLine="100" w:firstLineChars="100"/>
      <w:jc w:val="left"/>
      <w:textAlignment w:val="center"/>
    </w:pPr>
    <w:rPr>
      <w:rFonts w:ascii="Times New Roman" w:eastAsia="MS Mincho" w:hAnsi="Times New Roman"/>
      <w:sz w:val="16"/>
      <w:szCs w:val="16"/>
      <w:lang w:val="en-US"/>
    </w:rPr>
  </w:style>
  <w:style w:customStyle="1" w:styleId="xl117" w:type="paragraph">
    <w:name w:val="xl117"/>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xl118" w:type="paragraph">
    <w:name w:val="xl118"/>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font5" w:type="paragraph">
    <w:name w:val="font5"/>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normalchar1" w:type="character">
    <w:name w:val="normal__char1"/>
    <w:basedOn w:val="Zadanifontodlomka"/>
    <w:rsid w:val="002F1336"/>
    <w:rPr>
      <w:rFonts w:ascii="Times New Roman" w:cs="Times New Roman" w:hAnsi="Times New Roman" w:hint="default"/>
      <w:sz w:val="24"/>
      <w:szCs w:val="24"/>
    </w:rPr>
  </w:style>
  <w:style w:customStyle="1" w:styleId="t-9-8" w:type="paragraph">
    <w:name w:val="t-9-8"/>
    <w:basedOn w:val="Normal"/>
    <w:rsid w:val="002F1336"/>
    <w:pPr>
      <w:spacing w:after="100" w:afterAutospacing="1" w:before="100" w:beforeAutospacing="1"/>
      <w:jc w:val="left"/>
    </w:pPr>
    <w:rPr>
      <w:rFonts w:ascii="Times New Roman" w:hAnsi="Times New Roman"/>
      <w:sz w:val="24"/>
      <w:lang w:eastAsia="hr-HR"/>
    </w:rPr>
  </w:style>
  <w:style w:customStyle="1" w:styleId="Standard" w:type="paragraph">
    <w:name w:val="Standard"/>
    <w:rsid w:val="002F1336"/>
    <w:pPr>
      <w:suppressAutoHyphens/>
      <w:autoSpaceDN w:val="0"/>
      <w:textAlignment w:val="baseline"/>
    </w:pPr>
    <w:rPr>
      <w:rFonts w:ascii="Calibri" w:cs="DejaVu Sans" w:eastAsia="DejaVu Sans" w:hAnsi="Calibri"/>
      <w:kern w:val="3"/>
      <w:lang w:eastAsia="hr-HR"/>
    </w:rPr>
  </w:style>
  <w:style w:customStyle="1" w:styleId="HeaderEven" w:type="paragraph">
    <w:name w:val="Header Even"/>
    <w:basedOn w:val="Bezproreda"/>
    <w:qFormat/>
    <w:rsid w:val="002F1336"/>
    <w:pPr>
      <w:pBdr>
        <w:bottom w:color="4F81BD" w:space="1" w:sz="4" w:themeColor="accent1" w:val="single"/>
      </w:pBdr>
    </w:pPr>
    <w:rPr>
      <w:rFonts w:cs="Times New Roman"/>
      <w:b/>
      <w:color w:themeColor="text2" w:val="1F497D"/>
      <w:sz w:val="20"/>
      <w:szCs w:val="20"/>
      <w:lang w:eastAsia="ja-JP" w:val="en-US"/>
    </w:rPr>
  </w:style>
  <w:style w:styleId="Bezproreda" w:type="paragraph">
    <w:name w:val="No Spacing"/>
    <w:uiPriority w:val="1"/>
    <w:qFormat/>
    <w:rsid w:val="002F1336"/>
    <w:pPr>
      <w:spacing w:after="0" w:line="240" w:lineRule="auto"/>
    </w:pPr>
  </w:style>
  <w:style w:customStyle="1" w:styleId="st1" w:type="character">
    <w:name w:val="st1"/>
    <w:basedOn w:val="Zadanifontodlomka"/>
    <w:rsid w:val="002F1336"/>
  </w:style>
  <w:style w:customStyle="1" w:styleId="TekstkomentaraChar" w:type="character">
    <w:name w:val="Tekst komentara Char"/>
    <w:basedOn w:val="Zadanifontodlomka"/>
    <w:link w:val="Tekstkomentara"/>
    <w:uiPriority w:val="99"/>
    <w:semiHidden/>
    <w:rsid w:val="002F1336"/>
    <w:rPr>
      <w:sz w:val="20"/>
      <w:szCs w:val="20"/>
    </w:rPr>
  </w:style>
  <w:style w:styleId="Tekstkomentara" w:type="paragraph">
    <w:name w:val="annotation text"/>
    <w:basedOn w:val="Normal"/>
    <w:link w:val="TekstkomentaraChar"/>
    <w:uiPriority w:val="99"/>
    <w:semiHidden/>
    <w:unhideWhenUsed/>
    <w:rsid w:val="002F1336"/>
    <w:pPr>
      <w:spacing w:after="200"/>
      <w:jc w:val="left"/>
    </w:pPr>
    <w:rPr>
      <w:rFonts w:asciiTheme="minorHAnsi" w:cstheme="minorBidi" w:eastAsiaTheme="minorHAnsi" w:hAnsiTheme="minorHAnsi"/>
      <w:sz w:val="20"/>
      <w:szCs w:val="20"/>
    </w:rPr>
  </w:style>
  <w:style w:customStyle="1" w:styleId="TekstkomentaraChar1" w:type="character">
    <w:name w:val="Tekst komentara Char1"/>
    <w:basedOn w:val="Zadanifontodlomka"/>
    <w:uiPriority w:val="99"/>
    <w:semiHidden/>
    <w:rsid w:val="002F1336"/>
    <w:rPr>
      <w:rFonts w:ascii="Mangal" w:cs="Times New Roman" w:eastAsia="Times New Roman" w:hAnsi="Mangal"/>
      <w:sz w:val="20"/>
      <w:szCs w:val="20"/>
    </w:rPr>
  </w:style>
  <w:style w:customStyle="1" w:styleId="PredmetkomentaraChar" w:type="character">
    <w:name w:val="Predmet komentara Char"/>
    <w:basedOn w:val="TekstkomentaraChar"/>
    <w:link w:val="Predmetkomentara"/>
    <w:uiPriority w:val="99"/>
    <w:semiHidden/>
    <w:rsid w:val="002F1336"/>
    <w:rPr>
      <w:b/>
      <w:bCs/>
      <w:sz w:val="20"/>
      <w:szCs w:val="20"/>
    </w:rPr>
  </w:style>
  <w:style w:styleId="Predmetkomentara" w:type="paragraph">
    <w:name w:val="annotation subject"/>
    <w:basedOn w:val="Tekstkomentara"/>
    <w:next w:val="Tekstkomentara"/>
    <w:link w:val="PredmetkomentaraChar"/>
    <w:uiPriority w:val="99"/>
    <w:semiHidden/>
    <w:unhideWhenUsed/>
    <w:rsid w:val="002F1336"/>
    <w:rPr>
      <w:b/>
      <w:bCs/>
    </w:rPr>
  </w:style>
  <w:style w:customStyle="1" w:styleId="PredmetkomentaraChar1" w:type="character">
    <w:name w:val="Predmet komentara Char1"/>
    <w:basedOn w:val="TekstkomentaraChar1"/>
    <w:uiPriority w:val="99"/>
    <w:semiHidden/>
    <w:rsid w:val="002F1336"/>
    <w:rPr>
      <w:rFonts w:ascii="Mangal" w:cs="Times New Roman" w:eastAsia="Times New Roman" w:hAnsi="Mangal"/>
      <w:b/>
      <w:bCs/>
      <w:sz w:val="20"/>
      <w:szCs w:val="20"/>
    </w:rPr>
  </w:style>
  <w:style w:customStyle="1" w:styleId="st" w:type="character">
    <w:name w:val="st"/>
    <w:basedOn w:val="Zadanifontodlomka"/>
    <w:rsid w:val="002F1336"/>
  </w:style>
  <w:style w:customStyle="1" w:styleId="Normal1" w:type="paragraph">
    <w:name w:val="Normal1"/>
    <w:rsid w:val="002F1336"/>
    <w:pPr>
      <w:suppressAutoHyphens/>
      <w:textAlignment w:val="baseline"/>
    </w:pPr>
    <w:rPr>
      <w:rFonts w:ascii="Calibri" w:cs="DejaVu Sans" w:eastAsia="DejaVu Sans" w:hAnsi="Calibri"/>
      <w:color w:val="00000A"/>
      <w:lang w:eastAsia="hr-HR"/>
    </w:rPr>
  </w:style>
  <w:style w:customStyle="1" w:styleId="eSPISCCParagraphDefaultFont" w:type="character">
    <w:name w:val="eSPIS_CC_Paragraph Default Font"/>
    <w:basedOn w:val="Zadanifontodlomka"/>
    <w:rsid w:val="002F13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133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13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1336"/>
    <w:rPr>
      <w:rFonts w:ascii="Times New Roman" w:cs="Times New Roman" w:hAnsi="Times New Roman"/>
      <w:sz w:val="24"/>
      <w:szCs w:val="24"/>
      <w:bdr w:color="auto" w:space="0" w:sz="0" w:val="none"/>
      <w:shd w:color="auto" w:fill="CCFFCC" w:val="clear"/>
      <w:lang w:val="hr-HR"/>
    </w:rPr>
  </w:style>
  <w:style w:styleId="Tekstrezerviranogmjesta" w:type="character">
    <w:name w:val="Placeholder Text"/>
    <w:basedOn w:val="Zadanifontodlomka"/>
    <w:uiPriority w:val="99"/>
    <w:semiHidden/>
    <w:rsid w:val="002D4C80"/>
    <w:rPr>
      <w:color w:val="808080"/>
      <w:bdr w:color="auto" w:space="0" w:sz="0" w:val="none"/>
      <w:shd w:color="auto" w:fill="auto" w:val="clea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8661</izvorni_sadrzaj>
    <derivirana_varijabla naziv="DomainObject.Predmet.Broj_1">8661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St-8661/2015</izvorni_sadrzaj>
    <derivirana_varijabla naziv="DomainObject.Predmet.OznakaBroj_1">St-8661/2015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GORNJI GRAD d.o.o. zastupanog po punomoćniku BRANKO SKERLEV-otkazana punomoć</izvorni_sadrzaj>
    <derivirana_varijabla naziv="DomainObject.Predmet.ProtustrankaFormated_1">  GORNJI GRAD d.o.o. zastupanog po punomoćniku BRANKO SKERLEV-otkazana punomoć</derivirana_varijabla>
  </DomainObject.Predmet.ProtustrankaFormated>
  <DomainObject.Predmet.ProtustrankaFormatedOIB>
    <izvorni_sadrzaj>  GORNJI GRAD d.o.o., OIB 49158686202 zastupanog po punomoćniku BRANKO SKERLEV-otkazana punomoć</izvorni_sadrzaj>
    <derivirana_varijabla naziv="DomainObject.Predmet.ProtustrankaFormatedOIB_1">  GORNJI GRAD d.o.o., OIB 49158686202 zastupanog po punomoćniku BRANKO SKERLEV-otkazana punomoć</derivirana_varijabla>
  </DomainObject.Predmet.ProtustrankaFormatedOIB>
  <DomainObject.Predmet.ProtustrankaFormatedWithAdress>
    <izvorni_sadrzaj> GORNJI GRAD d.o.o., Karlovačka 203/A, 10250 Lučko zastupanog po punomoćniku BRANKO SKERLEV-otkazana punomoć</izvorni_sadrzaj>
    <derivirana_varijabla naziv="DomainObject.Predmet.ProtustrankaFormatedWithAdress_1"> GORNJI GRAD d.o.o., Karlovačka 203/A, 10250 Lučko zastupanog po punomoćniku BRANKO SKERLEV-otkazana punomoć</derivirana_varijabla>
  </DomainObject.Predmet.ProtustrankaFormatedWithAdress>
  <DomainObject.Predmet.ProtustrankaFormatedWithAdressOIB>
    <izvorni_sadrzaj> GORNJI GRAD d.o.o., OIB 49158686202, Karlovačka 203/A, 10250 Lučko zastupanog po punomoćniku BRANKO SKERLEV-otkazana punomoć</izvorni_sadrzaj>
    <derivirana_varijabla naziv="DomainObject.Predmet.ProtustrankaFormatedWithAdressOIB_1"> GORNJI GRAD d.o.o., OIB 49158686202, Karlovačka 203/A, 10250 Lučko zastupanog po punomoćniku BRANKO SKERLEV-otkazana punomoć</derivirana_varijabla>
  </DomainObject.Predmet.ProtustrankaFormatedWithAdressOIB>
  <DomainObject.Predmet.ProtustrankaWithAdress>
    <izvorni_sadrzaj>GORNJI GRAD d.o.o. Karlovačka 203/A, 10250 Lučko</izvorni_sadrzaj>
    <derivirana_varijabla naziv="DomainObject.Predmet.ProtustrankaWithAdress_1">GORNJI GRAD d.o.o. Karlovačka 203/A, 10250 Lučko</derivirana_varijabla>
  </DomainObject.Predmet.ProtustrankaWithAdress>
  <DomainObject.Predmet.ProtustrankaWithAdressOIB>
    <izvorni_sadrzaj>GORNJI GRAD d.o.o., OIB 49158686202, Karlovačka 203/A, 10250 Lučko</izvorni_sadrzaj>
    <derivirana_varijabla naziv="DomainObject.Predmet.ProtustrankaWithAdressOIB_1">GORNJI GRAD d.o.o., OIB 49158686202, Karlovačka 203/A, 10250 Lučko</derivirana_varijabla>
  </DomainObject.Predmet.ProtustrankaWithAdressOIB>
  <DomainObject.Predmet.ProtustrankaNazivFormated>
    <izvorni_sadrzaj>GORNJI GRAD d.o.o.</izvorni_sadrzaj>
    <derivirana_varijabla naziv="DomainObject.Predmet.ProtustrankaNazivFormated_1">GORNJI GRAD d.o.o.</derivirana_varijabla>
  </DomainObject.Predmet.ProtustrankaNazivFormated>
  <DomainObject.Predmet.ProtustrankaNazivFormatedOIB>
    <izvorni_sadrzaj>GORNJI GRAD d.o.o., OIB 49158686202</izvorni_sadrzaj>
    <derivirana_varijabla naziv="DomainObject.Predmet.ProtustrankaNazivFormatedOIB_1">GORNJI GRAD d.o.o., OIB 49158686202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GORNJI GRAD d.o.o.</izvorni_sadrzaj>
    <derivirana_varijabla naziv="DomainObject.Predmet.StrankaFormated_1">  GORNJI GRAD d.o.o.</derivirana_varijabla>
  </DomainObject.Predmet.StrankaFormated>
  <DomainObject.Predmet.StrankaFormatedOIB>
    <izvorni_sadrzaj>  GORNJI GRAD d.o.o., OIB 49158686202</izvorni_sadrzaj>
    <derivirana_varijabla naziv="DomainObject.Predmet.StrankaFormatedOIB_1">  GORNJI GRAD d.o.o., OIB 49158686202</derivirana_varijabla>
  </DomainObject.Predmet.StrankaFormatedOIB>
  <DomainObject.Predmet.StrankaFormatedWithAdress>
    <izvorni_sadrzaj> GORNJI GRAD d.o.o., Karlovačka 203/A, 10250 Lučko</izvorni_sadrzaj>
    <derivirana_varijabla naziv="DomainObject.Predmet.StrankaFormatedWithAdress_1"> GORNJI GRAD d.o.o., Karlovačka 203/A, 10250 Lučko</derivirana_varijabla>
  </DomainObject.Predmet.StrankaFormatedWithAdress>
  <DomainObject.Predmet.StrankaFormatedWithAdressOIB>
    <izvorni_sadrzaj> GORNJI GRAD d.o.o., OIB 49158686202, Karlovačka 203/A, 10250 Lučko</izvorni_sadrzaj>
    <derivirana_varijabla naziv="DomainObject.Predmet.StrankaFormatedWithAdressOIB_1"> GORNJI GRAD d.o.o., OIB 49158686202, Karlovačka 203/A, 10250 Lučko</derivirana_varijabla>
  </DomainObject.Predmet.StrankaFormatedWithAdressOIB>
  <DomainObject.Predmet.StrankaWithAdress>
    <izvorni_sadrzaj>GORNJI GRAD d.o.o. Karlovačka 203/A,10250 Lučko</izvorni_sadrzaj>
    <derivirana_varijabla naziv="DomainObject.Predmet.StrankaWithAdress_1">GORNJI GRAD d.o.o. Karlovačka 203/A,10250 Lučko</derivirana_varijabla>
  </DomainObject.Predmet.StrankaWithAdress>
  <DomainObject.Predmet.StrankaWithAdressOIB>
    <izvorni_sadrzaj>GORNJI GRAD d.o.o., OIB 49158686202, Karlovačka 203/A,10250 Lučko</izvorni_sadrzaj>
    <derivirana_varijabla naziv="DomainObject.Predmet.StrankaWithAdressOIB_1">GORNJI GRAD d.o.o., OIB 49158686202, Karlovačka 203/A,10250 Lučko</derivirana_varijabla>
  </DomainObject.Predmet.StrankaWithAdressOIB>
  <DomainObject.Predmet.StrankaNazivFormated>
    <izvorni_sadrzaj>GORNJI GRAD d.o.o.</izvorni_sadrzaj>
    <derivirana_varijabla naziv="DomainObject.Predmet.StrankaNazivFormated_1">GORNJI GRAD d.o.o.</derivirana_varijabla>
  </DomainObject.Predmet.StrankaNazivFormated>
  <DomainObject.Predmet.StrankaNazivFormatedOIB>
    <izvorni_sadrzaj>GORNJI GRAD d.o.o., OIB 49158686202</izvorni_sadrzaj>
    <derivirana_varijabla naziv="DomainObject.Predmet.StrankaNazivFormatedOIB_1">GORNJI GRAD d.o.o., OIB 49158686202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GORNJI GRAD d.o.o.</item>
    </izvorni_sadrzaj>
    <derivirana_varijabla naziv="DomainObject.Predmet.StrankaListFormated_1">
      <item>GORNJI GRAD d.o.o.</item>
    </derivirana_varijabla>
  </DomainObject.Predmet.StrankaListFormated>
  <DomainObject.Predmet.StrankaListFormatedOIB>
    <izvorni_sadrzaj>
      <item>GORNJI GRAD d.o.o., OIB 49158686202</item>
    </izvorni_sadrzaj>
    <derivirana_varijabla naziv="DomainObject.Predmet.StrankaListFormatedOIB_1">
      <item>GORNJI GRAD d.o.o., OIB 49158686202</item>
    </derivirana_varijabla>
  </DomainObject.Predmet.StrankaListFormatedOIB>
  <DomainObject.Predmet.StrankaListFormatedWithAdress>
    <izvorni_sadrzaj>
      <item>GORNJI GRAD d.o.o., Karlovačka 203/A, 10250 Lučko</item>
    </izvorni_sadrzaj>
    <derivirana_varijabla naziv="DomainObject.Predmet.StrankaListFormatedWithAdress_1">
      <item>GORNJI GRAD d.o.o., Karlovačka 203/A, 10250 Lučko</item>
    </derivirana_varijabla>
  </DomainObject.Predmet.StrankaListFormatedWithAdress>
  <DomainObject.Predmet.StrankaListFormatedWithAdressOIB>
    <izvorni_sadrzaj>
      <item>GORNJI GRAD d.o.o., OIB 49158686202, Karlovačka 203/A, 10250 Lučko</item>
    </izvorni_sadrzaj>
    <derivirana_varijabla naziv="DomainObject.Predmet.StrankaListFormatedWithAdressOIB_1">
      <item>GORNJI GRAD d.o.o., OIB 49158686202, Karlovačka 203/A, 10250 Lučko</item>
    </derivirana_varijabla>
  </DomainObject.Predmet.StrankaListFormatedWithAdressOIB>
  <DomainObject.Predmet.StrankaListNazivFormated>
    <izvorni_sadrzaj>
      <item>GORNJI GRAD d.o.o.</item>
    </izvorni_sadrzaj>
    <derivirana_varijabla naziv="DomainObject.Predmet.StrankaListNazivFormated_1">
      <item>GORNJI GRAD d.o.o.</item>
    </derivirana_varijabla>
  </DomainObject.Predmet.StrankaListNazivFormated>
  <DomainObject.Predmet.StrankaListNazivFormatedOIB>
    <izvorni_sadrzaj>
      <item>GORNJI GRAD d.o.o., OIB 49158686202</item>
    </izvorni_sadrzaj>
    <derivirana_varijabla naziv="DomainObject.Predmet.StrankaListNazivFormatedOIB_1">
      <item>GORNJI GRAD d.o.o., OIB 49158686202</item>
    </derivirana_varijabla>
  </DomainObject.Predmet.StrankaListNazivFormatedOIB>
  <DomainObject.Predmet.ProtuStrankaListFormated>
    <izvorni_sadrzaj>
      <item>GORNJI GRAD d.o.o. zastupanog po punomoćniku BRANKO SKERLEV-otkazana punomoć</item>
    </izvorni_sadrzaj>
    <derivirana_varijabla naziv="DomainObject.Predmet.ProtuStrankaListFormated_1">
      <item>GORNJI GRAD d.o.o. zastupanog po punomoćniku BRANKO SKERLEV-otkazana punomoć</item>
    </derivirana_varijabla>
  </DomainObject.Predmet.ProtuStrankaListFormated>
  <DomainObject.Predmet.ProtuStrankaListFormatedOIB>
    <izvorni_sadrzaj>
      <item>GORNJI GRAD d.o.o., OIB 49158686202 zastupanog po punomoćniku BRANKO SKERLEV-otkazana punomoć</item>
    </izvorni_sadrzaj>
    <derivirana_varijabla naziv="DomainObject.Predmet.ProtuStrankaListFormatedOIB_1">
      <item>GORNJI GRAD d.o.o., OIB 49158686202 zastupanog po punomoćniku BRANKO SKERLEV-otkazana punomoć</item>
    </derivirana_varijabla>
  </DomainObject.Predmet.ProtuStrankaListFormatedOIB>
  <DomainObject.Predmet.ProtuStrankaListFormatedWithAdress>
    <izvorni_sadrzaj>
      <item>GORNJI GRAD d.o.o., Karlovačka 203/A, 10250 Lučko zastupanog po punomoćniku BRANKO SKERLEV-otkazana punomoć</item>
    </izvorni_sadrzaj>
    <derivirana_varijabla naziv="DomainObject.Predmet.ProtuStrankaListFormatedWithAdress_1">
      <item>GORNJI GRAD d.o.o., Karlovačka 203/A, 10250 Lučko zastupanog po punomoćniku BRANKO SKERLEV-otkazana punomoć</item>
    </derivirana_varijabla>
  </DomainObject.Predmet.ProtuStrankaListFormatedWithAdress>
  <DomainObject.Predmet.ProtuStrankaListFormatedWithAdressOIB>
    <izvorni_sadrzaj>
      <item>GORNJI GRAD d.o.o., OIB 49158686202, Karlovačka 203/A, 10250 Lučko zastupanog po punomoćniku BRANKO SKERLEV-otkazana punomoć</item>
    </izvorni_sadrzaj>
    <derivirana_varijabla naziv="DomainObject.Predmet.ProtuStrankaListFormatedWithAdressOIB_1">
      <item>GORNJI GRAD d.o.o., OIB 49158686202, Karlovačka 203/A, 10250 Lučko zastupanog po punomoćniku BRANKO SKERLEV-otkazana punomoć</item>
    </derivirana_varijabla>
  </DomainObject.Predmet.ProtuStrankaListFormatedWithAdressOIB>
  <DomainObject.Predmet.ProtuStrankaListNazivFormated>
    <izvorni_sadrzaj>
      <item>GORNJI GRAD d.o.o.</item>
    </izvorni_sadrzaj>
    <derivirana_varijabla naziv="DomainObject.Predmet.ProtuStrankaListNazivFormated_1">
      <item>GORNJI GRAD d.o.o.</item>
    </derivirana_varijabla>
  </DomainObject.Predmet.ProtuStrankaListNazivFormated>
  <DomainObject.Predmet.ProtuStrankaListNazivFormatedOIB>
    <izvorni_sadrzaj>
      <item>GORNJI GRAD d.o.o., OIB 49158686202</item>
    </izvorni_sadrzaj>
    <derivirana_varijabla naziv="DomainObject.Predmet.ProtuStrankaListNazivFormatedOIB_1">
      <item>GORNJI GRAD d.o.o., OIB 49158686202</item>
    </derivirana_varijabla>
  </DomainObject.Predmet.ProtuStrankaListNazivFormatedOIB>
  <DomainObject.Predmet.OstaliListFormated>
    <izvorni_sadrzaj>
      <item>BRANKO SKERLEV-otkazana punomoć punomoćnik sudionika u postupku GORNJI GRAD d.o.o.</item>
    </izvorni_sadrzaj>
    <derivirana_varijabla naziv="DomainObject.Predmet.OstaliListFormated_1">
      <item>BRANKO SKERLEV-otkazana punomoć punomoćnik sudionika u postupku GORNJI GRAD d.o.o.</item>
    </derivirana_varijabla>
  </DomainObject.Predmet.OstaliListFormated>
  <DomainObject.Predmet.OstaliListFormatedOIB>
    <izvorni_sadrzaj>
      <item>BRANKO SKERLEV-otkazana punomoć, OIB 59571842584 punomoćnik sudionika u postupku GORNJI GRAD d.o.o.</item>
    </izvorni_sadrzaj>
    <derivirana_varijabla naziv="DomainObject.Predmet.OstaliListFormatedOIB_1">
      <item>BRANKO SKERLEV-otkazana punomoć, OIB 59571842584 punomoćnik sudionika u postupku GORNJI GRAD d.o.o.</item>
    </derivirana_varijabla>
  </DomainObject.Predmet.OstaliListFormatedOIB>
  <DomainObject.Predmet.OstaliListFormatedWithAdress>
    <izvorni_sadrzaj>
      <item>BRANKO SKERLEV-otkazana punomoć, RADNIČKA C.52, 10000 Zagreb punomoćnik sudionika u postupku GORNJI GRAD d.o.o.</item>
    </izvorni_sadrzaj>
    <derivirana_varijabla naziv="DomainObject.Predmet.OstaliListFormatedWithAdress_1">
      <item>BRANKO SKERLEV-otkazana punomoć, RADNIČKA C.52, 10000 Zagreb punomoćnik sudionika u postupku GORNJI GRAD d.o.o.</item>
    </derivirana_varijabla>
  </DomainObject.Predmet.OstaliListFormatedWithAdress>
  <DomainObject.Predmet.OstaliListFormatedWithAdressOIB>
    <izvorni_sadrzaj>
      <item>BRANKO SKERLEV-otkazana punomoć, OIB 59571842584, RADNIČKA C.52, 10000 Zagreb punomoćnik sudionika u postupku GORNJI GRAD d.o.o.</item>
    </izvorni_sadrzaj>
    <derivirana_varijabla naziv="DomainObject.Predmet.OstaliListFormatedWithAdressOIB_1">
      <item>BRANKO SKERLEV-otkazana punomoć, OIB 59571842584, RADNIČKA C.52, 10000 Zagreb punomoćnik sudionika u postupku GORNJI GRAD d.o.o.</item>
    </derivirana_varijabla>
  </DomainObject.Predmet.OstaliListFormatedWithAdressOIB>
  <DomainObject.Predmet.OstaliListNazivFormated>
    <izvorni_sadrzaj>
      <item>BRANKO SKERLEV-otkazana punomoć</item>
    </izvorni_sadrzaj>
    <derivirana_varijabla naziv="DomainObject.Predmet.OstaliListNazivFormated_1">
      <item>BRANKO SKERLEV-otkazana punomoć</item>
    </derivirana_varijabla>
  </DomainObject.Predmet.OstaliListNazivFormated>
  <DomainObject.Predmet.OstaliListNazivFormatedOIB>
    <izvorni_sadrzaj>
      <item>BRANKO SKERLEV-otkazana punomoć, OIB 59571842584</item>
    </izvorni_sadrzaj>
    <derivirana_varijabla naziv="DomainObject.Predmet.OstaliListNazivFormatedOIB_1">
      <item>BRANKO SKERLEV-otkazana punomoć, OIB 59571842584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GORNJI GRAD d.o.o.</izvorni_sadrzaj>
    <derivirana_varijabla naziv="DomainObject.Predmet.StrankaIDrugi_1">GORNJI GRAD d.o.o.</derivirana_varijabla>
  </DomainObject.Predmet.StrankaIDrugi>
  <DomainObject.Predmet.ProtustrankaIDrugi>
    <izvorni_sadrzaj>GORNJI GRAD d.o.o.</izvorni_sadrzaj>
    <derivirana_varijabla naziv="DomainObject.Predmet.ProtustrankaIDrugi_1">GORNJI GRAD d.o.o.</derivirana_varijabla>
  </DomainObject.Predmet.ProtustrankaIDrugi>
  <DomainObject.Predmet.StrankaIDrugiAdressOIB>
    <izvorni_sadrzaj>GORNJI GRAD d.o.o., OIB 49158686202, Karlovačka 203/A, 10250 Lučko</izvorni_sadrzaj>
    <derivirana_varijabla naziv="DomainObject.Predmet.StrankaIDrugiAdressOIB_1">GORNJI GRAD d.o.o., OIB 49158686202, Karlovačka 203/A, 10250 Lučko</derivirana_varijabla>
  </DomainObject.Predmet.StrankaIDrugiAdressOIB>
  <DomainObject.Predmet.ProtustrankaIDrugiAdressOIB>
    <izvorni_sadrzaj>GORNJI GRAD d.o.o., OIB 49158686202, Karlovačka 203/A, 10250 Lučko</izvorni_sadrzaj>
    <derivirana_varijabla naziv="DomainObject.Predmet.ProtustrankaIDrugiAdressOIB_1">GORNJI GRAD d.o.o., OIB 49158686202, Karlovačka 203/A,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GORNJI GRAD d.o.o.</item>
      <item>GORNJI GRAD d.o.o.</item>
      <item>BRANKO SKERLEV-otkazana punomoć</item>
    </izvorni_sadrzaj>
    <derivirana_varijabla naziv="DomainObject.Predmet.SudioniciListNaziv_1">
      <item>GORNJI GRAD d.o.o.</item>
      <item>GORNJI GRAD d.o.o.</item>
      <item>BRANKO SKERLEV-otkazana punomoć</item>
    </derivirana_varijabla>
  </DomainObject.Predmet.SudioniciListNaziv>
  <DomainObject.Predmet.SudioniciListAdressOIB>
    <izvorni_sadrzaj>
      <item>GORNJI GRAD d.o.o., OIB 49158686202, Karlovačka 203/A,10250 Lučko</item>
      <item>GORNJI GRAD d.o.o., OIB 49158686202, Karlovačka 203/A,10250 Lučko</item>
      <item>BRANKO SKERLEV-otkazana punomoć, OIB 59571842584, RADNIČKA C.52,10000 Zagreb</item>
    </izvorni_sadrzaj>
    <derivirana_varijabla naziv="DomainObject.Predmet.SudioniciListAdressOIB_1">
      <item>GORNJI GRAD d.o.o., OIB 49158686202, Karlovačka 203/A,10250 Lučko</item>
      <item>GORNJI GRAD d.o.o., OIB 49158686202, Karlovačka 203/A,10250 Lučko</item>
      <item>BRANKO SKERLEV-otkazana punomoć, OIB 59571842584, RADNIČKA C.52,10000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49158686202</item>
      <item>, OIB 49158686202</item>
      <item>, OIB 59571842584</item>
    </izvorni_sadrzaj>
    <derivirana_varijabla naziv="DomainObject.Predmet.SudioniciListNazivOIB_1">
      <item>, OIB 49158686202</item>
      <item>, OIB 49158686202</item>
      <item>, OIB 59571842584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2241</properties:Words>
  <properties:Characters>14215</properties:Characters>
  <properties:Lines>1099</properties:Lines>
  <properties:Paragraphs>819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2016-09-21T07:16:00Z</dcterms:created>
  <dc:creator>Sonja Pilić</dc:creator>
  <cp:lastModifiedBy>Sonja Pilić</cp:lastModifiedBy>
  <cp:lastPrinted>2016-09-21T07:38:00Z</cp:lastPrinted>
  <dcterms:modified xmlns:xsi="http://www.w3.org/2001/XMLSchema-instance" xsi:type="dcterms:W3CDTF">2016-09-21T07:43:00Z</dcterms:modified>
  <cp:revision>11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9</vt:i4>
  </prop:property>
</prop:Properties>
</file>