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33cf1" w14:paraId="6533cf1" w:rsidRDefault="00F51030" w:rsidP="00F51030" w:rsidR="00F51030" w:rsidRPr="00E53096">
      <w:pPr>
        <w15:collapsed w:val="false"/>
        <w:rPr>
          <w:sz w:val="24"/>
          <w:szCs w:val="24"/>
        </w:rPr>
      </w:pPr>
      <w:bookmarkStart w:name="_GoBack" w:id="0"/>
      <w:bookmarkEnd w:id="0"/>
      <w:r w:rsidRPr="00E53096">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E53096">
      <w:pPr>
        <w:rPr>
          <w:sz w:val="24"/>
          <w:szCs w:val="24"/>
        </w:rPr>
      </w:pPr>
      <w:r w:rsidRPr="00E53096">
        <w:rPr>
          <w:sz w:val="24"/>
          <w:szCs w:val="24"/>
        </w:rPr>
        <w:t>REPUBLIKA HRVATSKA</w:t>
      </w:r>
    </w:p>
    <w:p w:rsidRDefault="00F51030" w:rsidP="00F51030" w:rsidR="00F51030" w:rsidRPr="00E53096">
      <w:pPr>
        <w:rPr>
          <w:sz w:val="24"/>
          <w:szCs w:val="24"/>
        </w:rPr>
      </w:pPr>
      <w:r w:rsidRPr="00E53096">
        <w:rPr>
          <w:sz w:val="24"/>
          <w:szCs w:val="24"/>
        </w:rPr>
        <w:t>Trgovački sud u Zagrebu</w:t>
      </w:r>
    </w:p>
    <w:p w:rsidRDefault="00F51030" w:rsidP="00F51030" w:rsidR="00F51030" w:rsidRPr="00E53096">
      <w:pPr>
        <w:rPr>
          <w:sz w:val="24"/>
          <w:szCs w:val="24"/>
        </w:rPr>
      </w:pPr>
      <w:r w:rsidRPr="00E53096">
        <w:rPr>
          <w:sz w:val="24"/>
          <w:szCs w:val="24"/>
        </w:rPr>
        <w:t>Zagreb, Amruševa 2/II</w:t>
      </w:r>
      <w:r w:rsidRPr="00E53096">
        <w:rPr>
          <w:b/>
          <w:sz w:val="24"/>
          <w:szCs w:val="24"/>
        </w:rPr>
        <w:t xml:space="preserve">                                                                          </w:t>
      </w:r>
    </w:p>
    <w:p w:rsidRDefault="00F51030" w:rsidP="00F51030" w:rsidR="00F51030" w:rsidRPr="00E53096">
      <w:pPr>
        <w:jc w:val="right"/>
        <w:rPr>
          <w:sz w:val="24"/>
          <w:szCs w:val="24"/>
        </w:rPr>
      </w:pPr>
    </w:p>
    <w:p w:rsidRDefault="00E53096" w:rsidP="00F51030" w:rsidR="00E53096">
      <w:pPr>
        <w:jc w:val="center"/>
        <w:rPr>
          <w:sz w:val="24"/>
          <w:szCs w:val="24"/>
        </w:rPr>
      </w:pPr>
    </w:p>
    <w:p w:rsidRDefault="00A6649B" w:rsidP="00F51030" w:rsidR="00F51030" w:rsidRPr="00E53096">
      <w:pPr>
        <w:jc w:val="center"/>
        <w:rPr>
          <w:b/>
          <w:sz w:val="24"/>
          <w:szCs w:val="24"/>
        </w:rPr>
      </w:pPr>
      <w:r w:rsidRPr="00E53096">
        <w:rPr>
          <w:sz w:val="24"/>
          <w:szCs w:val="24"/>
        </w:rPr>
        <w:t xml:space="preserve">U  I M E  </w:t>
      </w:r>
      <w:r w:rsidR="00F51030" w:rsidRPr="00E53096">
        <w:rPr>
          <w:sz w:val="24"/>
          <w:szCs w:val="24"/>
        </w:rPr>
        <w:t>R</w:t>
      </w:r>
      <w:r w:rsidRPr="00E53096">
        <w:rPr>
          <w:sz w:val="24"/>
          <w:szCs w:val="24"/>
        </w:rPr>
        <w:t xml:space="preserve"> </w:t>
      </w:r>
      <w:r w:rsidR="00F51030" w:rsidRPr="00E53096">
        <w:rPr>
          <w:sz w:val="24"/>
          <w:szCs w:val="24"/>
        </w:rPr>
        <w:t>E</w:t>
      </w:r>
      <w:r w:rsidRPr="00E53096">
        <w:rPr>
          <w:sz w:val="24"/>
          <w:szCs w:val="24"/>
        </w:rPr>
        <w:t xml:space="preserve"> </w:t>
      </w:r>
      <w:r w:rsidR="00F51030" w:rsidRPr="00E53096">
        <w:rPr>
          <w:sz w:val="24"/>
          <w:szCs w:val="24"/>
        </w:rPr>
        <w:t>P</w:t>
      </w:r>
      <w:r w:rsidRPr="00E53096">
        <w:rPr>
          <w:sz w:val="24"/>
          <w:szCs w:val="24"/>
        </w:rPr>
        <w:t xml:space="preserve"> </w:t>
      </w:r>
      <w:r w:rsidR="00F51030" w:rsidRPr="00E53096">
        <w:rPr>
          <w:sz w:val="24"/>
          <w:szCs w:val="24"/>
        </w:rPr>
        <w:t>U</w:t>
      </w:r>
      <w:r w:rsidRPr="00E53096">
        <w:rPr>
          <w:sz w:val="24"/>
          <w:szCs w:val="24"/>
        </w:rPr>
        <w:t xml:space="preserve"> </w:t>
      </w:r>
      <w:r w:rsidR="00F51030" w:rsidRPr="00E53096">
        <w:rPr>
          <w:sz w:val="24"/>
          <w:szCs w:val="24"/>
        </w:rPr>
        <w:t>B</w:t>
      </w:r>
      <w:r w:rsidRPr="00E53096">
        <w:rPr>
          <w:sz w:val="24"/>
          <w:szCs w:val="24"/>
        </w:rPr>
        <w:t xml:space="preserve"> </w:t>
      </w:r>
      <w:r w:rsidR="00F51030" w:rsidRPr="00E53096">
        <w:rPr>
          <w:sz w:val="24"/>
          <w:szCs w:val="24"/>
        </w:rPr>
        <w:t>L</w:t>
      </w:r>
      <w:r w:rsidRPr="00E53096">
        <w:rPr>
          <w:sz w:val="24"/>
          <w:szCs w:val="24"/>
        </w:rPr>
        <w:t xml:space="preserve"> </w:t>
      </w:r>
      <w:r w:rsidR="00F51030" w:rsidRPr="00E53096">
        <w:rPr>
          <w:sz w:val="24"/>
          <w:szCs w:val="24"/>
        </w:rPr>
        <w:t>I</w:t>
      </w:r>
      <w:r w:rsidRPr="00E53096">
        <w:rPr>
          <w:sz w:val="24"/>
          <w:szCs w:val="24"/>
        </w:rPr>
        <w:t xml:space="preserve"> </w:t>
      </w:r>
      <w:r w:rsidR="00F51030" w:rsidRPr="00E53096">
        <w:rPr>
          <w:sz w:val="24"/>
          <w:szCs w:val="24"/>
        </w:rPr>
        <w:t>K</w:t>
      </w:r>
      <w:r w:rsidRPr="00E53096">
        <w:rPr>
          <w:sz w:val="24"/>
          <w:szCs w:val="24"/>
        </w:rPr>
        <w:t xml:space="preserve"> E</w:t>
      </w:r>
      <w:r w:rsidR="00F51030" w:rsidRPr="00E53096">
        <w:rPr>
          <w:sz w:val="24"/>
          <w:szCs w:val="24"/>
        </w:rPr>
        <w:t xml:space="preserve"> </w:t>
      </w:r>
      <w:r w:rsidRPr="00E53096">
        <w:rPr>
          <w:sz w:val="24"/>
          <w:szCs w:val="24"/>
        </w:rPr>
        <w:t xml:space="preserve"> </w:t>
      </w:r>
      <w:r w:rsidR="00F51030" w:rsidRPr="00E53096">
        <w:rPr>
          <w:sz w:val="24"/>
          <w:szCs w:val="24"/>
        </w:rPr>
        <w:t>H</w:t>
      </w:r>
      <w:r w:rsidRPr="00E53096">
        <w:rPr>
          <w:sz w:val="24"/>
          <w:szCs w:val="24"/>
        </w:rPr>
        <w:t xml:space="preserve"> </w:t>
      </w:r>
      <w:r w:rsidR="00F51030" w:rsidRPr="00E53096">
        <w:rPr>
          <w:sz w:val="24"/>
          <w:szCs w:val="24"/>
        </w:rPr>
        <w:t>R</w:t>
      </w:r>
      <w:r w:rsidRPr="00E53096">
        <w:rPr>
          <w:sz w:val="24"/>
          <w:szCs w:val="24"/>
        </w:rPr>
        <w:t xml:space="preserve"> </w:t>
      </w:r>
      <w:r w:rsidR="00F51030" w:rsidRPr="00E53096">
        <w:rPr>
          <w:sz w:val="24"/>
          <w:szCs w:val="24"/>
        </w:rPr>
        <w:t>V</w:t>
      </w:r>
      <w:r w:rsidRPr="00E53096">
        <w:rPr>
          <w:sz w:val="24"/>
          <w:szCs w:val="24"/>
        </w:rPr>
        <w:t xml:space="preserve"> </w:t>
      </w:r>
      <w:r w:rsidR="00F51030" w:rsidRPr="00E53096">
        <w:rPr>
          <w:sz w:val="24"/>
          <w:szCs w:val="24"/>
        </w:rPr>
        <w:t>A</w:t>
      </w:r>
      <w:r w:rsidRPr="00E53096">
        <w:rPr>
          <w:sz w:val="24"/>
          <w:szCs w:val="24"/>
        </w:rPr>
        <w:t xml:space="preserve"> </w:t>
      </w:r>
      <w:r w:rsidR="00F51030" w:rsidRPr="00E53096">
        <w:rPr>
          <w:sz w:val="24"/>
          <w:szCs w:val="24"/>
        </w:rPr>
        <w:t>T</w:t>
      </w:r>
      <w:r w:rsidRPr="00E53096">
        <w:rPr>
          <w:sz w:val="24"/>
          <w:szCs w:val="24"/>
        </w:rPr>
        <w:t xml:space="preserve"> </w:t>
      </w:r>
      <w:r w:rsidR="00F51030" w:rsidRPr="00E53096">
        <w:rPr>
          <w:sz w:val="24"/>
          <w:szCs w:val="24"/>
        </w:rPr>
        <w:t>S</w:t>
      </w:r>
      <w:r w:rsidRPr="00E53096">
        <w:rPr>
          <w:sz w:val="24"/>
          <w:szCs w:val="24"/>
        </w:rPr>
        <w:t xml:space="preserve"> </w:t>
      </w:r>
      <w:r w:rsidR="00F51030" w:rsidRPr="00E53096">
        <w:rPr>
          <w:sz w:val="24"/>
          <w:szCs w:val="24"/>
        </w:rPr>
        <w:t>K</w:t>
      </w:r>
      <w:r w:rsidRPr="00E53096">
        <w:rPr>
          <w:sz w:val="24"/>
          <w:szCs w:val="24"/>
        </w:rPr>
        <w:t xml:space="preserve"> E</w:t>
      </w:r>
    </w:p>
    <w:p w:rsidRDefault="00F51030" w:rsidP="00F51030" w:rsidR="00F51030" w:rsidRPr="00E53096">
      <w:pPr>
        <w:jc w:val="center"/>
        <w:rPr>
          <w:sz w:val="24"/>
          <w:szCs w:val="24"/>
        </w:rPr>
      </w:pPr>
      <w:r w:rsidRPr="00E53096">
        <w:rPr>
          <w:sz w:val="24"/>
          <w:szCs w:val="24"/>
        </w:rPr>
        <w:t>R J E Š E NJ E</w:t>
      </w:r>
    </w:p>
    <w:p w:rsidRDefault="00CC1FE2" w:rsidP="00CC1FE2" w:rsidR="00CC1FE2" w:rsidRPr="00E53096">
      <w:pPr>
        <w:jc w:val="both"/>
        <w:rPr>
          <w:sz w:val="24"/>
          <w:szCs w:val="24"/>
        </w:rPr>
      </w:pPr>
    </w:p>
    <w:p w:rsidRDefault="00026813" w:rsidP="003B498D" w:rsidR="003B498D" w:rsidRPr="00E53096">
      <w:pPr>
        <w:jc w:val="both"/>
        <w:rPr>
          <w:sz w:val="24"/>
          <w:szCs w:val="24"/>
        </w:rPr>
      </w:pPr>
      <w:r w:rsidRPr="00E53096">
        <w:rPr>
          <w:sz w:val="24"/>
          <w:szCs w:val="24"/>
        </w:rPr>
        <w:tab/>
      </w:r>
      <w:r w:rsidR="009E2202" w:rsidRPr="00E53096">
        <w:rPr>
          <w:sz w:val="24"/>
          <w:szCs w:val="24"/>
        </w:rPr>
        <w:t>Trgovački sud u Zagrebu, po sucu Nikoli Ribariću, u stečajnom predmetu u povodu zahtjeva FI</w:t>
      </w:r>
      <w:r w:rsidR="00E53096">
        <w:rPr>
          <w:sz w:val="24"/>
          <w:szCs w:val="24"/>
        </w:rPr>
        <w:t xml:space="preserve">NANCIJSKE AGENCIJE, za provedbu </w:t>
      </w:r>
      <w:r w:rsidR="009E2202" w:rsidRPr="00E53096">
        <w:rPr>
          <w:sz w:val="24"/>
          <w:szCs w:val="24"/>
        </w:rPr>
        <w:t xml:space="preserve">stečajnog postupka nad dužnikom SOFTPRO TETRAL d.o.o., Zagreb, Božidarevićeva 13,  OIB:  52805661170, </w:t>
      </w:r>
      <w:r w:rsidR="003B498D" w:rsidRPr="00E53096">
        <w:rPr>
          <w:sz w:val="24"/>
          <w:szCs w:val="24"/>
        </w:rPr>
        <w:t>dana 28. veljače 2019. godine</w:t>
      </w:r>
    </w:p>
    <w:p w:rsidRDefault="003B498D" w:rsidP="003B498D" w:rsidR="003B498D" w:rsidRPr="00E53096">
      <w:pPr>
        <w:jc w:val="both"/>
        <w:rPr>
          <w:sz w:val="24"/>
          <w:szCs w:val="24"/>
        </w:rPr>
      </w:pPr>
    </w:p>
    <w:p w:rsidRDefault="001C364D" w:rsidP="003B498D" w:rsidR="001C364D" w:rsidRPr="00E53096">
      <w:pPr>
        <w:jc w:val="center"/>
        <w:rPr>
          <w:sz w:val="24"/>
          <w:szCs w:val="24"/>
        </w:rPr>
      </w:pPr>
      <w:r w:rsidRPr="00E53096">
        <w:rPr>
          <w:sz w:val="24"/>
          <w:szCs w:val="24"/>
        </w:rPr>
        <w:t>r i j e š i o     j e</w:t>
      </w:r>
    </w:p>
    <w:p w:rsidRDefault="001C364D" w:rsidP="001C364D" w:rsidR="001C364D" w:rsidRPr="00E53096">
      <w:pPr>
        <w:rPr>
          <w:sz w:val="24"/>
          <w:szCs w:val="24"/>
        </w:rPr>
      </w:pPr>
      <w:r w:rsidRPr="00E53096">
        <w:rPr>
          <w:sz w:val="24"/>
          <w:szCs w:val="24"/>
        </w:rPr>
        <w:t xml:space="preserve"> </w:t>
      </w:r>
    </w:p>
    <w:p w:rsidRDefault="001C364D" w:rsidP="00D84076" w:rsidR="001C364D" w:rsidRPr="00E53096">
      <w:pPr>
        <w:jc w:val="both"/>
        <w:rPr>
          <w:sz w:val="24"/>
          <w:szCs w:val="24"/>
        </w:rPr>
      </w:pPr>
      <w:r w:rsidRPr="00E53096">
        <w:rPr>
          <w:sz w:val="24"/>
          <w:szCs w:val="24"/>
        </w:rPr>
        <w:t xml:space="preserve">I. Otvara se stečajni postupak nad </w:t>
      </w:r>
      <w:r w:rsidR="00ED0766" w:rsidRPr="00E53096">
        <w:rPr>
          <w:sz w:val="24"/>
          <w:szCs w:val="24"/>
          <w:lang w:val="pt-BR"/>
        </w:rPr>
        <w:t>dužnik</w:t>
      </w:r>
      <w:r w:rsidR="0075306B" w:rsidRPr="00E53096">
        <w:rPr>
          <w:sz w:val="24"/>
          <w:szCs w:val="24"/>
          <w:lang w:val="pt-BR"/>
        </w:rPr>
        <w:t>om</w:t>
      </w:r>
      <w:r w:rsidR="00ED0766" w:rsidRPr="00E53096">
        <w:rPr>
          <w:sz w:val="24"/>
          <w:szCs w:val="24"/>
          <w:lang w:val="pt-BR"/>
        </w:rPr>
        <w:t xml:space="preserve"> </w:t>
      </w:r>
      <w:r w:rsidR="009E2202" w:rsidRPr="00E53096">
        <w:rPr>
          <w:sz w:val="24"/>
          <w:szCs w:val="24"/>
        </w:rPr>
        <w:t>SOFTPRO TETRAL d.o.o., Zagreb, Božidarevićeva 13,  OIB:  52805661170</w:t>
      </w:r>
      <w:r w:rsidRPr="00E53096">
        <w:rPr>
          <w:sz w:val="24"/>
          <w:szCs w:val="24"/>
        </w:rPr>
        <w:t>. Oglas o otvaranju stečajnog postupka nad dužnikom istaknut je na</w:t>
      </w:r>
      <w:r w:rsidR="00D30A36" w:rsidRPr="00E53096">
        <w:rPr>
          <w:sz w:val="24"/>
          <w:szCs w:val="24"/>
        </w:rPr>
        <w:t xml:space="preserve"> </w:t>
      </w:r>
      <w:r w:rsidR="00ED0766" w:rsidRPr="00E53096">
        <w:rPr>
          <w:sz w:val="24"/>
          <w:szCs w:val="24"/>
        </w:rPr>
        <w:t xml:space="preserve">mrežnoj stranici </w:t>
      </w:r>
      <w:r w:rsidR="00D30A36" w:rsidRPr="00E53096">
        <w:rPr>
          <w:sz w:val="24"/>
          <w:szCs w:val="24"/>
        </w:rPr>
        <w:t>E - O</w:t>
      </w:r>
      <w:r w:rsidRPr="00E53096">
        <w:rPr>
          <w:sz w:val="24"/>
          <w:szCs w:val="24"/>
        </w:rPr>
        <w:t>glasn</w:t>
      </w:r>
      <w:r w:rsidR="003F0E50" w:rsidRPr="00E53096">
        <w:rPr>
          <w:sz w:val="24"/>
          <w:szCs w:val="24"/>
        </w:rPr>
        <w:t>a</w:t>
      </w:r>
      <w:r w:rsidRPr="00E53096">
        <w:rPr>
          <w:sz w:val="24"/>
          <w:szCs w:val="24"/>
        </w:rPr>
        <w:t xml:space="preserve"> ploč</w:t>
      </w:r>
      <w:r w:rsidR="003F0E50" w:rsidRPr="00E53096">
        <w:rPr>
          <w:sz w:val="24"/>
          <w:szCs w:val="24"/>
        </w:rPr>
        <w:t>a</w:t>
      </w:r>
      <w:r w:rsidRPr="00E53096">
        <w:rPr>
          <w:sz w:val="24"/>
          <w:szCs w:val="24"/>
        </w:rPr>
        <w:t xml:space="preserve"> </w:t>
      </w:r>
      <w:r w:rsidR="0012073F" w:rsidRPr="00E53096">
        <w:rPr>
          <w:sz w:val="24"/>
          <w:szCs w:val="24"/>
        </w:rPr>
        <w:t xml:space="preserve">Trgovačkog suda u Zagrebu dana </w:t>
      </w:r>
      <w:r w:rsidR="003B498D" w:rsidRPr="00E53096">
        <w:rPr>
          <w:sz w:val="24"/>
          <w:szCs w:val="24"/>
        </w:rPr>
        <w:t>2</w:t>
      </w:r>
      <w:r w:rsidR="004E41B4" w:rsidRPr="00E53096">
        <w:rPr>
          <w:sz w:val="24"/>
          <w:szCs w:val="24"/>
        </w:rPr>
        <w:t>8</w:t>
      </w:r>
      <w:r w:rsidRPr="00E53096">
        <w:rPr>
          <w:sz w:val="24"/>
          <w:szCs w:val="24"/>
        </w:rPr>
        <w:t>.</w:t>
      </w:r>
      <w:r w:rsidR="003B498D" w:rsidRPr="00E53096">
        <w:rPr>
          <w:sz w:val="24"/>
          <w:szCs w:val="24"/>
        </w:rPr>
        <w:t xml:space="preserve"> veljače</w:t>
      </w:r>
      <w:r w:rsidR="003F0E50" w:rsidRPr="00E53096">
        <w:rPr>
          <w:sz w:val="24"/>
          <w:szCs w:val="24"/>
        </w:rPr>
        <w:t xml:space="preserve"> </w:t>
      </w:r>
      <w:r w:rsidRPr="00E53096">
        <w:rPr>
          <w:sz w:val="24"/>
          <w:szCs w:val="24"/>
        </w:rPr>
        <w:t>201</w:t>
      </w:r>
      <w:r w:rsidR="003B498D" w:rsidRPr="00E53096">
        <w:rPr>
          <w:sz w:val="24"/>
          <w:szCs w:val="24"/>
        </w:rPr>
        <w:t>9</w:t>
      </w:r>
      <w:r w:rsidR="00F51030" w:rsidRPr="00E53096">
        <w:rPr>
          <w:sz w:val="24"/>
          <w:szCs w:val="24"/>
        </w:rPr>
        <w:t>. u 1</w:t>
      </w:r>
      <w:r w:rsidR="008C72D1" w:rsidRPr="00E53096">
        <w:rPr>
          <w:sz w:val="24"/>
          <w:szCs w:val="24"/>
        </w:rPr>
        <w:t>6</w:t>
      </w:r>
      <w:r w:rsidRPr="00E53096">
        <w:rPr>
          <w:sz w:val="24"/>
          <w:szCs w:val="24"/>
        </w:rPr>
        <w:t>.00 sati.</w:t>
      </w:r>
    </w:p>
    <w:p w:rsidRDefault="004728DE" w:rsidP="00796DFE" w:rsidR="00796DFE" w:rsidRPr="00E53096">
      <w:pPr>
        <w:jc w:val="both"/>
        <w:rPr>
          <w:sz w:val="24"/>
          <w:szCs w:val="24"/>
        </w:rPr>
      </w:pPr>
      <w:r w:rsidRPr="00E53096">
        <w:rPr>
          <w:sz w:val="24"/>
          <w:szCs w:val="24"/>
        </w:rPr>
        <w:t xml:space="preserve">II. Za stečajnog upravitelja imenuje se </w:t>
      </w:r>
      <w:r w:rsidR="00796DFE" w:rsidRPr="00E53096">
        <w:rPr>
          <w:sz w:val="24"/>
          <w:szCs w:val="24"/>
        </w:rPr>
        <w:t>Boltužić Ivica, OIŽB: 24281705494, Jordanovac 113, Zagreb.</w:t>
      </w:r>
    </w:p>
    <w:p w:rsidRDefault="001C364D" w:rsidP="00796DFE" w:rsidR="00743790" w:rsidRPr="00E53096">
      <w:pPr>
        <w:jc w:val="both"/>
        <w:rPr>
          <w:sz w:val="24"/>
          <w:szCs w:val="24"/>
          <w:lang w:val="pt-BR"/>
        </w:rPr>
      </w:pPr>
      <w:r w:rsidRPr="00E53096">
        <w:rPr>
          <w:sz w:val="24"/>
          <w:szCs w:val="24"/>
        </w:rPr>
        <w:t>III. Zaključuje s</w:t>
      </w:r>
      <w:r w:rsidR="00A6649B" w:rsidRPr="00E53096">
        <w:rPr>
          <w:sz w:val="24"/>
          <w:szCs w:val="24"/>
        </w:rPr>
        <w:t xml:space="preserve">e stečajni postupak </w:t>
      </w:r>
      <w:r w:rsidR="00ED0766" w:rsidRPr="00E53096">
        <w:rPr>
          <w:sz w:val="24"/>
          <w:szCs w:val="24"/>
          <w:lang w:val="pt-BR"/>
        </w:rPr>
        <w:t xml:space="preserve">nad </w:t>
      </w:r>
      <w:r w:rsidR="0075306B" w:rsidRPr="00E53096">
        <w:rPr>
          <w:sz w:val="24"/>
          <w:szCs w:val="24"/>
          <w:lang w:val="pt-BR"/>
        </w:rPr>
        <w:t>dužnikom</w:t>
      </w:r>
      <w:r w:rsidR="00ED0766" w:rsidRPr="00E53096">
        <w:rPr>
          <w:sz w:val="24"/>
          <w:szCs w:val="24"/>
          <w:lang w:val="pt-BR"/>
        </w:rPr>
        <w:t xml:space="preserve"> </w:t>
      </w:r>
      <w:r w:rsidR="009E2202" w:rsidRPr="00E53096">
        <w:rPr>
          <w:sz w:val="24"/>
          <w:szCs w:val="24"/>
        </w:rPr>
        <w:t>SOFTPRO TETRAL d.o.o., Zagreb, Božidarevićeva 13,  OIB:  52805661170</w:t>
      </w:r>
      <w:r w:rsidR="00743790" w:rsidRPr="00E53096">
        <w:rPr>
          <w:sz w:val="24"/>
          <w:szCs w:val="24"/>
          <w:lang w:val="pt-BR"/>
        </w:rPr>
        <w:t>.</w:t>
      </w:r>
    </w:p>
    <w:p w:rsidRDefault="001C364D" w:rsidP="00743790" w:rsidR="001C364D" w:rsidRPr="00E53096">
      <w:pPr>
        <w:jc w:val="both"/>
        <w:rPr>
          <w:sz w:val="24"/>
          <w:szCs w:val="24"/>
        </w:rPr>
      </w:pPr>
      <w:r w:rsidRPr="00E53096">
        <w:rPr>
          <w:sz w:val="24"/>
          <w:szCs w:val="24"/>
        </w:rPr>
        <w:t>IV. Nastali troškovi podmirit će se iz Fonda za pokriće troškova stečajnog postupka</w:t>
      </w:r>
      <w:r w:rsidR="00234926" w:rsidRPr="00E53096">
        <w:rPr>
          <w:sz w:val="24"/>
          <w:szCs w:val="24"/>
        </w:rPr>
        <w:t>, a</w:t>
      </w:r>
      <w:r w:rsidRPr="00E53096">
        <w:rPr>
          <w:sz w:val="24"/>
          <w:szCs w:val="24"/>
        </w:rPr>
        <w:t xml:space="preserve"> koji se ne mogu namiriti iz imovine dužnika.</w:t>
      </w:r>
    </w:p>
    <w:p w:rsidRDefault="00081CB7" w:rsidP="001C364D" w:rsidR="001C364D" w:rsidRPr="00E53096">
      <w:pPr>
        <w:rPr>
          <w:sz w:val="24"/>
          <w:szCs w:val="24"/>
        </w:rPr>
      </w:pPr>
      <w:r w:rsidRPr="00E53096">
        <w:rPr>
          <w:sz w:val="24"/>
          <w:szCs w:val="24"/>
        </w:rPr>
        <w:t xml:space="preserve">V. Ovo rješenje objavljuje se na mrežnim stranicama E-Oglasna ploča </w:t>
      </w:r>
      <w:r w:rsidR="001C364D" w:rsidRPr="00E53096">
        <w:rPr>
          <w:sz w:val="24"/>
          <w:szCs w:val="24"/>
        </w:rPr>
        <w:t>i dostavlja sudskom registru ovog suda radi brisanja dužnika iz registra.</w:t>
      </w:r>
    </w:p>
    <w:p w:rsidRDefault="00081CB7" w:rsidP="001C364D" w:rsidR="00081CB7" w:rsidRPr="00E53096">
      <w:pPr>
        <w:rPr>
          <w:sz w:val="24"/>
          <w:szCs w:val="24"/>
        </w:rPr>
      </w:pPr>
    </w:p>
    <w:p w:rsidRDefault="001C364D" w:rsidP="006A32FF" w:rsidR="001C364D" w:rsidRPr="00E53096">
      <w:pPr>
        <w:ind w:firstLine="708" w:left="3540"/>
        <w:rPr>
          <w:sz w:val="24"/>
          <w:szCs w:val="24"/>
        </w:rPr>
      </w:pPr>
      <w:r w:rsidRPr="00E53096">
        <w:rPr>
          <w:sz w:val="24"/>
          <w:szCs w:val="24"/>
        </w:rPr>
        <w:t>Obrazloženje</w:t>
      </w:r>
    </w:p>
    <w:p w:rsidRDefault="004728DE" w:rsidP="001C364D" w:rsidR="004728DE" w:rsidRPr="00E53096">
      <w:pPr>
        <w:rPr>
          <w:sz w:val="24"/>
          <w:szCs w:val="24"/>
        </w:rPr>
      </w:pPr>
    </w:p>
    <w:p w:rsidRDefault="009E2202" w:rsidP="009E2202" w:rsidR="009E2202" w:rsidRPr="00E53096">
      <w:pPr>
        <w:overflowPunct w:val="false"/>
        <w:ind w:firstLine="708"/>
        <w:jc w:val="both"/>
        <w:rPr>
          <w:sz w:val="24"/>
          <w:szCs w:val="24"/>
        </w:rPr>
      </w:pPr>
      <w:r w:rsidRPr="00E53096">
        <w:rPr>
          <w:sz w:val="24"/>
          <w:szCs w:val="24"/>
        </w:rPr>
        <w:t>Nad uvodno navedenom pravnom osobom Financijska agencija je ovom sudu podnijela zahtjev za provedbu skraćenog stečajnog postupka.</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Zahtjev je podnesen temeljem odredbe članka 429. stavak 1. Stečajnog zakona (Narodne novine broj 71/15, dalje: SZ).</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1416 dana te da ukupni iznos duga evidentiranog na temelju neizvršenih osnova za plaćanje iznosi 3.048.481,39 kuna na dan 1. rujna 2015.</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 xml:space="preserve">Oglasom od 28. prosinca 2016. godine pozvan je zakonski zastupnik dostaviti javnobilježnički ovjerovljeni popis imovine i obaveza, te su pozvani vjerovnici dužnika da u </w:t>
      </w:r>
      <w:r w:rsidRPr="00E53096">
        <w:rPr>
          <w:sz w:val="24"/>
          <w:szCs w:val="24"/>
        </w:rPr>
        <w:lastRenderedPageBreak/>
        <w:t>roku od 45 dana od dana objave oglasa na mrežnoj stranici E oglasna ploča predlože otvaranje stečajnog postupka nad dužnikom.</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Dana 16. siječnja 2017. dužnik je dostavio popis imovine i obveza dužnika. Iz popisa imovine dužnika vidljivo je kako dužnik ima imovinu u vidu slika vrijednosti 800,00 kuna i robe na skladištu prema specifikaciji u prilogu u vrijednosti 63.866,43 kuna.</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 xml:space="preserve"> 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E53096">
        <w:rPr>
          <w:sz w:val="24"/>
          <w:szCs w:val="24"/>
        </w:rPr>
        <w:tab/>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S obzirom na to da iz podneska dužnika od 16. siječnja 2017. godine proizlazi kako dužnik ima imovinu  (u vidu slika vrijednosti 800,00 kuna i robe na skladištu prema specifikaciji u prilogu u vrijednosti 63.866,43 kuna) sud je Rješenjem od 24. srpnja 2018. obustavio skraćeni stečajni postupak nad dužnikom.</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 xml:space="preserve">Rješenje od 24. srpnja 2018. godine postalo je pravomoćno dana 29. rujna 2018. </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 xml:space="preserve">Imajući u vidu činjenicu da je Financija agencija u zahtjevu za provedbu skraćenog stečajnog postupka, koji se vodio pod poslovnim brojem St-4726/2015, navela da je dužnik na dan 1. rujna 2015. u Očevidniku redoslijeda osnova za plaćanje imao evidentirane neizvršene osnove za plaćanje u neprekinutom razdoblju duljem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Rješenjem od 6. prosinca 2018. pokrenut je prethodni postupak, te je određeno ročište radi izjašnjenja o prijedlogu za otvaranje stečajnog postupka.</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Na ročište radi očitovanja o prijedlogu za otvaranjem stečajnog postupka dana 23. siječnja 2017. godine pristupio je zastupnik po zakonu dužnika koji se nije protivio prijedlogu. Pročitan je podnesak FINE od 07.12.2018. god. iz kojega je vidljivo kako račun na dan 07.12.2018. blokiran 2608 dana.</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lastRenderedPageBreak/>
        <w:t>Ročište radi rasprave o pretpostavkama za otvaranje stečajnog postupka održano je 23. siječnja 2019. godine. Na ročištu je utvrđeno kako je dužnik predao podnesak 17.01.2019. godine. Zastupnik po zakonu u cijelosti ostaje kod podneska od 17.1.2019. te navodi kako imovina u vidu slike vrijednosti 800,00 kn i robe na skladištu u vrijednosti 63.866,43 kn više ne postoji, obzirom da se radi o stvarima koje su davno rashodovane te više ne služe svrsi stoga je dužnik isto rashodovao, a za što je u spis dostavljena i odluka. U pogledu potraživanja prema Ministarstva regionalnog razvoja u iznosu 781.837,20 kn isto je naplaćeno, međutim račun je i dalje ostao u blokadi. Slijedom navedenog, dužnik imovine nema iz koje bi se mogao podmiriti trošak stečajnog postupka.</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Slijedom navedenoga sud je ut</w:t>
      </w:r>
      <w:r w:rsidR="00326FDD">
        <w:rPr>
          <w:sz w:val="24"/>
          <w:szCs w:val="24"/>
        </w:rPr>
        <w:t>v</w:t>
      </w:r>
      <w:r w:rsidRPr="00E53096">
        <w:rPr>
          <w:sz w:val="24"/>
          <w:szCs w:val="24"/>
        </w:rPr>
        <w:t>rdio kako predloženi stečajni dužnik nema imovine odnosno imovina nije dostatna za pokriće troškova stečajnog postupka.</w:t>
      </w:r>
    </w:p>
    <w:p w:rsidRDefault="009E2202" w:rsidP="009E2202" w:rsidR="009E2202" w:rsidRPr="00E53096">
      <w:pPr>
        <w:overflowPunct w:val="false"/>
        <w:ind w:firstLine="708"/>
        <w:jc w:val="both"/>
        <w:rPr>
          <w:sz w:val="24"/>
          <w:szCs w:val="24"/>
        </w:rPr>
      </w:pPr>
    </w:p>
    <w:p w:rsidRDefault="009E2202" w:rsidP="009E2202" w:rsidR="009E2202" w:rsidRPr="00E53096">
      <w:pPr>
        <w:overflowPunct w:val="false"/>
        <w:ind w:firstLine="708"/>
        <w:jc w:val="both"/>
        <w:rPr>
          <w:sz w:val="24"/>
          <w:szCs w:val="24"/>
        </w:rPr>
      </w:pPr>
      <w:r w:rsidRPr="00E53096">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E2202" w:rsidP="009E2202" w:rsidR="009E2202" w:rsidRPr="00E53096">
      <w:pPr>
        <w:overflowPunct w:val="false"/>
        <w:ind w:firstLine="708"/>
        <w:jc w:val="both"/>
        <w:rPr>
          <w:sz w:val="24"/>
          <w:szCs w:val="24"/>
        </w:rPr>
      </w:pPr>
    </w:p>
    <w:p w:rsidRDefault="009E2202" w:rsidP="009E2202" w:rsidR="003B498D" w:rsidRPr="00E53096">
      <w:pPr>
        <w:overflowPunct w:val="false"/>
        <w:ind w:firstLine="708"/>
        <w:jc w:val="both"/>
        <w:rPr>
          <w:sz w:val="24"/>
          <w:szCs w:val="24"/>
        </w:rPr>
      </w:pPr>
      <w:r w:rsidRPr="00E53096">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9E2202" w:rsidP="003B498D" w:rsidR="009E2202" w:rsidRPr="00E53096">
      <w:pPr>
        <w:overflowPunct w:val="false"/>
        <w:ind w:firstLine="708"/>
        <w:jc w:val="both"/>
        <w:rPr>
          <w:sz w:val="24"/>
          <w:szCs w:val="24"/>
        </w:rPr>
      </w:pPr>
    </w:p>
    <w:p w:rsidRDefault="004D2B70" w:rsidP="003B498D" w:rsidR="004D2B70" w:rsidRPr="00E53096">
      <w:pPr>
        <w:overflowPunct w:val="false"/>
        <w:ind w:firstLine="708"/>
        <w:jc w:val="both"/>
        <w:rPr>
          <w:sz w:val="24"/>
          <w:szCs w:val="24"/>
        </w:rPr>
      </w:pPr>
      <w:r w:rsidRPr="00E53096">
        <w:rPr>
          <w:sz w:val="24"/>
          <w:szCs w:val="24"/>
        </w:rPr>
        <w:t>Stečajni upravitelj imenovan je metodom slučajnog odabira s liste A stečajnih upravitelja kako to propisuje odredba čl. 84. st. 1. SZ-a.</w:t>
      </w:r>
    </w:p>
    <w:p w:rsidRDefault="00156302" w:rsidP="006A5593" w:rsidR="00156302" w:rsidRPr="00E53096">
      <w:pPr>
        <w:ind w:firstLine="709"/>
        <w:jc w:val="both"/>
        <w:rPr>
          <w:sz w:val="24"/>
          <w:szCs w:val="24"/>
        </w:rPr>
      </w:pPr>
    </w:p>
    <w:p w:rsidRDefault="002D62CE" w:rsidP="002D62CE" w:rsidR="002D62CE" w:rsidRPr="00E53096">
      <w:pPr>
        <w:ind w:firstLine="708"/>
        <w:jc w:val="both"/>
        <w:rPr>
          <w:sz w:val="24"/>
          <w:szCs w:val="24"/>
        </w:rPr>
      </w:pPr>
      <w:r w:rsidRPr="00E53096">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E53096">
      <w:pPr>
        <w:pStyle w:val="Tijeloteksta"/>
        <w:ind w:left="2832"/>
        <w:jc w:val="center"/>
      </w:pPr>
    </w:p>
    <w:p w:rsidRDefault="00F51030" w:rsidP="00556D2E" w:rsidR="00663464" w:rsidRPr="00E53096">
      <w:pPr>
        <w:pStyle w:val="Tijeloteksta"/>
        <w:ind w:left="2832"/>
        <w:jc w:val="center"/>
      </w:pPr>
      <w:r w:rsidRPr="00E53096">
        <w:t xml:space="preserve">U Zagrebu, </w:t>
      </w:r>
      <w:r w:rsidR="00A6587C" w:rsidRPr="00E53096">
        <w:t>2</w:t>
      </w:r>
      <w:r w:rsidR="004E41B4" w:rsidRPr="00E53096">
        <w:t>8</w:t>
      </w:r>
      <w:r w:rsidR="006D0780" w:rsidRPr="00E53096">
        <w:t>.</w:t>
      </w:r>
      <w:r w:rsidR="00A6587C" w:rsidRPr="00E53096">
        <w:t xml:space="preserve"> veljače</w:t>
      </w:r>
      <w:r w:rsidR="006D0780" w:rsidRPr="00E53096">
        <w:t xml:space="preserve"> 201</w:t>
      </w:r>
      <w:r w:rsidR="00A6587C" w:rsidRPr="00E53096">
        <w:t>9</w:t>
      </w:r>
      <w:r w:rsidR="006D0780" w:rsidRPr="00E53096">
        <w:t>. godine</w:t>
      </w:r>
      <w:r w:rsidR="001C364D" w:rsidRPr="00E53096">
        <w:t xml:space="preserve">          </w:t>
      </w:r>
      <w:r w:rsidR="0012073F" w:rsidRPr="00E53096">
        <w:tab/>
      </w:r>
      <w:r w:rsidR="0058449E" w:rsidRPr="00E53096">
        <w:tab/>
      </w:r>
      <w:r w:rsidR="0058449E" w:rsidRPr="00E53096">
        <w:tab/>
      </w:r>
      <w:r w:rsidR="0012073F" w:rsidRPr="00E53096">
        <w:tab/>
      </w:r>
      <w:r w:rsidR="004E41B4" w:rsidRPr="00E53096">
        <w:t xml:space="preserve"> </w:t>
      </w:r>
      <w:r w:rsidR="0012073F" w:rsidRPr="00E53096">
        <w:tab/>
      </w:r>
      <w:r w:rsidR="0012073F" w:rsidRPr="00E53096">
        <w:tab/>
      </w:r>
      <w:r w:rsidR="0012073F" w:rsidRPr="00E53096">
        <w:tab/>
      </w:r>
      <w:r w:rsidR="0012073F" w:rsidRPr="00E53096">
        <w:tab/>
      </w:r>
      <w:r w:rsidR="0012073F" w:rsidRPr="00E53096">
        <w:tab/>
      </w:r>
      <w:r w:rsidR="0012073F" w:rsidRPr="00E53096">
        <w:tab/>
      </w:r>
      <w:r w:rsidR="00663464" w:rsidRPr="00E53096">
        <w:t xml:space="preserve">                                                              </w:t>
      </w:r>
    </w:p>
    <w:p w:rsidRDefault="0002511A" w:rsidP="00326FDD" w:rsidR="0002511A" w:rsidRPr="00E53096">
      <w:pPr>
        <w:pStyle w:val="Podnaslov"/>
        <w:ind w:firstLine="708" w:left="6372"/>
        <w:rPr>
          <w:rFonts w:hAnsi="Times New Roman" w:ascii="Times New Roman"/>
          <w:b w:val="false"/>
          <w:color w:val="auto"/>
          <w:szCs w:val="24"/>
        </w:rPr>
      </w:pPr>
      <w:r w:rsidRPr="00E53096">
        <w:rPr>
          <w:rFonts w:hAnsi="Times New Roman" w:ascii="Times New Roman"/>
          <w:b w:val="false"/>
          <w:color w:val="auto"/>
          <w:szCs w:val="24"/>
        </w:rPr>
        <w:t>Stečajni sudac:</w:t>
      </w:r>
    </w:p>
    <w:p w:rsidRDefault="0002511A" w:rsidP="00326FDD" w:rsidR="00C91E0F">
      <w:pPr>
        <w:pStyle w:val="Podnaslov"/>
        <w:ind w:firstLine="708" w:left="6372"/>
        <w:rPr>
          <w:rFonts w:hAnsi="Times New Roman" w:ascii="Times New Roman"/>
          <w:b w:val="false"/>
          <w:color w:val="auto"/>
          <w:szCs w:val="24"/>
        </w:rPr>
      </w:pPr>
      <w:r w:rsidRPr="00E53096">
        <w:rPr>
          <w:rFonts w:hAnsi="Times New Roman" w:ascii="Times New Roman"/>
          <w:b w:val="false"/>
          <w:color w:val="auto"/>
          <w:szCs w:val="24"/>
        </w:rPr>
        <w:t>Nikola Ribarić</w:t>
      </w:r>
      <w:r w:rsidR="00C91E0F">
        <w:rPr>
          <w:rFonts w:hAnsi="Times New Roman" w:ascii="Times New Roman"/>
          <w:b w:val="false"/>
          <w:color w:val="auto"/>
          <w:szCs w:val="24"/>
        </w:rPr>
        <w:t>, v.r.</w:t>
      </w:r>
    </w:p>
    <w:p w:rsidRDefault="00C91E0F" w:rsidP="00326FDD" w:rsidR="00C91E0F">
      <w:pPr>
        <w:pStyle w:val="Podnaslov"/>
        <w:ind w:firstLine="708" w:left="6372"/>
        <w:rPr>
          <w:rFonts w:hAnsi="Times New Roman" w:ascii="Times New Roman"/>
          <w:b w:val="false"/>
          <w:color w:val="auto"/>
          <w:szCs w:val="24"/>
        </w:rPr>
      </w:pPr>
    </w:p>
    <w:p w:rsidRDefault="00C91E0F" w:rsidP="00C91E0F" w:rsidR="00C91E0F">
      <w:pPr>
        <w:pStyle w:val="Podnaslov"/>
        <w:ind w:left="4956"/>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C91E0F" w:rsidP="00326FDD" w:rsidR="00FA17FB" w:rsidRPr="00E53096">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02511A" w:rsidRPr="00E53096">
        <w:rPr>
          <w:rFonts w:hAnsi="Times New Roman" w:ascii="Times New Roman"/>
          <w:b w:val="false"/>
          <w:color w:val="auto"/>
          <w:szCs w:val="24"/>
        </w:rPr>
        <w:t xml:space="preserve"> </w:t>
      </w:r>
    </w:p>
    <w:p w:rsidRDefault="00311C71" w:rsidP="000277AD" w:rsidR="00311C71" w:rsidRPr="00E53096">
      <w:pPr>
        <w:pStyle w:val="Podnaslov"/>
        <w:ind w:firstLine="708" w:left="4956"/>
        <w:rPr>
          <w:rFonts w:hAnsi="Times New Roman" w:ascii="Times New Roman"/>
          <w:b w:val="false"/>
          <w:color w:val="auto"/>
          <w:szCs w:val="24"/>
        </w:rPr>
      </w:pPr>
    </w:p>
    <w:p w:rsidRDefault="00743727" w:rsidP="00A13980" w:rsidR="00BD1828" w:rsidRPr="00E53096">
      <w:pPr>
        <w:pStyle w:val="Podnaslov"/>
        <w:ind w:firstLine="708" w:left="4956"/>
        <w:rPr>
          <w:rFonts w:hAnsi="Times New Roman" w:ascii="Times New Roman"/>
          <w:b w:val="false"/>
          <w:color w:val="auto"/>
          <w:szCs w:val="24"/>
        </w:rPr>
      </w:pPr>
      <w:r w:rsidRPr="00E53096">
        <w:rPr>
          <w:rFonts w:hAnsi="Times New Roman" w:ascii="Times New Roman"/>
          <w:b w:val="false"/>
          <w:color w:val="auto"/>
          <w:szCs w:val="24"/>
        </w:rPr>
        <w:t xml:space="preserve"> </w:t>
      </w:r>
    </w:p>
    <w:p w:rsidRDefault="00103BB3" w:rsidP="00743790" w:rsidR="00E9313A" w:rsidRPr="00E53096">
      <w:pPr>
        <w:pStyle w:val="Podnaslov"/>
        <w:ind w:firstLine="708" w:left="4956"/>
        <w:rPr>
          <w:rFonts w:hAnsi="Times New Roman" w:ascii="Times New Roman"/>
          <w:b w:val="false"/>
          <w:color w:val="auto"/>
          <w:szCs w:val="24"/>
        </w:rPr>
      </w:pPr>
      <w:r w:rsidRPr="00E53096">
        <w:rPr>
          <w:rFonts w:hAnsi="Times New Roman" w:ascii="Times New Roman"/>
          <w:b w:val="false"/>
          <w:color w:val="auto"/>
          <w:szCs w:val="24"/>
        </w:rPr>
        <w:t xml:space="preserve"> </w:t>
      </w:r>
    </w:p>
    <w:p w:rsidRDefault="00663464" w:rsidP="006D0780" w:rsidR="001C364D" w:rsidRPr="00E53096">
      <w:pPr>
        <w:jc w:val="both"/>
        <w:rPr>
          <w:sz w:val="24"/>
          <w:szCs w:val="24"/>
        </w:rPr>
      </w:pPr>
      <w:r w:rsidRPr="00E53096">
        <w:rPr>
          <w:sz w:val="24"/>
          <w:szCs w:val="24"/>
        </w:rPr>
        <w:t>U</w:t>
      </w:r>
      <w:r w:rsidR="001C364D" w:rsidRPr="00E53096">
        <w:rPr>
          <w:sz w:val="24"/>
          <w:szCs w:val="24"/>
        </w:rPr>
        <w:t>PUTA O PRAVNOM LIJEKU:</w:t>
      </w:r>
    </w:p>
    <w:p w:rsidRDefault="001C364D" w:rsidP="00C91E0F" w:rsidR="0002511A" w:rsidRPr="00326FDD">
      <w:pPr>
        <w:jc w:val="both"/>
        <w:rPr>
          <w:sz w:val="24"/>
          <w:szCs w:val="24"/>
        </w:rPr>
      </w:pPr>
      <w:r w:rsidRPr="00E53096">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C91E0F" w:rsidRPr="00326FDD">
        <w:rPr>
          <w:sz w:val="24"/>
          <w:szCs w:val="24"/>
        </w:rPr>
        <w:t xml:space="preserve"> </w:t>
      </w:r>
    </w:p>
    <w:sectPr w:rsidSect="00706655" w:rsidR="0002511A" w:rsidRPr="00326FD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C91E0F">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w:t>
    </w:r>
    <w:r w:rsidR="003B498D">
      <w:rPr>
        <w:sz w:val="24"/>
        <w:szCs w:val="24"/>
      </w:rPr>
      <w:t xml:space="preserve"> </w:t>
    </w:r>
    <w:r w:rsidRPr="0058449E">
      <w:rPr>
        <w:sz w:val="24"/>
        <w:szCs w:val="24"/>
      </w:rPr>
      <w:t>St-</w:t>
    </w:r>
    <w:r w:rsidR="009E2202">
      <w:rPr>
        <w:sz w:val="24"/>
        <w:szCs w:val="24"/>
      </w:rPr>
      <w:t>2863</w:t>
    </w:r>
    <w:r w:rsidR="003B498D">
      <w:rPr>
        <w:sz w:val="24"/>
        <w:szCs w:val="24"/>
      </w:rPr>
      <w:t>/2018</w:t>
    </w:r>
    <w:r w:rsidR="00E53096">
      <w:rPr>
        <w:sz w:val="24"/>
        <w:szCs w:val="24"/>
      </w:rPr>
      <w:t>-19</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64D1E"/>
    <w:multiLevelType w:val="hybridMultilevel"/>
    <w:tmpl w:val="1346B7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136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511A"/>
    <w:rsid w:val="00026813"/>
    <w:rsid w:val="000277AD"/>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257C"/>
    <w:rsid w:val="002D6066"/>
    <w:rsid w:val="002D62CE"/>
    <w:rsid w:val="002F156E"/>
    <w:rsid w:val="002F6A91"/>
    <w:rsid w:val="002F7C7E"/>
    <w:rsid w:val="00311C71"/>
    <w:rsid w:val="00321949"/>
    <w:rsid w:val="00326FDD"/>
    <w:rsid w:val="00361247"/>
    <w:rsid w:val="00392C86"/>
    <w:rsid w:val="003B498D"/>
    <w:rsid w:val="003D3469"/>
    <w:rsid w:val="003D4306"/>
    <w:rsid w:val="003F0E50"/>
    <w:rsid w:val="00400237"/>
    <w:rsid w:val="0046402F"/>
    <w:rsid w:val="004728DE"/>
    <w:rsid w:val="004C71AC"/>
    <w:rsid w:val="004D2B70"/>
    <w:rsid w:val="004D793C"/>
    <w:rsid w:val="004E41B4"/>
    <w:rsid w:val="004E72AF"/>
    <w:rsid w:val="00556D2E"/>
    <w:rsid w:val="0058449E"/>
    <w:rsid w:val="005F6972"/>
    <w:rsid w:val="005F7734"/>
    <w:rsid w:val="006061EB"/>
    <w:rsid w:val="00611328"/>
    <w:rsid w:val="0062435C"/>
    <w:rsid w:val="00663464"/>
    <w:rsid w:val="00674640"/>
    <w:rsid w:val="00675460"/>
    <w:rsid w:val="006A32FF"/>
    <w:rsid w:val="006A5593"/>
    <w:rsid w:val="006D0780"/>
    <w:rsid w:val="006D7FFE"/>
    <w:rsid w:val="006E7E57"/>
    <w:rsid w:val="006F666B"/>
    <w:rsid w:val="00706655"/>
    <w:rsid w:val="00730FDB"/>
    <w:rsid w:val="00743727"/>
    <w:rsid w:val="00743790"/>
    <w:rsid w:val="0075306B"/>
    <w:rsid w:val="00782A57"/>
    <w:rsid w:val="00796DFE"/>
    <w:rsid w:val="007A3404"/>
    <w:rsid w:val="007D1465"/>
    <w:rsid w:val="00814C0C"/>
    <w:rsid w:val="00840B0A"/>
    <w:rsid w:val="0084374A"/>
    <w:rsid w:val="00852962"/>
    <w:rsid w:val="00867E4E"/>
    <w:rsid w:val="008732E3"/>
    <w:rsid w:val="008A1BF6"/>
    <w:rsid w:val="008C72D1"/>
    <w:rsid w:val="008D1D84"/>
    <w:rsid w:val="009140DE"/>
    <w:rsid w:val="00920ED2"/>
    <w:rsid w:val="009449D7"/>
    <w:rsid w:val="009725EB"/>
    <w:rsid w:val="009862A1"/>
    <w:rsid w:val="009A1E5A"/>
    <w:rsid w:val="009A342B"/>
    <w:rsid w:val="009A3F92"/>
    <w:rsid w:val="009B1A2F"/>
    <w:rsid w:val="009E2202"/>
    <w:rsid w:val="009F7701"/>
    <w:rsid w:val="00A13980"/>
    <w:rsid w:val="00A30F7A"/>
    <w:rsid w:val="00A34D31"/>
    <w:rsid w:val="00A6587C"/>
    <w:rsid w:val="00A6649B"/>
    <w:rsid w:val="00A97199"/>
    <w:rsid w:val="00AA5A0F"/>
    <w:rsid w:val="00B13ECE"/>
    <w:rsid w:val="00B9135A"/>
    <w:rsid w:val="00BD1828"/>
    <w:rsid w:val="00BD39E8"/>
    <w:rsid w:val="00BE3C60"/>
    <w:rsid w:val="00BE45DB"/>
    <w:rsid w:val="00C36879"/>
    <w:rsid w:val="00C63CAC"/>
    <w:rsid w:val="00C91E0F"/>
    <w:rsid w:val="00C93568"/>
    <w:rsid w:val="00CC1FE2"/>
    <w:rsid w:val="00CF1D6C"/>
    <w:rsid w:val="00D04186"/>
    <w:rsid w:val="00D30A36"/>
    <w:rsid w:val="00D60A37"/>
    <w:rsid w:val="00D84076"/>
    <w:rsid w:val="00D93BD2"/>
    <w:rsid w:val="00D964EC"/>
    <w:rsid w:val="00DE0C54"/>
    <w:rsid w:val="00DF065D"/>
    <w:rsid w:val="00E24EB3"/>
    <w:rsid w:val="00E53096"/>
    <w:rsid w:val="00E90E2D"/>
    <w:rsid w:val="00E9313A"/>
    <w:rsid w:val="00E965BE"/>
    <w:rsid w:val="00EA161B"/>
    <w:rsid w:val="00EC4F6C"/>
    <w:rsid w:val="00ED0766"/>
    <w:rsid w:val="00ED2D57"/>
    <w:rsid w:val="00EE3409"/>
    <w:rsid w:val="00EE66E1"/>
    <w:rsid w:val="00F51030"/>
    <w:rsid w:val="00FA0480"/>
    <w:rsid w:val="00FA17FB"/>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C91E0F"/>
    <w:rPr>
      <w:color w:val="808080"/>
      <w:bdr w:space="0" w:sz="0" w:color="auto" w:val="none"/>
      <w:shd w:fill="auto" w:color="auto" w:val="clear"/>
    </w:rPr>
  </w:style>
  <w:style w:customStyle="true" w:styleId="eSPISCCParagraphDefaultFont" w:type="character">
    <w:name w:val="eSPIS_CC_Paragraph Default Font"/>
    <w:basedOn w:val="Zadanifontodlomka"/>
    <w:rsid w:val="00C91E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1E0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1E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1E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C91E0F"/>
    <w:rPr>
      <w:color w:val="808080"/>
      <w:bdr w:color="auto" w:space="0" w:sz="0" w:val="none"/>
      <w:shd w:color="auto" w:fill="auto" w:val="clear"/>
    </w:rPr>
  </w:style>
  <w:style w:customStyle="1" w:styleId="eSPISCCParagraphDefaultFont" w:type="character">
    <w:name w:val="eSPIS_CC_Paragraph Default Font"/>
    <w:basedOn w:val="Zadanifontodlomka"/>
    <w:rsid w:val="00C91E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1E0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1E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1E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2863</izvorni_sadrzaj>
    <derivirana_varijabla naziv="DomainObject.Predmet.Broj_1">2863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St-2863/2018</izvorni_sadrzaj>
    <derivirana_varijabla naziv="DomainObject.Predmet.OznakaBroj_1">St-2863/2018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SoftPro Tetral d.o.o.</izvorni_sadrzaj>
    <derivirana_varijabla naziv="DomainObject.Predmet.ProtustrankaFormated_1">  SoftPro Tetral d.o.o.</derivirana_varijabla>
  </DomainObject.Predmet.ProtustrankaFormated>
  <DomainObject.Predmet.ProtustrankaFormatedOIB>
    <izvorni_sadrzaj>  SoftPro Tetral d.o.o., OIB 52805661170</izvorni_sadrzaj>
    <derivirana_varijabla naziv="DomainObject.Predmet.ProtustrankaFormatedOIB_1">  SoftPro Tetral d.o.o., OIB 52805661170</derivirana_varijabla>
  </DomainObject.Predmet.ProtustrankaFormatedOIB>
  <DomainObject.Predmet.ProtustrankaFormatedWithAdress>
    <izvorni_sadrzaj> SoftPro Tetral d.o.o., Božidarevićeva 13, 10000 Zagreb</izvorni_sadrzaj>
    <derivirana_varijabla naziv="DomainObject.Predmet.ProtustrankaFormatedWithAdress_1"> SoftPro Tetral d.o.o., Božidarevićeva 13, 10000 Zagreb</derivirana_varijabla>
  </DomainObject.Predmet.ProtustrankaFormatedWithAdress>
  <DomainObject.Predmet.ProtustrankaFormatedWithAdressOIB>
    <izvorni_sadrzaj> SoftPro Tetral d.o.o., OIB 52805661170, Božidarevićeva 13, 10000 Zagreb</izvorni_sadrzaj>
    <derivirana_varijabla naziv="DomainObject.Predmet.ProtustrankaFormatedWithAdressOIB_1"> SoftPro Tetral d.o.o., OIB 52805661170, Božidarevićeva 13, 10000 Zagreb</derivirana_varijabla>
  </DomainObject.Predmet.ProtustrankaFormatedWithAdressOIB>
  <DomainObject.Predmet.ProtustrankaWithAdress>
    <izvorni_sadrzaj>SoftPro Tetral d.o.o. Božidarevićeva 13, 10000 Zagreb</izvorni_sadrzaj>
    <derivirana_varijabla naziv="DomainObject.Predmet.ProtustrankaWithAdress_1">SoftPro Tetral d.o.o. Božidarevićeva 13, 10000 Zagreb</derivirana_varijabla>
  </DomainObject.Predmet.ProtustrankaWithAdress>
  <DomainObject.Predmet.ProtustrankaWithAdressOIB>
    <izvorni_sadrzaj>SoftPro Tetral d.o.o., OIB 52805661170, Božidarevićeva 13, 10000 Zagreb</izvorni_sadrzaj>
    <derivirana_varijabla naziv="DomainObject.Predmet.ProtustrankaWithAdressOIB_1">SoftPro Tetral d.o.o., OIB 52805661170, Božidarevićeva 13, 10000 Zagreb</derivirana_varijabla>
  </DomainObject.Predmet.ProtustrankaWithAdressOIB>
  <DomainObject.Predmet.ProtustrankaNazivFormated>
    <izvorni_sadrzaj>SoftPro Tetral d.o.o.</izvorni_sadrzaj>
    <derivirana_varijabla naziv="DomainObject.Predmet.ProtustrankaNazivFormated_1">SoftPro Tetral d.o.o.</derivirana_varijabla>
  </DomainObject.Predmet.ProtustrankaNazivFormated>
  <DomainObject.Predmet.ProtustrankaNazivFormatedOIB>
    <izvorni_sadrzaj>SoftPro Tetral d.o.o., OIB 52805661170</izvorni_sadrzaj>
    <derivirana_varijabla naziv="DomainObject.Predmet.ProtustrankaNazivFormatedOIB_1">SoftPro Tetral d.o.o., OIB 52805661170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FINA</izvorni_sadrzaj>
    <derivirana_varijabla naziv="DomainObject.Predmet.StrankaFormated_1">  FINA Regionalni centar Zagreb; FINA</derivirana_varijabla>
  </DomainObject.Predmet.StrankaFormated>
  <DomainObject.Predmet.StrankaFormatedOIB>
    <izvorni_sadrzaj>  FINA Regionalni centar Zagreb, OIB 85821130368; FINA, OIB 85821130368</izvorni_sadrzaj>
    <derivirana_varijabla naziv="DomainObject.Predmet.StrankaFormatedOIB_1">  FINA Regionalni centar Zagreb, OIB 85821130368; FINA, OIB 85821130368</derivirana_varijabla>
  </DomainObject.Predmet.StrankaFormatedOIB>
  <DomainObject.Predmet.StrankaFormatedWithAdress>
    <izvorni_sadrzaj> FINA Regionalni centar Zagreb, Trg svibanjskih žrtava 1995. 1, 10000 Zagreb; FINA</izvorni_sadrzaj>
    <derivirana_varijabla naziv="DomainObject.Predmet.StrankaFormatedWithAdress_1"> FINA Regionalni centar Zagreb, Trg svibanjskih žrtava 1995. 1, 10000 Zagreb; FINA</derivirana_varijabla>
  </DomainObject.Predmet.StrankaFormatedWithAdress>
  <DomainObject.Predmet.StrankaFormatedWithAdressOIB>
    <izvorni_sadrzaj> FINA Regionalni centar Zagreb, OIB 85821130368, Trg svibanjskih žrtava 1995. 1, 10000 Zagreb; FINA, OIB 85821130368</izvorni_sadrzaj>
    <derivirana_varijabla naziv="DomainObject.Predmet.StrankaFormatedWithAdressOIB_1"> FINA Regionalni centar Zagreb, OIB 85821130368, Trg svibanjskih žrtava 1995. 1, 10000 Zagreb; FINA, OIB 85821130368</derivirana_varijabla>
  </DomainObject.Predmet.StrankaFormatedWithAdressOIB>
  <DomainObject.Predmet.StrankaWithAdress>
    <izvorni_sadrzaj>FINA Regionalni centar Zagreb Trg svibanjskih žrtava 1995. 1,10000 Zagreb,FINA </izvorni_sadrzaj>
    <derivirana_varijabla naziv="DomainObject.Predmet.StrankaWithAdress_1">FINA Regionalni centar Zagreb Trg svibanjskih žrtava 1995. 1,10000 Zagreb,FINA </derivirana_varijabla>
  </DomainObject.Predmet.StrankaWithAdress>
  <DomainObject.Predmet.StrankaWithAdressOIB>
    <izvorni_sadrzaj>FINA Regionalni centar Zagreb, OIB 85821130368, Trg svibanjskih žrtava 1995. 1,10000 Zagreb,FINA, OIB 85821130368</izvorni_sadrzaj>
    <derivirana_varijabla naziv="DomainObject.Predmet.StrankaWithAdressOIB_1">FINA Regionalni centar Zagreb, OIB 85821130368, Trg svibanjskih žrtava 1995. 1,10000 Zagreb,FINA, OIB 85821130368</derivirana_varijabla>
  </DomainObject.Predmet.StrankaWithAdressOIB>
  <DomainObject.Predmet.StrankaNazivFormated>
    <izvorni_sadrzaj>FINA Regionalni centar Zagreb,FINA</izvorni_sadrzaj>
    <derivirana_varijabla naziv="DomainObject.Predmet.StrankaNazivFormated_1">FINA Regionalni centar Zagreb,FINA</derivirana_varijabla>
  </DomainObject.Predmet.StrankaNazivFormated>
  <DomainObject.Predmet.StrankaNazivFormatedOIB>
    <izvorni_sadrzaj>FINA Regionalni centar Zagreb, OIB 85821130368,FINA, OIB 85821130368</izvorni_sadrzaj>
    <derivirana_varijabla naziv="DomainObject.Predmet.StrankaNazivFormatedOIB_1">FINA Regionalni centar Zagreb, OIB 85821130368,FINA,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FINA</item>
    </izvorni_sadrzaj>
    <derivirana_varijabla naziv="DomainObject.Predmet.StrankaListFormated_1">
      <item>FINA Regionalni centar Zagreb</item>
      <item>FINA</item>
    </derivirana_varijabla>
  </DomainObject.Predmet.StrankaListFormated>
  <DomainObject.Predmet.StrankaListFormatedOIB>
    <izvorni_sadrzaj>
      <item>FINA Regionalni centar Zagreb, OIB 85821130368</item>
      <item>FINA, OIB 85821130368</item>
    </izvorni_sadrzaj>
    <derivirana_varijabla naziv="DomainObject.Predmet.StrankaListFormatedOIB_1">
      <item>FINA Regionalni centar Zagreb, OIB 85821130368</item>
      <item>FINA, OIB 85821130368</item>
    </derivirana_varijabla>
  </DomainObject.Predmet.StrankaListFormatedOIB>
  <DomainObject.Predmet.StrankaListFormatedWithAdress>
    <izvorni_sadrzaj>
      <item>FINA Regionalni centar Zagreb, Trg svibanjskih žrtava 1995. 1, 10000 Zagreb</item>
      <item>FINA</item>
    </izvorni_sadrzaj>
    <derivirana_varijabla naziv="DomainObject.Predmet.StrankaListFormatedWithAdress_1">
      <item>FINA Regionalni centar Zagreb, Trg svibanjskih žrtava 1995. 1, 10000 Zagreb</item>
      <item>FINA</item>
    </derivirana_varijabla>
  </DomainObject.Predmet.StrankaListFormatedWithAdress>
  <DomainObject.Predmet.StrankaListFormatedWithAdressOIB>
    <izvorni_sadrzaj>
      <item>FINA Regionalni centar Zagreb, OIB 85821130368, Trg svibanjskih žrtava 1995. 1, 10000 Zagreb</item>
      <item>FINA, OIB 85821130368</item>
    </izvorni_sadrzaj>
    <derivirana_varijabla naziv="DomainObject.Predmet.StrankaListFormatedWithAdressOIB_1">
      <item>FINA Regionalni centar Zagreb, OIB 85821130368, Trg svibanjskih žrtava 1995. 1, 10000 Zagreb</item>
      <item>FINA, OIB 85821130368</item>
    </derivirana_varijabla>
  </DomainObject.Predmet.StrankaListFormatedWithAdressOIB>
  <DomainObject.Predmet.StrankaListNazivFormated>
    <izvorni_sadrzaj>
      <item>FINA Regionalni centar Zagreb</item>
      <item>FINA</item>
    </izvorni_sadrzaj>
    <derivirana_varijabla naziv="DomainObject.Predmet.StrankaListNazivFormated_1">
      <item>FINA Regionalni centar Zagreb</item>
      <item>FINA</item>
    </derivirana_varijabla>
  </DomainObject.Predmet.StrankaListNazivFormated>
  <DomainObject.Predmet.StrankaListNazivFormatedOIB>
    <izvorni_sadrzaj>
      <item>FINA Regionalni centar Zagreb, OIB 85821130368</item>
      <item>FINA, OIB 85821130368</item>
    </izvorni_sadrzaj>
    <derivirana_varijabla naziv="DomainObject.Predmet.StrankaListNazivFormatedOIB_1">
      <item>FINA Regionalni centar Zagreb, OIB 85821130368</item>
      <item>FINA, OIB 85821130368</item>
    </derivirana_varijabla>
  </DomainObject.Predmet.StrankaListNazivFormatedOIB>
  <DomainObject.Predmet.ProtuStrankaListFormated>
    <izvorni_sadrzaj>
      <item>SoftPro Tetral d.o.o.</item>
    </izvorni_sadrzaj>
    <derivirana_varijabla naziv="DomainObject.Predmet.ProtuStrankaListFormated_1">
      <item>SoftPro Tetral d.o.o.</item>
    </derivirana_varijabla>
  </DomainObject.Predmet.ProtuStrankaListFormated>
  <DomainObject.Predmet.ProtuStrankaListFormatedOIB>
    <izvorni_sadrzaj>
      <item>SoftPro Tetral d.o.o., OIB 52805661170</item>
    </izvorni_sadrzaj>
    <derivirana_varijabla naziv="DomainObject.Predmet.ProtuStrankaListFormatedOIB_1">
      <item>SoftPro Tetral d.o.o., OIB 52805661170</item>
    </derivirana_varijabla>
  </DomainObject.Predmet.ProtuStrankaListFormatedOIB>
  <DomainObject.Predmet.ProtuStrankaListFormatedWithAdress>
    <izvorni_sadrzaj>
      <item>SoftPro Tetral d.o.o., Božidarevićeva 13, 10000 Zagreb</item>
    </izvorni_sadrzaj>
    <derivirana_varijabla naziv="DomainObject.Predmet.ProtuStrankaListFormatedWithAdress_1">
      <item>SoftPro Tetral d.o.o., Božidarevićeva 13, 10000 Zagreb</item>
    </derivirana_varijabla>
  </DomainObject.Predmet.ProtuStrankaListFormatedWithAdress>
  <DomainObject.Predmet.ProtuStrankaListFormatedWithAdressOIB>
    <izvorni_sadrzaj>
      <item>SoftPro Tetral d.o.o., OIB 52805661170, Božidarevićeva 13, 10000 Zagreb</item>
    </izvorni_sadrzaj>
    <derivirana_varijabla naziv="DomainObject.Predmet.ProtuStrankaListFormatedWithAdressOIB_1">
      <item>SoftPro Tetral d.o.o., OIB 52805661170, Božidarevićeva 13, 10000 Zagreb</item>
    </derivirana_varijabla>
  </DomainObject.Predmet.ProtuStrankaListFormatedWithAdressOIB>
  <DomainObject.Predmet.ProtuStrankaListNazivFormated>
    <izvorni_sadrzaj>
      <item>SoftPro Tetral d.o.o.</item>
    </izvorni_sadrzaj>
    <derivirana_varijabla naziv="DomainObject.Predmet.ProtuStrankaListNazivFormated_1">
      <item>SoftPro Tetral d.o.o.</item>
    </derivirana_varijabla>
  </DomainObject.Predmet.ProtuStrankaListNazivFormated>
  <DomainObject.Predmet.ProtuStrankaListNazivFormatedOIB>
    <izvorni_sadrzaj>
      <item>SoftPro Tetral d.o.o., OIB 52805661170</item>
    </izvorni_sadrzaj>
    <derivirana_varijabla naziv="DomainObject.Predmet.ProtuStrankaListNazivFormatedOIB_1">
      <item>SoftPro Tetral d.o.o., OIB 52805661170</item>
    </derivirana_varijabla>
  </DomainObject.Predmet.ProtuStrankaListNazivFormatedOIB>
  <DomainObject.Predmet.OstaliListFormated>
    <izvorni_sadrzaj>
      <item>Miljenko Akik</item>
      <item>Raiffeisenbank Austria d.d.</item>
      <item>HRVATSKA POŠTANSKA BANKA, dioničko društvo</item>
    </izvorni_sadrzaj>
    <derivirana_varijabla naziv="DomainObject.Predmet.OstaliListFormated_1">
      <item>Miljenko Akik</item>
      <item>Raiffeisenbank Austria d.d.</item>
      <item>HRVATSKA POŠTANSKA BANKA, dioničko društvo</item>
    </derivirana_varijabla>
  </DomainObject.Predmet.OstaliListFormated>
  <DomainObject.Predmet.OstaliListFormatedOIB>
    <izvorni_sadrzaj>
      <item>Miljenko Akik, OIB 15974213082</item>
      <item>Raiffeisenbank Austria d.d., OIB 53056966535</item>
      <item>HRVATSKA POŠTANSKA BANKA, dioničko društvo, OIB 87939104217</item>
    </izvorni_sadrzaj>
    <derivirana_varijabla naziv="DomainObject.Predmet.OstaliListFormatedOIB_1">
      <item>Miljenko Akik, OIB 15974213082</item>
      <item>Raiffeisenbank Austria d.d., OIB 53056966535</item>
      <item>HRVATSKA POŠTANSKA BANKA, dioničko društvo, OIB 87939104217</item>
    </derivirana_varijabla>
  </DomainObject.Predmet.OstaliListFormatedOIB>
  <DomainObject.Predmet.OstaliListFormatedWithAdress>
    <izvorni_sadrzaj>
      <item>Miljenko Akik, Ulica Ivana Rendića 12, Zagreb</item>
      <item>Raiffeisenbank Austria d.d., Magazinska cesta 69, 10000 Zagreb</item>
      <item>HRVATSKA POŠTANSKA BANKA, dioničko društvo, Jurišićeva 4, 10000 Zagreb</item>
    </izvorni_sadrzaj>
    <derivirana_varijabla naziv="DomainObject.Predmet.OstaliListFormatedWithAdress_1">
      <item>Miljenko Akik, Ulica Ivana Rendića 12, Zagreb</item>
      <item>Raiffeisenbank Austria d.d., Magazinska cesta 69, 10000 Zagreb</item>
      <item>HRVATSKA POŠTANSKA BANKA, dioničko društvo, Jurišićeva 4, 10000 Zagreb</item>
    </derivirana_varijabla>
  </DomainObject.Predmet.OstaliListFormatedWithAdress>
  <DomainObject.Predmet.OstaliListFormatedWithAdressOIB>
    <izvorni_sadrzaj>
      <item>Miljenko Akik, OIB 15974213082, Ulica Ivana Rendića 12, Zagreb</item>
      <item>Raiffeisenbank Austria d.d., OIB 53056966535, Magazinska cesta 69, 10000 Zagreb</item>
      <item>HRVATSKA POŠTANSKA BANKA, dioničko društvo, OIB 87939104217, Jurišićeva 4, 10000 Zagreb</item>
    </izvorni_sadrzaj>
    <derivirana_varijabla naziv="DomainObject.Predmet.OstaliListFormatedWithAdressOIB_1">
      <item>Miljenko Akik, OIB 15974213082, Ulica Ivana Rendića 12, Zagreb</item>
      <item>Raiffeisenbank Austria d.d., OIB 53056966535, Magazinska cesta 69, 10000 Zagreb</item>
      <item>HRVATSKA POŠTANSKA BANKA, dioničko društvo, OIB 87939104217, Jurišićeva 4, 10000 Zagreb</item>
    </derivirana_varijabla>
  </DomainObject.Predmet.OstaliListFormatedWithAdressOIB>
  <DomainObject.Predmet.OstaliListNazivFormated>
    <izvorni_sadrzaj>
      <item>Miljenko Akik</item>
      <item>Raiffeisenbank Austria d.d.</item>
      <item>HRVATSKA POŠTANSKA BANKA, dioničko društvo</item>
    </izvorni_sadrzaj>
    <derivirana_varijabla naziv="DomainObject.Predmet.OstaliListNazivFormated_1">
      <item>Miljenko Akik</item>
      <item>Raiffeisenbank Austria d.d.</item>
      <item>HRVATSKA POŠTANSKA BANKA, dioničko društvo</item>
    </derivirana_varijabla>
  </DomainObject.Predmet.OstaliListNazivFormated>
  <DomainObject.Predmet.OstaliListNazivFormatedOIB>
    <izvorni_sadrzaj>
      <item>Miljenko Akik, OIB 15974213082</item>
      <item>Raiffeisenbank Austria d.d., OIB 53056966535</item>
      <item>HRVATSKA POŠTANSKA BANKA, dioničko društvo, OIB 87939104217</item>
    </izvorni_sadrzaj>
    <derivirana_varijabla naziv="DomainObject.Predmet.OstaliListNazivFormatedOIB_1">
      <item>Miljenko Akik, OIB 15974213082</item>
      <item>Raiffeisenbank Austria d.d., OIB 53056966535</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SoftPro Tetral d.o.o.</izvorni_sadrzaj>
    <derivirana_varijabla naziv="DomainObject.Predmet.ProtustrankaIDrugi_1">SoftPro Tetral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SoftPro Tetral d.o.o., OIB 52805661170, Božidarevićeva 13, 10000 Zagreb</izvorni_sadrzaj>
    <derivirana_varijabla naziv="DomainObject.Predmet.ProtustrankaIDrugiAdressOIB_1">SoftPro Tetral d.o.o., OIB 52805661170, Božidarevićeva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SoftPro Tetral d.o.o.</item>
      <item>Miljenko Akik</item>
      <item>FINA Regionalni centar Zagreb</item>
      <item>FINA</item>
      <item>Raiffeisenbank Austria d.d.</item>
      <item>HRVATSKA POŠTANSKA BANKA, dioničko društvo</item>
    </izvorni_sadrzaj>
    <derivirana_varijabla naziv="DomainObject.Predmet.SudioniciListNaziv_1">
      <item>SoftPro Tetral d.o.o.</item>
      <item>Miljenko Akik</item>
      <item>FINA Regionalni centar Zagreb</item>
      <item>FINA</item>
      <item>Raiffeisenbank Austria d.d.</item>
      <item>HRVATSKA POŠTANSKA BANKA, dioničko društvo</item>
    </derivirana_varijabla>
  </DomainObject.Predmet.SudioniciListNaziv>
  <DomainObject.Predmet.SudioniciListAdressOIB>
    <izvorni_sadrzaj>
      <item>SoftPro Tetral d.o.o., OIB 52805661170, Božidarevićeva 13,10000 Zagreb</item>
      <item>Miljenko Akik, OIB 15974213082, Ulica Ivana Rendića 12,Zagreb</item>
      <item>FINA Regionalni centar Zagreb, OIB 85821130368, Trg svibanjskih žrtava 1995. 1,10000 Zagreb</item>
      <item>FINA, OIB 85821130368</item>
      <item>Raiffeisenbank Austria d.d., OIB 53056966535, Magazinska cesta 69,10000 Zagreb</item>
      <item>HRVATSKA POŠTANSKA BANKA, dioničko društvo, OIB 87939104217, Jurišićeva 4,10000 Zagreb</item>
    </izvorni_sadrzaj>
    <derivirana_varijabla naziv="DomainObject.Predmet.SudioniciListAdressOIB_1">
      <item>SoftPro Tetral d.o.o., OIB 52805661170, Božidarevićeva 13,10000 Zagreb</item>
      <item>Miljenko Akik, OIB 15974213082, Ulica Ivana Rendića 12,Zagreb</item>
      <item>FINA Regionalni centar Zagreb, OIB 85821130368, Trg svibanjskih žrtava 1995. 1,10000 Zagreb</item>
      <item>FINA, OIB 85821130368</item>
      <item>Raiffeisenbank Austria d.d., OIB 53056966535, Magazinska cesta 69,10000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52805661170</item>
      <item>, OIB 15974213082</item>
      <item>, OIB 85821130368</item>
      <item>, OIB 85821130368</item>
      <item>, OIB 53056966535</item>
      <item>, OIB 87939104217</item>
    </izvorni_sadrzaj>
    <derivirana_varijabla naziv="DomainObject.Predmet.SudioniciListNazivOIB_1">
      <item>, OIB 52805661170</item>
      <item>, OIB 15974213082</item>
      <item>, OIB 85821130368</item>
      <item>, OIB 85821130368</item>
      <item>, OIB 53056966535</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siječnja 2019.</izvorni_sadrzaj>
    <derivirana_varijabla naziv="DomainObject.Predmet.DatumZadnjeOdrzaneSudskeRadnje_1">23. siječnja 2019.</derivirana_varijabla>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St-2863/2018-12</izvorni_sadrzaj>
    <derivirana_varijabla naziv="DomainObject.PredzadnjaOdlukaIzPredmeta.Oznaka_1">St-2863/2018-12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1239</properties:Words>
  <properties:Characters>6858</properties:Characters>
  <properties:Lines>146</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2019-02-28T12:37:00Z</dcterms:created>
  <dc:creator>nribaric</dc:creator>
  <cp:lastModifiedBy>Maja Hajtek</cp:lastModifiedBy>
  <cp:lastPrinted>2019-02-28T13:07:00Z</cp:lastPrinted>
  <dcterms:modified xmlns:xsi="http://www.w3.org/2001/XMLSchema-instance" xsi:type="dcterms:W3CDTF">2019-02-28T13:07:00Z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softpro tetral 28.2.2019..docx)</vt:lpwstr>
  </prop:property>
  <prop:property name="CC_coloring" pid="4" fmtid="{D5CDD505-2E9C-101B-9397-08002B2CF9AE}">
    <vt:bool>false</vt:bool>
  </prop:property>
  <prop:property name="BrojStranica" pid="5" fmtid="{D5CDD505-2E9C-101B-9397-08002B2CF9AE}">
    <vt:i4>3</vt:i4>
  </prop:property>
</prop:Properties>
</file>