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803DAD" w:rsidR="00803DAD" w:rsidRPr="000B0C2A">
        <w:trPr>
          <w:trHeight w:val="2231"/>
        </w:trPr>
        <w:tc>
          <w:tcPr>
            <w:tcW w:type="dxa" w:w="3369"/>
            <w:vAlign w:val="center"/>
            <w:hideMark/>
          </w:tcPr>
          <w:p w:rsidRDefault="00803DAD" w:rsidR="00803DAD" w:rsidRPr="000B0C2A">
            <w:pPr>
              <w:spacing w:before="100"/>
              <w:jc w:val="center"/>
              <w:rPr>
                <w:sz w:val="24"/>
              </w:rPr>
            </w:pPr>
            <w:bookmarkStart w:name="_GoBack" w:id="0"/>
            <w:bookmarkEnd w:id="0"/>
            <w:r w:rsidRPr="000B0C2A">
              <w:rPr>
                <w:noProof/>
              </w:rPr>
              <w:drawing>
                <wp:inline distR="0" distL="0" distB="0" distT="0">
                  <wp:extent cy="724535" cx="540385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66507" w:rsidR="00266507">
            <w:pPr>
              <w:spacing w:before="100"/>
              <w:rPr>
                <w:sz w:val="24"/>
              </w:rPr>
            </w:pPr>
          </w:p>
          <w:p w:rsidRDefault="00803DAD" w:rsidR="00803DAD" w:rsidRPr="000B0C2A">
            <w:pPr>
              <w:spacing w:before="100"/>
              <w:rPr>
                <w:sz w:val="24"/>
              </w:rPr>
            </w:pPr>
            <w:r w:rsidRPr="000B0C2A">
              <w:rPr>
                <w:sz w:val="24"/>
              </w:rPr>
              <w:t>REPUBLIKA HRVATSKA</w:t>
            </w:r>
          </w:p>
          <w:p w:rsidRDefault="00803DAD" w:rsidR="00803DAD" w:rsidRPr="000B0C2A">
            <w:pPr>
              <w:rPr>
                <w:sz w:val="24"/>
              </w:rPr>
            </w:pPr>
            <w:r w:rsidRPr="000B0C2A">
              <w:rPr>
                <w:sz w:val="24"/>
              </w:rPr>
              <w:t>TRGOVAČKI SUD U SPLITU</w:t>
            </w:r>
          </w:p>
          <w:p w:rsidRDefault="00803DAD" w:rsidR="00803DAD" w:rsidRPr="000B0C2A">
            <w:pPr>
              <w:rPr>
                <w:sz w:val="24"/>
              </w:rPr>
            </w:pPr>
            <w:r w:rsidRPr="000B0C2A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03DAD" w:rsidR="00803DAD" w:rsidRPr="000B0C2A">
            <w:pPr>
              <w:jc w:val="both"/>
              <w:rPr>
                <w:sz w:val="24"/>
              </w:rPr>
            </w:pPr>
          </w:p>
          <w:p w:rsidRDefault="00803DAD" w:rsidR="00803DAD" w:rsidRPr="000B0C2A">
            <w:pPr>
              <w:jc w:val="both"/>
              <w:rPr>
                <w:sz w:val="24"/>
              </w:rPr>
            </w:pPr>
          </w:p>
          <w:p w:rsidRDefault="00803DAD" w:rsidR="00803DAD" w:rsidRPr="000B0C2A">
            <w:pPr>
              <w:jc w:val="both"/>
              <w:rPr>
                <w:sz w:val="24"/>
              </w:rPr>
            </w:pPr>
          </w:p>
          <w:p w:rsidRDefault="00803DAD" w:rsidR="00803DAD" w:rsidRPr="000B0C2A">
            <w:pPr>
              <w:jc w:val="right"/>
              <w:rPr>
                <w:sz w:val="24"/>
              </w:rPr>
            </w:pPr>
          </w:p>
          <w:p w:rsidRDefault="00803DAD" w:rsidR="00803DAD" w:rsidRPr="000B0C2A">
            <w:pPr>
              <w:jc w:val="right"/>
              <w:rPr>
                <w:sz w:val="24"/>
              </w:rPr>
            </w:pPr>
          </w:p>
          <w:p w:rsidRDefault="00803DAD" w:rsidR="00803DAD" w:rsidRPr="000B0C2A">
            <w:pPr>
              <w:jc w:val="right"/>
              <w:rPr>
                <w:noProof/>
                <w:sz w:val="24"/>
              </w:rPr>
            </w:pPr>
          </w:p>
          <w:p w:rsidRDefault="00803DAD" w:rsidR="00803DAD" w:rsidRPr="000B0C2A">
            <w:pPr>
              <w:jc w:val="right"/>
              <w:rPr>
                <w:noProof/>
                <w:sz w:val="24"/>
              </w:rPr>
            </w:pPr>
          </w:p>
          <w:p w:rsidRDefault="00803DAD" w:rsidR="00803DAD" w:rsidRPr="000B0C2A">
            <w:pPr>
              <w:jc w:val="right"/>
              <w:rPr>
                <w:noProof/>
                <w:sz w:val="24"/>
              </w:rPr>
            </w:pPr>
          </w:p>
          <w:p w:rsidRDefault="00803DAD" w:rsidP="000B0C2A" w:rsidR="00803DAD" w:rsidRPr="000B0C2A">
            <w:pPr>
              <w:jc w:val="right"/>
              <w:rPr>
                <w:noProof/>
                <w:sz w:val="24"/>
              </w:rPr>
            </w:pPr>
            <w:r w:rsidRPr="000B0C2A">
              <w:rPr>
                <w:noProof/>
                <w:sz w:val="24"/>
              </w:rPr>
              <w:t xml:space="preserve">Poslovni broj: </w:t>
            </w:r>
            <w:r w:rsidR="000B0C2A">
              <w:rPr>
                <w:noProof/>
                <w:sz w:val="24"/>
              </w:rPr>
              <w:t>4</w:t>
            </w:r>
            <w:r w:rsidRPr="000B0C2A">
              <w:rPr>
                <w:noProof/>
                <w:sz w:val="24"/>
              </w:rPr>
              <w:t>.St-</w:t>
            </w:r>
            <w:r w:rsidR="000B0C2A">
              <w:rPr>
                <w:noProof/>
                <w:sz w:val="24"/>
              </w:rPr>
              <w:t>546</w:t>
            </w:r>
            <w:r w:rsidRPr="000B0C2A">
              <w:rPr>
                <w:noProof/>
                <w:sz w:val="24"/>
              </w:rPr>
              <w:t>/2017</w:t>
            </w:r>
          </w:p>
        </w:tc>
      </w:tr>
    </w:tbl>
    <w:p w14:textId="d983835" w14:paraId="d983835" w:rsidRDefault="00266507" w:rsidP="00803DAD" w:rsidR="00266507">
      <w:pPr>
        <w:spacing w:after="240" w:before="300"/>
        <w:jc w:val="center"/>
        <w15:collapsed w:val="false"/>
        <w:rPr>
          <w:spacing w:val="60"/>
        </w:rPr>
      </w:pPr>
    </w:p>
    <w:p w:rsidRDefault="00803DAD" w:rsidP="00803DAD" w:rsidR="00803DAD" w:rsidRPr="000B0C2A">
      <w:pPr>
        <w:spacing w:after="240" w:before="300"/>
        <w:jc w:val="center"/>
        <w:rPr>
          <w:spacing w:val="60"/>
        </w:rPr>
      </w:pPr>
      <w:r w:rsidRPr="000B0C2A">
        <w:rPr>
          <w:spacing w:val="60"/>
        </w:rPr>
        <w:t>REPUBLIKA HRVATSKA</w:t>
      </w:r>
    </w:p>
    <w:p w:rsidRDefault="00803DAD" w:rsidP="00266507" w:rsidR="00266507">
      <w:pPr>
        <w:spacing w:after="240" w:before="300"/>
        <w:jc w:val="center"/>
      </w:pPr>
      <w:r w:rsidRPr="000B0C2A">
        <w:rPr>
          <w:rFonts w:eastAsia="Calibri"/>
          <w:lang w:eastAsia="en-US"/>
        </w:rPr>
        <w:t>R J E Š E N J E</w:t>
      </w:r>
    </w:p>
    <w:p w:rsidRDefault="00266507" w:rsidP="00266507" w:rsidR="00266507" w:rsidRPr="00077693">
      <w:pPr>
        <w:spacing w:after="240" w:before="300"/>
        <w:ind w:firstLine="708"/>
        <w:jc w:val="both"/>
      </w:pPr>
      <w:r w:rsidRPr="00077693">
        <w:t xml:space="preserve">Trgovački sud u Splitu, po sucu ovog suda Katarini Mikulić, kao stečajnom sucu, </w:t>
      </w:r>
      <w:r w:rsidRPr="005B6673">
        <w:t>u stečajnom postupku nad dužnikom  stečajna masa iza stečajnog dužnika KOMARČA, d.o.o. u stečaju, Vitarnja bb, Jelsa, OIB:58518695494</w:t>
      </w:r>
      <w:r w:rsidRPr="00077693">
        <w:t xml:space="preserve">, </w:t>
      </w:r>
      <w:r>
        <w:t>5. travnja</w:t>
      </w:r>
      <w:r w:rsidRPr="00077693">
        <w:t xml:space="preserve"> 2018.  </w:t>
      </w:r>
    </w:p>
    <w:p w:rsidRDefault="00266507" w:rsidP="00266507" w:rsidR="00266507">
      <w:pPr>
        <w:pStyle w:val="Tijeloteksta"/>
        <w:spacing w:before="100"/>
        <w:ind w:hanging="181"/>
        <w:jc w:val="center"/>
        <w:rPr>
          <w:rFonts w:eastAsia="Calibri"/>
          <w:lang w:eastAsia="en-US"/>
        </w:rPr>
      </w:pPr>
    </w:p>
    <w:p w:rsidRDefault="00803DAD" w:rsidP="00266507" w:rsidR="00803DAD">
      <w:pPr>
        <w:pStyle w:val="Tijeloteksta"/>
        <w:spacing w:before="100"/>
        <w:ind w:hanging="181"/>
        <w:jc w:val="center"/>
        <w:rPr>
          <w:rFonts w:eastAsia="Calibri"/>
          <w:lang w:eastAsia="en-US"/>
        </w:rPr>
      </w:pPr>
      <w:r w:rsidRPr="000B0C2A">
        <w:rPr>
          <w:rFonts w:eastAsia="Calibri"/>
          <w:lang w:eastAsia="en-US"/>
        </w:rPr>
        <w:t>r i j e š i o    j e</w:t>
      </w:r>
    </w:p>
    <w:p w:rsidRDefault="00266507" w:rsidP="00266507" w:rsidR="00266507" w:rsidRPr="000B0C2A">
      <w:pPr>
        <w:pStyle w:val="Tijeloteksta"/>
        <w:spacing w:before="100"/>
        <w:ind w:hanging="181"/>
        <w:rPr>
          <w:rFonts w:eastAsia="Calibri"/>
          <w:lang w:eastAsia="en-US"/>
        </w:rPr>
      </w:pPr>
    </w:p>
    <w:p w:rsidRDefault="00803DAD" w:rsidP="000B0C2A" w:rsidR="00803DAD" w:rsidRPr="000B0C2A">
      <w:pPr>
        <w:ind w:firstLine="708"/>
        <w:jc w:val="both"/>
        <w:rPr>
          <w:rFonts w:eastAsia="Arial Unicode MS"/>
          <w:lang w:eastAsia="en-US"/>
        </w:rPr>
      </w:pPr>
      <w:r w:rsidRPr="000B0C2A">
        <w:rPr>
          <w:rFonts w:eastAsia="Arial Unicode MS"/>
          <w:lang w:eastAsia="en-US"/>
        </w:rPr>
        <w:t>Utvrđuje se tražbina vjerovnika II. višeg isplatnog reda:</w:t>
      </w:r>
    </w:p>
    <w:tbl>
      <w:tblPr>
        <w:tblpPr w:tblpY="311" w:tblpX="1066" w:horzAnchor="page" w:vertAnchor="text" w:rightFromText="180" w:leftFromText="180"/>
        <w:tblOverlap w:val="never"/>
        <w:tblW w:type="pct" w:w="527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471"/>
        <w:gridCol w:w="2137"/>
        <w:gridCol w:w="1418"/>
        <w:gridCol w:w="1418"/>
        <w:gridCol w:w="1276"/>
        <w:gridCol w:w="1135"/>
        <w:gridCol w:w="1842"/>
      </w:tblGrid>
      <w:tr w:rsidTr="00A61DE1" w:rsidR="00905082" w:rsidRPr="00760F1A">
        <w:tc>
          <w:tcPr>
            <w:tcW w:type="pct" w:w="243"/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60F1A">
              <w:rPr>
                <w:rFonts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pct" w:w="1102"/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60F1A">
              <w:rPr>
                <w:rFonts w:hAnsi="Times New Roman" w:ascii="Times New Roman"/>
                <w:sz w:val="20"/>
                <w:szCs w:val="20"/>
              </w:rPr>
              <w:t>Ime i prezime / naziv vjerovnika</w:t>
            </w:r>
          </w:p>
        </w:tc>
        <w:tc>
          <w:tcPr>
            <w:tcW w:type="pct" w:w="731"/>
            <w:tcMar>
              <w:left w:type="dxa" w:w="57"/>
              <w:right w:type="dxa" w:w="57"/>
            </w:tcMar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60F1A">
              <w:rPr>
                <w:rFonts w:hAnsi="Times New Roman" w:ascii="Times New Roman"/>
                <w:sz w:val="20"/>
                <w:szCs w:val="20"/>
              </w:rPr>
              <w:t xml:space="preserve">OIB </w:t>
            </w:r>
          </w:p>
        </w:tc>
        <w:tc>
          <w:tcPr>
            <w:tcW w:type="pct" w:w="731"/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60F1A">
              <w:rPr>
                <w:rFonts w:hAnsi="Times New Roman" w:ascii="Times New Roman"/>
                <w:sz w:val="20"/>
                <w:szCs w:val="20"/>
              </w:rPr>
              <w:t xml:space="preserve">Iznos prijavljene tražbine </w:t>
            </w:r>
          </w:p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8"/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60F1A">
              <w:rPr>
                <w:rFonts w:hAnsi="Times New Roman" w:ascii="Times New Roman"/>
                <w:sz w:val="20"/>
                <w:szCs w:val="20"/>
              </w:rPr>
              <w:t xml:space="preserve">Iznos priznate tražbine </w:t>
            </w:r>
          </w:p>
        </w:tc>
        <w:tc>
          <w:tcPr>
            <w:tcW w:type="pct" w:w="585"/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60F1A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</w:tc>
        <w:tc>
          <w:tcPr>
            <w:tcW w:type="pct" w:w="950"/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60F1A">
              <w:rPr>
                <w:rFonts w:hAnsi="Times New Roman" w:ascii="Times New Roman"/>
                <w:sz w:val="20"/>
                <w:szCs w:val="20"/>
              </w:rPr>
              <w:t xml:space="preserve">Osporavatelj/razlog osporavanja </w:t>
            </w:r>
          </w:p>
        </w:tc>
      </w:tr>
      <w:tr w:rsidTr="00A61DE1" w:rsidR="00905082" w:rsidRPr="00760F1A">
        <w:tc>
          <w:tcPr>
            <w:tcW w:type="pct" w:w="243"/>
            <w:vAlign w:val="center"/>
          </w:tcPr>
          <w:p w:rsidRDefault="00905082" w:rsidP="00A61DE1" w:rsidR="00905082" w:rsidRPr="00760F1A">
            <w:pPr>
              <w:jc w:val="center"/>
              <w:rPr>
                <w:sz w:val="20"/>
                <w:szCs w:val="20"/>
              </w:rPr>
            </w:pPr>
            <w:r w:rsidRPr="00760F1A">
              <w:rPr>
                <w:sz w:val="20"/>
                <w:szCs w:val="20"/>
              </w:rPr>
              <w:t>1.</w:t>
            </w:r>
          </w:p>
        </w:tc>
        <w:tc>
          <w:tcPr>
            <w:tcW w:type="pct" w:w="1102"/>
            <w:vAlign w:val="center"/>
          </w:tcPr>
          <w:p w:rsidRDefault="00905082" w:rsidP="00A61DE1" w:rsidR="00905082" w:rsidRPr="00760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RH MINISTARSTVO FINANCIJA, POREZNA UPRAVA, PODRUČNI URED DALMACIJA </w:t>
            </w:r>
          </w:p>
        </w:tc>
        <w:tc>
          <w:tcPr>
            <w:tcW w:type="pct" w:w="731"/>
            <w:tcMar>
              <w:left w:type="dxa" w:w="57"/>
              <w:right w:type="dxa" w:w="57"/>
            </w:tcMar>
            <w:vAlign w:val="center"/>
          </w:tcPr>
          <w:p w:rsidRDefault="00905082" w:rsidP="00A61DE1" w:rsidR="00905082" w:rsidRPr="00760F1A">
            <w:pPr>
              <w:jc w:val="center"/>
              <w:rPr>
                <w:sz w:val="20"/>
                <w:szCs w:val="20"/>
              </w:rPr>
            </w:pPr>
            <w:r w:rsidRPr="00760F1A">
              <w:rPr>
                <w:sz w:val="20"/>
                <w:szCs w:val="20"/>
              </w:rPr>
              <w:t>18683136487</w:t>
            </w:r>
          </w:p>
        </w:tc>
        <w:tc>
          <w:tcPr>
            <w:tcW w:type="pct" w:w="731"/>
            <w:vAlign w:val="center"/>
          </w:tcPr>
          <w:p w:rsidRDefault="00266507" w:rsidP="00266507" w:rsidR="00905082" w:rsidRPr="00266507">
            <w:pPr>
              <w:jc w:val="center"/>
              <w:rPr>
                <w:sz w:val="20"/>
                <w:szCs w:val="20"/>
              </w:rPr>
            </w:pPr>
            <w:r w:rsidRPr="00266507">
              <w:rPr>
                <w:sz w:val="20"/>
                <w:szCs w:val="20"/>
              </w:rPr>
              <w:t>2.347.901,84</w:t>
            </w:r>
          </w:p>
        </w:tc>
        <w:tc>
          <w:tcPr>
            <w:tcW w:type="pct" w:w="658"/>
            <w:vAlign w:val="center"/>
          </w:tcPr>
          <w:p w:rsidRDefault="00905082" w:rsidP="00266507" w:rsidR="00905082" w:rsidRPr="00266507">
            <w:pPr>
              <w:pStyle w:val="Bezproreda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266507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2.347.901,84</w:t>
            </w:r>
          </w:p>
        </w:tc>
        <w:tc>
          <w:tcPr>
            <w:tcW w:type="pct" w:w="585"/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  <w:highlight w:val="yellow"/>
              </w:rPr>
            </w:pPr>
          </w:p>
        </w:tc>
        <w:tc>
          <w:tcPr>
            <w:tcW w:type="pct" w:w="950"/>
            <w:vAlign w:val="center"/>
          </w:tcPr>
          <w:p w:rsidRDefault="00905082" w:rsidP="00A61DE1" w:rsidR="00905082" w:rsidRPr="00760F1A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  <w:highlight w:val="yellow"/>
              </w:rPr>
            </w:pPr>
          </w:p>
        </w:tc>
      </w:tr>
    </w:tbl>
    <w:p w:rsidRDefault="00803DAD" w:rsidP="00266507" w:rsidR="00266507" w:rsidRPr="000B0C2A">
      <w:pPr>
        <w:spacing w:after="200" w:before="400"/>
        <w:jc w:val="center"/>
        <w:rPr>
          <w:rFonts w:eastAsia="Calibri"/>
          <w:lang w:eastAsia="en-US"/>
        </w:rPr>
      </w:pPr>
      <w:r w:rsidRPr="000B0C2A">
        <w:rPr>
          <w:rFonts w:eastAsia="Calibri"/>
          <w:lang w:eastAsia="en-US"/>
        </w:rPr>
        <w:t>Obrazloženje</w:t>
      </w:r>
    </w:p>
    <w:p w:rsidRDefault="00803DAD" w:rsidP="00803DAD" w:rsidR="00803DAD" w:rsidRPr="000B0C2A">
      <w:pPr>
        <w:spacing w:before="300"/>
        <w:ind w:firstLine="709"/>
        <w:jc w:val="both"/>
        <w:rPr>
          <w:rFonts w:cstheme="minorBidi" w:eastAsiaTheme="minorHAnsi"/>
          <w:lang w:eastAsia="en-US"/>
        </w:rPr>
      </w:pPr>
      <w:r w:rsidRPr="000B0C2A">
        <w:rPr>
          <w:rFonts w:cstheme="minorBidi" w:eastAsiaTheme="minorHAnsi"/>
          <w:lang w:eastAsia="en-US"/>
        </w:rPr>
        <w:t>Rješenjem ovog suda</w:t>
      </w:r>
      <w:r w:rsidR="000B0C2A">
        <w:rPr>
          <w:rFonts w:cstheme="minorBidi" w:eastAsiaTheme="minorHAnsi"/>
          <w:lang w:eastAsia="en-US"/>
        </w:rPr>
        <w:t xml:space="preserve"> 4.</w:t>
      </w:r>
      <w:r w:rsidRPr="000B0C2A">
        <w:rPr>
          <w:rFonts w:cstheme="minorBidi" w:eastAsiaTheme="minorHAnsi"/>
          <w:lang w:eastAsia="en-US"/>
        </w:rPr>
        <w:t>St-</w:t>
      </w:r>
      <w:r w:rsidR="000B0C2A">
        <w:rPr>
          <w:rFonts w:cstheme="minorBidi" w:eastAsiaTheme="minorHAnsi"/>
          <w:lang w:eastAsia="en-US"/>
        </w:rPr>
        <w:t>546</w:t>
      </w:r>
      <w:r w:rsidRPr="000B0C2A">
        <w:rPr>
          <w:rFonts w:cstheme="minorBidi" w:eastAsiaTheme="minorHAnsi"/>
          <w:lang w:eastAsia="en-US"/>
        </w:rPr>
        <w:t xml:space="preserve">/2017 od </w:t>
      </w:r>
      <w:r w:rsidR="000B0C2A">
        <w:rPr>
          <w:rFonts w:cstheme="minorBidi" w:eastAsiaTheme="minorHAnsi"/>
          <w:lang w:eastAsia="en-US"/>
        </w:rPr>
        <w:t>8. svibnja</w:t>
      </w:r>
      <w:r w:rsidRPr="000B0C2A">
        <w:rPr>
          <w:rFonts w:cstheme="minorBidi" w:eastAsiaTheme="minorHAnsi"/>
          <w:lang w:eastAsia="en-US"/>
        </w:rPr>
        <w:t xml:space="preserve"> 2017. određen je nastavak postupka radi naknadne diobe stečajne mase stečajnog dužnika </w:t>
      </w:r>
      <w:r w:rsidR="000B0C2A">
        <w:t>Komarča d.o.o., Jelsa</w:t>
      </w:r>
      <w:r w:rsidRPr="000B0C2A">
        <w:rPr>
          <w:rFonts w:cstheme="minorBidi" w:eastAsiaTheme="minorHAnsi"/>
          <w:lang w:eastAsia="en-US"/>
        </w:rPr>
        <w:t>.</w:t>
      </w:r>
    </w:p>
    <w:p w:rsidRDefault="00803DAD" w:rsidP="00803DAD" w:rsidR="00803DAD" w:rsidRPr="000B0C2A">
      <w:pPr>
        <w:spacing w:before="300"/>
        <w:ind w:firstLine="709"/>
        <w:jc w:val="both"/>
        <w:rPr>
          <w:rFonts w:eastAsia="Calibri"/>
          <w:lang w:eastAsia="en-US"/>
        </w:rPr>
      </w:pPr>
      <w:r w:rsidRPr="000B0C2A">
        <w:rPr>
          <w:rFonts w:eastAsia="Calibri"/>
          <w:lang w:eastAsia="en-US"/>
        </w:rPr>
        <w:t xml:space="preserve">Na ispitnom ročištu, održanom kod ovog suda </w:t>
      </w:r>
      <w:r w:rsidR="00266507">
        <w:rPr>
          <w:rFonts w:eastAsia="Calibri"/>
          <w:lang w:eastAsia="en-US"/>
        </w:rPr>
        <w:t>5. travnja</w:t>
      </w:r>
      <w:r w:rsidRPr="000B0C2A">
        <w:rPr>
          <w:rFonts w:eastAsia="Calibri"/>
          <w:lang w:eastAsia="en-US"/>
        </w:rPr>
        <w:t xml:space="preserve"> 2018., stečajn</w:t>
      </w:r>
      <w:r w:rsidR="000B0C2A">
        <w:rPr>
          <w:rFonts w:eastAsia="Calibri"/>
          <w:lang w:eastAsia="en-US"/>
        </w:rPr>
        <w:t>a</w:t>
      </w:r>
      <w:r w:rsidRPr="000B0C2A">
        <w:rPr>
          <w:rFonts w:eastAsia="Calibri"/>
          <w:lang w:eastAsia="en-US"/>
        </w:rPr>
        <w:t xml:space="preserve"> upravitelj</w:t>
      </w:r>
      <w:r w:rsidR="000B0C2A">
        <w:rPr>
          <w:rFonts w:eastAsia="Calibri"/>
          <w:lang w:eastAsia="en-US"/>
        </w:rPr>
        <w:t>ica</w:t>
      </w:r>
      <w:r w:rsidRPr="000B0C2A">
        <w:rPr>
          <w:rFonts w:eastAsia="Calibri"/>
          <w:lang w:eastAsia="en-US"/>
        </w:rPr>
        <w:t xml:space="preserve"> prizna</w:t>
      </w:r>
      <w:r w:rsidR="000B0C2A">
        <w:rPr>
          <w:rFonts w:eastAsia="Calibri"/>
          <w:lang w:eastAsia="en-US"/>
        </w:rPr>
        <w:t>la</w:t>
      </w:r>
      <w:r w:rsidRPr="000B0C2A">
        <w:rPr>
          <w:rFonts w:eastAsia="Calibri"/>
          <w:lang w:eastAsia="en-US"/>
        </w:rPr>
        <w:t xml:space="preserve"> je jedinu prijavljenu tražbinu i to onu Republike Hrvatske, </w:t>
      </w:r>
      <w:r w:rsidRPr="000B0C2A">
        <w:t xml:space="preserve">Ministarstva financija, Porezne uprave u iznosu od </w:t>
      </w:r>
      <w:r w:rsidR="000B0C2A">
        <w:t>2.347.901,84</w:t>
      </w:r>
      <w:r w:rsidRPr="000B0C2A">
        <w:t xml:space="preserve"> kn  u II. višem isplatnom redu.</w:t>
      </w:r>
    </w:p>
    <w:p w:rsidRDefault="00803DAD" w:rsidP="00803DAD" w:rsidR="00803DAD" w:rsidRPr="000B0C2A">
      <w:pPr>
        <w:spacing w:before="300"/>
        <w:ind w:firstLine="709"/>
        <w:jc w:val="both"/>
      </w:pPr>
      <w:r w:rsidRPr="000B0C2A">
        <w:t>Prema čl</w:t>
      </w:r>
      <w:r w:rsidR="00266507">
        <w:t>anku</w:t>
      </w:r>
      <w:r w:rsidRPr="000B0C2A">
        <w:t xml:space="preserve"> 263. Stečajnog zakona („Narodne novine“ 71/15 i 104/17; dalje SZ) tražbina se smatra utvrđenom ako ju na ispitnom ročištu prizna stečajni upravitelj, a ne ospori koji od stečajnih vjerovnika, odnosno ako izjavljeno osporavanje bude otklonjeno.</w:t>
      </w:r>
    </w:p>
    <w:p w:rsidRDefault="00803DAD" w:rsidP="00AE36DD" w:rsidR="00266507">
      <w:pPr>
        <w:spacing w:before="300"/>
        <w:ind w:firstLine="709"/>
        <w:jc w:val="both"/>
        <w:rPr>
          <w:rFonts w:eastAsia="Calibri"/>
          <w:lang w:eastAsia="en-US"/>
        </w:rPr>
      </w:pPr>
      <w:r w:rsidRPr="000B0C2A">
        <w:rPr>
          <w:rFonts w:eastAsia="Calibri"/>
          <w:lang w:eastAsia="en-US"/>
        </w:rPr>
        <w:lastRenderedPageBreak/>
        <w:t>Slijedom navedenog, odlučeno je u kojem isplatnom redu i u kojem iznosu su utvrđene prijavljene tražbine stečajnih vjerovnika, a sve to na temelju odredbe čl</w:t>
      </w:r>
      <w:r w:rsidR="00266507">
        <w:rPr>
          <w:rFonts w:eastAsia="Calibri"/>
          <w:lang w:eastAsia="en-US"/>
        </w:rPr>
        <w:t>anka</w:t>
      </w:r>
      <w:r w:rsidRPr="000B0C2A">
        <w:rPr>
          <w:rFonts w:eastAsia="Calibri"/>
          <w:lang w:eastAsia="en-US"/>
        </w:rPr>
        <w:t xml:space="preserve"> 265. st</w:t>
      </w:r>
      <w:r w:rsidR="00266507">
        <w:rPr>
          <w:rFonts w:eastAsia="Calibri"/>
          <w:lang w:eastAsia="en-US"/>
        </w:rPr>
        <w:t xml:space="preserve">avak 1. SZ </w:t>
      </w:r>
      <w:r w:rsidRPr="000B0C2A">
        <w:rPr>
          <w:rFonts w:eastAsia="Calibri"/>
          <w:lang w:eastAsia="en-US"/>
        </w:rPr>
        <w:t>te prethodno sastavljene tablice ispitanih tražbina - čl</w:t>
      </w:r>
      <w:r w:rsidR="00266507">
        <w:rPr>
          <w:rFonts w:eastAsia="Calibri"/>
          <w:lang w:eastAsia="en-US"/>
        </w:rPr>
        <w:t>anak 264. SZ</w:t>
      </w:r>
      <w:r w:rsidRPr="000B0C2A">
        <w:rPr>
          <w:rFonts w:eastAsia="Calibri"/>
          <w:lang w:eastAsia="en-US"/>
        </w:rPr>
        <w:t>.</w:t>
      </w:r>
    </w:p>
    <w:p w:rsidRDefault="00803DAD" w:rsidP="00803DAD" w:rsidR="00803DAD" w:rsidRPr="000B0C2A">
      <w:pPr>
        <w:spacing w:before="240"/>
        <w:jc w:val="center"/>
        <w:rPr>
          <w:rFonts w:eastAsia="Calibri"/>
          <w:lang w:eastAsia="en-US"/>
        </w:rPr>
      </w:pPr>
      <w:r w:rsidRPr="000B0C2A">
        <w:rPr>
          <w:rFonts w:eastAsia="Calibri"/>
          <w:lang w:eastAsia="en-US"/>
        </w:rPr>
        <w:t>U Splitu</w:t>
      </w:r>
      <w:r w:rsidR="00266507">
        <w:rPr>
          <w:rFonts w:eastAsia="Calibri"/>
          <w:lang w:eastAsia="en-US"/>
        </w:rPr>
        <w:t>,</w:t>
      </w:r>
      <w:r w:rsidRPr="000B0C2A">
        <w:rPr>
          <w:rFonts w:eastAsia="Calibri"/>
          <w:lang w:eastAsia="en-US"/>
        </w:rPr>
        <w:t xml:space="preserve"> </w:t>
      </w:r>
      <w:r w:rsidR="00266507">
        <w:rPr>
          <w:rFonts w:eastAsia="Calibri"/>
          <w:lang w:eastAsia="en-US"/>
        </w:rPr>
        <w:t>5. travnja</w:t>
      </w:r>
      <w:r w:rsidRPr="000B0C2A">
        <w:rPr>
          <w:rFonts w:eastAsia="Calibri"/>
          <w:lang w:eastAsia="en-US"/>
        </w:rPr>
        <w:t xml:space="preserve"> 2018.</w:t>
      </w:r>
    </w:p>
    <w:p w:rsidRDefault="000B0C2A" w:rsidP="00803DAD" w:rsidR="00803DAD">
      <w:pPr>
        <w:spacing w:before="200"/>
        <w:ind w:left="708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Sudac</w:t>
      </w:r>
    </w:p>
    <w:p w:rsidRDefault="000B0C2A" w:rsidP="00803DAD" w:rsidR="000B0C2A" w:rsidRPr="000B0C2A">
      <w:pPr>
        <w:spacing w:before="200"/>
        <w:ind w:left="7080"/>
        <w:jc w:val="center"/>
        <w:rPr>
          <w:rFonts w:eastAsia="Calibri"/>
          <w:lang w:eastAsia="en-US"/>
        </w:rPr>
      </w:pPr>
    </w:p>
    <w:p w:rsidRDefault="00913496" w:rsidP="00913496" w:rsidR="00803DAD">
      <w:pPr>
        <w:spacing w:before="4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Katarina Mikulić,v.r.</w:t>
      </w:r>
    </w:p>
    <w:p w:rsidRDefault="00913496" w:rsidP="0071700F" w:rsidR="009134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913496" w:rsidP="0071700F" w:rsidR="00913496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913496" w:rsidP="00803DAD" w:rsidR="00913496" w:rsidRPr="000B0C2A">
      <w:pPr>
        <w:spacing w:before="40"/>
        <w:ind w:left="7080"/>
        <w:jc w:val="center"/>
        <w:rPr>
          <w:rFonts w:eastAsia="Calibri"/>
          <w:lang w:eastAsia="en-US"/>
        </w:rPr>
      </w:pPr>
    </w:p>
    <w:p w:rsidRDefault="00803DAD" w:rsidP="00803DAD" w:rsidR="00803DAD" w:rsidRPr="000B0C2A">
      <w:pPr>
        <w:jc w:val="both"/>
        <w:rPr>
          <w:rFonts w:eastAsia="Calibri"/>
          <w:u w:val="single"/>
          <w:lang w:eastAsia="en-US"/>
        </w:rPr>
      </w:pPr>
    </w:p>
    <w:p w:rsidRDefault="00803DAD" w:rsidP="00803DAD" w:rsidR="00803DAD" w:rsidRPr="000B0C2A">
      <w:pPr>
        <w:spacing w:before="200"/>
        <w:jc w:val="both"/>
        <w:rPr>
          <w:lang w:eastAsia="en-US"/>
        </w:rPr>
      </w:pPr>
      <w:r w:rsidRPr="000B0C2A">
        <w:rPr>
          <w:lang w:eastAsia="en-US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03DAD" w:rsidP="00803DAD" w:rsidR="00803DAD" w:rsidRPr="000B0C2A">
      <w:pPr>
        <w:ind w:firstLine="360"/>
        <w:jc w:val="both"/>
        <w:rPr>
          <w:lang w:eastAsia="en-US"/>
        </w:rPr>
      </w:pPr>
    </w:p>
    <w:p w:rsidRDefault="00853B3E" w:rsidR="00853B3E" w:rsidRPr="000B0C2A"/>
    <w:sectPr w:rsidSect="000B0C2A" w:rsidR="00853B3E" w:rsidRPr="000B0C2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C2A" w:rsidP="000B0C2A" w:rsidR="000B0C2A">
      <w:r>
        <w:separator/>
      </w:r>
    </w:p>
  </w:endnote>
  <w:endnote w:id="0" w:type="continuationSeparator">
    <w:p w:rsidRDefault="000B0C2A" w:rsidP="000B0C2A" w:rsidR="000B0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C2A" w:rsidP="000B0C2A" w:rsidR="000B0C2A">
      <w:r>
        <w:separator/>
      </w:r>
    </w:p>
  </w:footnote>
  <w:footnote w:id="0" w:type="continuationSeparator">
    <w:p w:rsidRDefault="000B0C2A" w:rsidP="000B0C2A" w:rsidR="000B0C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C2A" w:rsidP="000B0C2A" w:rsidR="000B0C2A">
    <w:pPr>
      <w:pStyle w:val="Zaglavlje"/>
      <w:tabs>
        <w:tab w:pos="7530" w:val="left"/>
      </w:tabs>
    </w:pPr>
    <w:r>
      <w:tab/>
    </w:r>
    <w:sdt>
      <w:sdtPr>
        <w:id w:val="-1682511806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13496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</w:t>
    </w:r>
    <w:r w:rsidRPr="000B0C2A">
      <w:rPr>
        <w:noProof/>
      </w:rPr>
      <w:t xml:space="preserve">Poslovni broj: </w:t>
    </w:r>
    <w:r>
      <w:rPr>
        <w:noProof/>
      </w:rPr>
      <w:t>4</w:t>
    </w:r>
    <w:r w:rsidRPr="000B0C2A">
      <w:rPr>
        <w:noProof/>
      </w:rPr>
      <w:t>.St-</w:t>
    </w:r>
    <w:r>
      <w:rPr>
        <w:noProof/>
      </w:rPr>
      <w:t>546</w:t>
    </w:r>
    <w:r w:rsidRPr="000B0C2A">
      <w:rPr>
        <w:noProof/>
      </w:rPr>
      <w:t>/2017</w:t>
    </w:r>
  </w:p>
  <w:p w:rsidRDefault="000B0C2A" w:rsidR="000B0C2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DAD"/>
    <w:rsid w:val="00066650"/>
    <w:rsid w:val="00085E7C"/>
    <w:rsid w:val="000B0C2A"/>
    <w:rsid w:val="000B4D96"/>
    <w:rsid w:val="000D5416"/>
    <w:rsid w:val="000E6D83"/>
    <w:rsid w:val="0024181F"/>
    <w:rsid w:val="00266507"/>
    <w:rsid w:val="002C285B"/>
    <w:rsid w:val="003C2F22"/>
    <w:rsid w:val="00417EA6"/>
    <w:rsid w:val="0071519E"/>
    <w:rsid w:val="007F7A84"/>
    <w:rsid w:val="00803DAD"/>
    <w:rsid w:val="00814EDB"/>
    <w:rsid w:val="00815142"/>
    <w:rsid w:val="00853B3E"/>
    <w:rsid w:val="00905082"/>
    <w:rsid w:val="00913496"/>
    <w:rsid w:val="00981D37"/>
    <w:rsid w:val="00A51DE9"/>
    <w:rsid w:val="00AE36DD"/>
    <w:rsid w:val="00B7506F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3DA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03DA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03DA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3DAD"/>
    <w:pPr>
      <w:ind w:left="720"/>
      <w:contextualSpacing/>
    </w:pPr>
  </w:style>
  <w:style w:styleId="Reetkatablice" w:type="table">
    <w:name w:val="Table Grid"/>
    <w:basedOn w:val="Obinatablica"/>
    <w:rsid w:val="00803DAD"/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3D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3DA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B0C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C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0C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C2A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05082"/>
    <w:rPr>
      <w:rFonts w:cs="Times New Roman"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13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4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3DA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03DA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03DA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03DAD"/>
    <w:pPr>
      <w:ind w:left="720"/>
      <w:contextualSpacing/>
    </w:pPr>
  </w:style>
  <w:style w:styleId="Reetkatablice" w:type="table">
    <w:name w:val="Table Grid"/>
    <w:basedOn w:val="Obinatablica"/>
    <w:rsid w:val="00803DAD"/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3D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3DA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B0C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C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0C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C2A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05082"/>
    <w:rPr>
      <w:rFonts w:ascii="Calibri" w:cs="Times New Roman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13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665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 u stečaju</izvorni_sadrzaj>
    <derivirana_varijabla naziv="DomainObject.Predmet.ProtustrankaFormated_1">  Stečajna masa iza KOMARČA, društvo s ograničenom odgovornošću za turizam, ugostiteljstvo i graditeljstvo u stečaju</derivirana_varijabla>
  </DomainObject.Predmet.ProtustrankaFormated>
  <DomainObject.Predmet.ProtustrankaFormatedOIB>
    <izvorni_sadrzaj>  Stečajna masa iza KOMARČA, društvo s ograničenom odgovornošću za turizam, ugostiteljstvo i graditeljstvo u stečaju, OIB 92123098901</izvorni_sadrzaj>
    <derivirana_varijabla naziv="DomainObject.Predmet.ProtustrankaFormatedOIB_1">  Stečajna masa iza KOMARČA, društvo s ograničenom odgovornošću za turizam, ugostiteljstvo i graditeljstvo u stečaju, OIB 92123098901</derivirana_varijabla>
  </DomainObject.Predmet.ProtustrankaFormatedOIB>
  <DomainObject.Predmet.ProtustrankaFormatedWithAdress>
    <izvorni_sadrzaj> Stečajna masa iza KOMARČA, društvo s ograničenom odgovornošću za turizam, ugostiteljstvo i graditeljstvo u stečaju, Šime Ljubića 7, 21000 Split</izvorni_sadrzaj>
    <derivirana_varijabla naziv="DomainObject.Predmet.ProtustrankaFormatedWithAdress_1"> Stečajna masa iza KOMARČA, društvo s ograničenom odgovornošću za turizam, ugostiteljstvo i graditeljstvo u stečaju, Šime Ljubića 7, 21000 Split</derivirana_varijabla>
  </DomainObject.Predmet.ProtustrankaFormatedWithAdress>
  <DomainObject.Predmet.ProtustrankaFormatedWithAdressOIB>
    <izvorni_sadrzaj> Stečajna masa iza KOMARČA, društvo s ograničenom odgovornošću za turizam, ugostiteljstvo i graditeljstvo u stečaju, OIB 92123098901, Šime Ljubića 7, 21000 Split</izvorni_sadrzaj>
    <derivirana_varijabla naziv="DomainObject.Predmet.ProtustrankaFormatedWithAdressOIB_1"> Stečajna masa iza KOMARČA, društvo s ograničenom odgovornošću za turizam, ugostiteljstvo i graditeljstvo u stečaju, OIB 92123098901, Šime Ljubića 7, 21000 Split</derivirana_varijabla>
  </DomainObject.Predmet.ProtustrankaFormatedWithAdressOIB>
  <DomainObject.Predmet.ProtustrankaWithAdress>
    <izvorni_sadrzaj>Stečajna masa iza KOMARČA, društvo s ograničenom odgovornošću za turizam, ugostiteljstvo i graditeljstvo u stečaju Šime Ljubića 7, 21000 Split</izvorni_sadrzaj>
    <derivirana_varijabla naziv="DomainObject.Predmet.ProtustrankaWithAdress_1">Stečajna masa iza KOMARČA, društvo s ograničenom odgovornošću za turizam, ugostiteljstvo i graditeljstvo u stečaju Šime Ljubića 7, 21000 Split</derivirana_varijabla>
  </DomainObject.Predmet.ProtustrankaWithAdress>
  <DomainObject.Predmet.ProtustrankaWith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WithAdressOIB_1">Stečajna masa iza KOMARČA, društvo s ograničenom odgovornošću za turizam, ugostiteljstvo i graditeljstvo u stečaju, OIB 92123098901, Šime Ljubića 7, 21000 Split</derivirana_varijabla>
  </DomainObject.Predmet.ProtustrankaWithAdressOIB>
  <DomainObject.Predmet.ProtustrankaNazivFormated>
    <izvorni_sadrzaj>Stečajna masa iza KOMARČA, društvo s ograničenom odgovornošću za turizam, ugostiteljstvo i graditeljstvo u stečaju</izvorni_sadrzaj>
    <derivirana_varijabla naziv="DomainObject.Predmet.ProtustrankaNazivFormated_1">Stečajna masa iza KOMARČA, društvo s ograničenom odgovornošću za turizam, ugostiteljstvo i graditeljstvo u stečaju</derivirana_varijabla>
  </DomainObject.Predmet.ProtustrankaNazivFormated>
  <DomainObject.Predmet.ProtustrankaNazivFormatedOIB>
    <izvorni_sadrzaj>Stečajna masa iza KOMARČA, društvo s ograničenom odgovornošću za turizam, ugostiteljstvo i graditeljstvo u stečaju, OIB 92123098901</izvorni_sadrzaj>
    <derivirana_varijabla naziv="DomainObject.Predmet.ProtustrankaNazivFormatedOIB_1">Stečajna masa iza KOMARČA, društvo s ograničenom odgovornošću za turizam, ugostiteljstvo i graditeljstvo u stečaju, OIB 92123098901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 u stečaju</item>
    </izvorni_sadrzaj>
    <derivirana_varijabla naziv="DomainObject.Predmet.ProtuStrankaListFormated_1">
      <item>Stečajna masa iza KOMARČA, društvo s ograničenom odgovornošću za turizam, ugostiteljstvo i graditeljstvo u stečaju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FormatedOIB_1">
      <item>Stečajna masa iza KOMARČA, društvo s ograničenom odgovornošću za turizam, ugostiteljstvo i graditeljstvo u stečaju, OIB 92123098901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 u stečaju, Šime Ljubića 7, 21000 Split</item>
    </izvorni_sadrzaj>
    <derivirana_varijabla naziv="DomainObject.Predmet.ProtuStrankaListFormatedWithAdress_1">
      <item>Stečajna masa iza KOMARČA, društvo s ograničenom odgovornošću za turizam, ugostiteljstvo i graditeljstvo u stečaju, Šime Ljubića 7, 21000 Split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 u stečaju, OIB 92123098901, Šime Ljubića 7, 21000 Split</item>
    </izvorni_sadrzaj>
    <derivirana_varijabla naziv="DomainObject.Predmet.ProtuStrankaListFormatedWithAdressOIB_1">
      <item>Stečajna masa iza KOMARČA, društvo s ograničenom odgovornošću za turizam, ugostiteljstvo i graditeljstvo u stečaju, OIB 92123098901, Šime Ljubića 7, 21000 Split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 u stečaju</item>
    </izvorni_sadrzaj>
    <derivirana_varijabla naziv="DomainObject.Predmet.ProtuStrankaListNazivFormated_1">
      <item>Stečajna masa iza KOMARČA, društvo s ograničenom odgovornošću za turizam, ugostiteljstvo i graditeljstvo u stečaju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NazivFormatedOIB_1">
      <item>Stečajna masa iza KOMARČA, društvo s ograničenom odgovornošću za turizam, ugostiteljstvo i graditeljstvo u stečaju, OIB 92123098901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 u stečaju</izvorni_sadrzaj>
    <derivirana_varijabla naziv="DomainObject.Predmet.ProtustrankaIDrugi_1">Stečajna masa iza KOMARČA, društvo s ograničenom odgovornošću za turizam, ugostiteljstvo i graditeljstvo u stečaju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IDrugiAdressOIB_1">Stečajna masa iza KOMARČA, društvo s ograničenom odgovornošću za turizam, ugostiteljstvo i graditeljstvo u stečaju, OIB 92123098901,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92123098901</item>
      <item>, OIB 27103610227</item>
      <item>, OIB 18683136487</item>
      <item>, OIB null</item>
    </izvorni_sadrzaj>
    <derivirana_varijabla naziv="DomainObject.Predmet.SudioniciListNazivOIB_1">
      <item>, OIB 92123098901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1802</properties:Characters>
  <properties:Lines>77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2018-02-21T13:42:00Z</dcterms:created>
  <dc:creator>Katarina Mikulić</dc:creator>
  <cp:lastModifiedBy>Katarina Mikulić</cp:lastModifiedBy>
  <cp:lastPrinted>2018-04-05T09:50:00Z</cp:lastPrinted>
  <dcterms:modified xmlns:xsi="http://www.w3.org/2001/XMLSchema-instance" xsi:type="dcterms:W3CDTF">2018-04-05T09:50:00Z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