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693c" w14:paraId="8d0693c" w:rsidRDefault="00744E4D" w:rsidR="009E33F5">
      <w:pPr>
        <w:pStyle w:val="Tijeloteksta2"/>
        <w:tabs>
          <w:tab w:pos="6150" w:val="left"/>
        </w:tabs>
        <w:jc w:val="right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sz w:val="24"/>
        </w:rPr>
        <w:t>P</w:t>
      </w:r>
      <w:r w:rsidR="009E33F5">
        <w:rPr>
          <w:sz w:val="24"/>
        </w:rPr>
        <w:t xml:space="preserve">osl.br. </w:t>
      </w:r>
      <w:r w:rsidR="009E33F5">
        <w:rPr>
          <w:b/>
          <w:bCs/>
          <w:sz w:val="24"/>
        </w:rPr>
        <w:t>St-</w:t>
      </w:r>
      <w:r w:rsidR="00DB12F3">
        <w:rPr>
          <w:b/>
          <w:bCs/>
          <w:sz w:val="24"/>
        </w:rPr>
        <w:t>1285/17</w:t>
      </w:r>
    </w:p>
    <w:p w:rsidRDefault="00744E4D" w:rsidR="00744E4D" w:rsidRPr="00744E4D">
      <w:pPr>
        <w:pStyle w:val="Tijeloteksta2"/>
        <w:tabs>
          <w:tab w:pos="6150" w:val="left"/>
        </w:tabs>
        <w:jc w:val="right"/>
        <w:rPr>
          <w:bCs/>
          <w:sz w:val="24"/>
        </w:rPr>
      </w:pPr>
      <w:r w:rsidRPr="00744E4D">
        <w:rPr>
          <w:bCs/>
          <w:sz w:val="24"/>
        </w:rPr>
        <w:t xml:space="preserve">Trgovački sud u </w:t>
      </w:r>
      <w:r w:rsidR="00DB12F3">
        <w:rPr>
          <w:bCs/>
          <w:sz w:val="24"/>
        </w:rPr>
        <w:t>Zagrebu</w:t>
      </w:r>
    </w:p>
    <w:p w:rsidRDefault="009E33F5" w:rsidR="009E33F5" w:rsidRPr="002612C2">
      <w:pPr>
        <w:pStyle w:val="Tijeloteksta2"/>
        <w:tabs>
          <w:tab w:pos="6150" w:val="left"/>
        </w:tabs>
        <w:jc w:val="right"/>
        <w:rPr>
          <w:b/>
          <w:bCs/>
          <w:szCs w:val="22"/>
        </w:rPr>
      </w:pPr>
    </w:p>
    <w:p w:rsidRDefault="00BE6718" w:rsidP="00BE6718" w:rsidR="00BE6718">
      <w:pPr>
        <w:pStyle w:val="Zaglavlje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POPIS  PREDMETA STEČAJNE MASE (čl. 221 SZ)</w:t>
      </w:r>
    </w:p>
    <w:p w:rsidRDefault="00DB12F3" w:rsidP="00DB12F3" w:rsidR="00BE6718">
      <w:pPr>
        <w:pStyle w:val="Zaglavlje"/>
        <w:jc w:val="center"/>
        <w:rPr>
          <w:i/>
          <w:sz w:val="22"/>
          <w:szCs w:val="22"/>
        </w:rPr>
      </w:pPr>
      <w:r w:rsidRPr="00DB12F3">
        <w:rPr>
          <w:i/>
          <w:sz w:val="22"/>
          <w:szCs w:val="22"/>
        </w:rPr>
        <w:t xml:space="preserve">Stečajna masa iza NEOMEDIA KOMUNIKACIJE d.o.o. – u stečaju, OIB: 69866756998, </w:t>
      </w:r>
    </w:p>
    <w:p w:rsidRDefault="00DB12F3" w:rsidP="00DB12F3" w:rsidR="009E33F5">
      <w:pPr>
        <w:pStyle w:val="Zaglavlje"/>
        <w:jc w:val="center"/>
        <w:rPr>
          <w:i/>
          <w:sz w:val="22"/>
          <w:szCs w:val="22"/>
        </w:rPr>
      </w:pPr>
      <w:r w:rsidRPr="00DB12F3">
        <w:rPr>
          <w:i/>
          <w:sz w:val="22"/>
          <w:szCs w:val="22"/>
        </w:rPr>
        <w:t>Zagreb, Bukovačka cesta 51</w:t>
      </w:r>
    </w:p>
    <w:p w:rsidRDefault="00BE6718" w:rsidP="00DB12F3" w:rsidR="00BE6718">
      <w:pPr>
        <w:pStyle w:val="Zaglavlje"/>
        <w:jc w:val="center"/>
        <w:rPr>
          <w:i/>
          <w:sz w:val="22"/>
          <w:szCs w:val="22"/>
        </w:rPr>
      </w:pPr>
    </w:p>
    <w:p w:rsidRDefault="00BE6718" w:rsidP="00DB12F3" w:rsidR="00BE6718" w:rsidRPr="002612C2">
      <w:pPr>
        <w:pStyle w:val="Zaglavlje"/>
        <w:jc w:val="center"/>
        <w:rPr>
          <w:sz w:val="22"/>
          <w:szCs w:val="22"/>
        </w:rPr>
      </w:pPr>
    </w:p>
    <w:p w:rsidRDefault="00104FF0" w:rsidR="00AB055C" w:rsidRPr="002612C2">
      <w:pPr>
        <w:pStyle w:val="Tijeloteksta2"/>
        <w:tabs>
          <w:tab w:pos="6150" w:val="left"/>
        </w:tabs>
        <w:rPr>
          <w:szCs w:val="22"/>
        </w:rPr>
      </w:pPr>
      <w:r w:rsidRPr="002612C2">
        <w:rPr>
          <w:szCs w:val="22"/>
        </w:rPr>
        <w:t xml:space="preserve">                 </w:t>
      </w:r>
    </w:p>
    <w:tbl>
      <w:tblPr>
        <w:tblW w:type="dxa" w:w="988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936"/>
        <w:gridCol w:w="2693"/>
        <w:gridCol w:w="3260"/>
      </w:tblGrid>
      <w:tr w:rsidTr="0068431C" w:rsidR="00AB055C" w:rsidRPr="00AB055C">
        <w:tc>
          <w:tcPr>
            <w:tcW w:type="dxa" w:w="3936"/>
            <w:shd w:fill="auto" w:color="auto" w:val="clear"/>
          </w:tcPr>
          <w:p w:rsidRDefault="00AB055C" w:rsidP="00AB055C" w:rsidR="00AB055C" w:rsidRPr="00AB055C">
            <w:pPr>
              <w:tabs>
                <w:tab w:pos="6150" w:val="left"/>
              </w:tabs>
              <w:rPr>
                <w:iCs/>
              </w:rPr>
            </w:pPr>
            <w:r w:rsidRPr="00AB055C">
              <w:rPr>
                <w:iCs/>
              </w:rPr>
              <w:t>IMOVINA</w:t>
            </w:r>
          </w:p>
        </w:tc>
        <w:tc>
          <w:tcPr>
            <w:tcW w:type="dxa" w:w="2693"/>
            <w:shd w:fill="auto" w:color="auto" w:val="clear"/>
          </w:tcPr>
          <w:p w:rsidRDefault="00AB055C" w:rsidP="00AB055C" w:rsidR="00AB055C" w:rsidRPr="00AB055C">
            <w:pPr>
              <w:tabs>
                <w:tab w:pos="6150" w:val="left"/>
              </w:tabs>
              <w:rPr>
                <w:iCs/>
              </w:rPr>
            </w:pPr>
            <w:r w:rsidRPr="00AB055C">
              <w:rPr>
                <w:iCs/>
              </w:rPr>
              <w:t>Knjigov. vrijednost (kn)</w:t>
            </w:r>
          </w:p>
        </w:tc>
        <w:tc>
          <w:tcPr>
            <w:tcW w:type="dxa" w:w="3260"/>
            <w:tcBorders>
              <w:right w:space="0" w:sz="4" w:color="auto" w:val="single"/>
            </w:tcBorders>
            <w:shd w:fill="auto" w:color="auto" w:val="clear"/>
          </w:tcPr>
          <w:p w:rsidRDefault="00AB055C" w:rsidP="00AB055C" w:rsidR="00AB055C" w:rsidRPr="00AB055C">
            <w:pPr>
              <w:tabs>
                <w:tab w:pos="6150" w:val="left"/>
              </w:tabs>
              <w:rPr>
                <w:iCs/>
              </w:rPr>
            </w:pPr>
            <w:r w:rsidRPr="00AB055C">
              <w:rPr>
                <w:iCs/>
              </w:rPr>
              <w:t xml:space="preserve">Tržišna </w:t>
            </w:r>
          </w:p>
          <w:p w:rsidRDefault="00AB055C" w:rsidP="00AB055C" w:rsidR="00AB055C" w:rsidRPr="00AB055C">
            <w:pPr>
              <w:tabs>
                <w:tab w:pos="6150" w:val="left"/>
              </w:tabs>
              <w:rPr>
                <w:iCs/>
              </w:rPr>
            </w:pPr>
            <w:r w:rsidRPr="00AB055C">
              <w:rPr>
                <w:iCs/>
              </w:rPr>
              <w:t>Vrijednost – naplativost (kn)</w:t>
            </w:r>
          </w:p>
        </w:tc>
      </w:tr>
      <w:tr w:rsidTr="0068431C" w:rsidR="00AB055C" w:rsidRPr="00AB055C">
        <w:tc>
          <w:tcPr>
            <w:tcW w:type="dxa" w:w="3936"/>
            <w:shd w:fill="auto" w:color="auto" w:val="clear"/>
          </w:tcPr>
          <w:p w:rsidRDefault="00AB055C" w:rsidP="00AB055C" w:rsidR="00AB055C" w:rsidRPr="00AB055C">
            <w:pPr>
              <w:tabs>
                <w:tab w:pos="6150" w:val="left"/>
              </w:tabs>
              <w:rPr>
                <w:iCs/>
                <w:color w:val="000000"/>
              </w:rPr>
            </w:pPr>
            <w:r w:rsidRPr="00AB055C">
              <w:rPr>
                <w:iCs/>
                <w:color w:val="000000"/>
              </w:rPr>
              <w:t xml:space="preserve">NEKRETNINE-nema </w:t>
            </w:r>
          </w:p>
        </w:tc>
        <w:tc>
          <w:tcPr>
            <w:tcW w:type="dxa" w:w="2693"/>
            <w:shd w:fill="auto" w:color="auto" w:val="clear"/>
          </w:tcPr>
          <w:p w:rsidRDefault="00AB055C" w:rsidP="00AB055C" w:rsidR="00AB055C" w:rsidRPr="00AB055C">
            <w:pPr>
              <w:tabs>
                <w:tab w:pos="6150" w:val="left"/>
              </w:tabs>
              <w:jc w:val="right"/>
              <w:rPr>
                <w:iCs/>
                <w:color w:val="000000"/>
              </w:rPr>
            </w:pPr>
            <w:r w:rsidRPr="00AB055C">
              <w:rPr>
                <w:iCs/>
                <w:color w:val="000000"/>
              </w:rPr>
              <w:t>-</w:t>
            </w:r>
          </w:p>
        </w:tc>
        <w:tc>
          <w:tcPr>
            <w:tcW w:type="dxa" w:w="3260"/>
            <w:tcBorders>
              <w:right w:space="0" w:sz="4" w:color="auto" w:val="single"/>
            </w:tcBorders>
            <w:shd w:fill="auto" w:color="auto" w:val="clear"/>
          </w:tcPr>
          <w:p w:rsidRDefault="00AB055C" w:rsidP="00AB055C" w:rsidR="00AB055C" w:rsidRPr="00AB055C">
            <w:pPr>
              <w:tabs>
                <w:tab w:pos="6150" w:val="left"/>
              </w:tabs>
              <w:jc w:val="right"/>
              <w:rPr>
                <w:iCs/>
                <w:color w:val="000000"/>
              </w:rPr>
            </w:pPr>
            <w:r w:rsidRPr="00AB055C">
              <w:rPr>
                <w:iCs/>
                <w:color w:val="000000"/>
              </w:rPr>
              <w:t>-</w:t>
            </w:r>
          </w:p>
        </w:tc>
      </w:tr>
      <w:tr w:rsidTr="0068431C" w:rsidR="00AB055C" w:rsidRPr="00AB055C">
        <w:trPr>
          <w:trHeight w:val="1584"/>
        </w:trPr>
        <w:tc>
          <w:tcPr>
            <w:tcW w:type="dxa" w:w="3936"/>
            <w:shd w:fill="auto" w:color="auto" w:val="clear"/>
          </w:tcPr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both"/>
              <w:rPr>
                <w:iCs/>
                <w:color w:val="000000"/>
              </w:rPr>
            </w:pPr>
            <w:r w:rsidRPr="00AB055C">
              <w:rPr>
                <w:iCs/>
                <w:color w:val="000000"/>
              </w:rPr>
              <w:t>POKRETNINE</w:t>
            </w:r>
          </w:p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both"/>
              <w:rPr>
                <w:iCs/>
                <w:color w:val="000000"/>
              </w:rPr>
            </w:pPr>
            <w:r w:rsidRPr="00AB055C">
              <w:rPr>
                <w:iCs/>
                <w:color w:val="000000"/>
              </w:rPr>
              <w:t xml:space="preserve">Rabljena uredska oprema – stara oko 10 godina (3 računala, 3 printera, 1 fax, 4 monitora, 1 laptop) – djelomično neispravna  </w:t>
            </w:r>
          </w:p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both"/>
              <w:rPr>
                <w:iCs/>
                <w:color w:val="000000"/>
              </w:rPr>
            </w:pPr>
          </w:p>
        </w:tc>
        <w:tc>
          <w:tcPr>
            <w:tcW w:type="dxa" w:w="2693"/>
            <w:shd w:fill="auto" w:color="auto" w:val="clear"/>
          </w:tcPr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right"/>
              <w:rPr>
                <w:iCs/>
                <w:color w:val="000000"/>
              </w:rPr>
            </w:pPr>
            <w:r w:rsidRPr="00AB055C">
              <w:rPr>
                <w:iCs/>
                <w:color w:val="000000"/>
              </w:rPr>
              <w:t xml:space="preserve">- </w:t>
            </w:r>
          </w:p>
        </w:tc>
        <w:tc>
          <w:tcPr>
            <w:tcW w:type="dxa" w:w="3260"/>
            <w:tcBorders>
              <w:right w:space="0" w:sz="4" w:color="auto" w:val="single"/>
            </w:tcBorders>
            <w:shd w:fill="auto" w:color="auto" w:val="clear"/>
          </w:tcPr>
          <w:p w:rsidRDefault="00AB055C" w:rsidP="00AB055C" w:rsidR="00AB055C" w:rsidRPr="00AB055C">
            <w:pPr>
              <w:tabs>
                <w:tab w:pos="6150" w:val="left"/>
              </w:tabs>
              <w:jc w:val="right"/>
              <w:rPr>
                <w:iCs/>
              </w:rPr>
            </w:pPr>
            <w:r w:rsidRPr="00AB055C">
              <w:rPr>
                <w:iCs/>
              </w:rPr>
              <w:t xml:space="preserve">5.000,00 </w:t>
            </w:r>
          </w:p>
          <w:p w:rsidRDefault="00AB055C" w:rsidP="00AB055C" w:rsidR="00AB055C" w:rsidRPr="00AB055C">
            <w:pPr>
              <w:tabs>
                <w:tab w:pos="6150" w:val="left"/>
              </w:tabs>
              <w:jc w:val="right"/>
              <w:rPr>
                <w:iCs/>
                <w:color w:val="000000"/>
              </w:rPr>
            </w:pPr>
            <w:r w:rsidRPr="00AB055C">
              <w:rPr>
                <w:iCs/>
                <w:color w:val="000000"/>
              </w:rPr>
              <w:t>(procjena steč.upr)</w:t>
            </w:r>
          </w:p>
        </w:tc>
      </w:tr>
      <w:tr w:rsidTr="0068431C" w:rsidR="00AB055C" w:rsidRPr="00AB055C">
        <w:tc>
          <w:tcPr>
            <w:tcW w:type="dxa" w:w="3936"/>
            <w:shd w:fill="auto" w:color="auto" w:val="clear"/>
          </w:tcPr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both"/>
              <w:rPr>
                <w:iCs/>
                <w:color w:val="000000"/>
              </w:rPr>
            </w:pPr>
            <w:r w:rsidRPr="00AB055C">
              <w:rPr>
                <w:iCs/>
                <w:color w:val="000000"/>
              </w:rPr>
              <w:t>NOVČANE TRAŽBINE</w:t>
            </w:r>
          </w:p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both"/>
              <w:rPr>
                <w:iCs/>
                <w:color w:val="000000"/>
              </w:rPr>
            </w:pPr>
            <w:r w:rsidRPr="00AB055C">
              <w:rPr>
                <w:iCs/>
                <w:color w:val="000000"/>
              </w:rPr>
              <w:t>Novi list -  Stpn-28/15 TS Rijeka</w:t>
            </w:r>
          </w:p>
        </w:tc>
        <w:tc>
          <w:tcPr>
            <w:tcW w:type="dxa" w:w="2693"/>
            <w:shd w:fill="auto" w:color="auto" w:val="clear"/>
          </w:tcPr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right"/>
              <w:rPr>
                <w:iCs/>
                <w:color w:val="000000"/>
              </w:rPr>
            </w:pPr>
            <w:r w:rsidRPr="00AB055C">
              <w:rPr>
                <w:iCs/>
                <w:color w:val="000000"/>
              </w:rPr>
              <w:t xml:space="preserve">  60.808,13</w:t>
            </w:r>
          </w:p>
        </w:tc>
        <w:tc>
          <w:tcPr>
            <w:tcW w:type="dxa" w:w="3260"/>
            <w:tcBorders>
              <w:right w:space="0" w:sz="4" w:color="auto" w:val="single"/>
            </w:tcBorders>
            <w:shd w:fill="auto" w:color="auto" w:val="clear"/>
          </w:tcPr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right"/>
              <w:rPr>
                <w:iCs/>
              </w:rPr>
            </w:pPr>
            <w:r w:rsidRPr="00AB055C">
              <w:rPr>
                <w:iCs/>
              </w:rPr>
              <w:t>60.808,13 kn</w:t>
            </w:r>
          </w:p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right"/>
              <w:rPr>
                <w:iCs/>
              </w:rPr>
            </w:pPr>
            <w:r w:rsidRPr="00AB055C">
              <w:rPr>
                <w:iCs/>
              </w:rPr>
              <w:t>u 60 mj.rata po 1.013,47 počevši od 16.12.16. (14 rata dospjelo,  46 rata nedospjelo)</w:t>
            </w:r>
          </w:p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right"/>
              <w:rPr>
                <w:iCs/>
              </w:rPr>
            </w:pPr>
          </w:p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right"/>
              <w:rPr>
                <w:iCs/>
              </w:rPr>
            </w:pPr>
          </w:p>
        </w:tc>
      </w:tr>
      <w:tr w:rsidTr="0068431C" w:rsidR="00AB055C" w:rsidRPr="00AB055C">
        <w:trPr>
          <w:trHeight w:val="1440"/>
        </w:trPr>
        <w:tc>
          <w:tcPr>
            <w:tcW w:type="dxa" w:w="3936"/>
            <w:shd w:fill="auto" w:color="auto" w:val="clear"/>
          </w:tcPr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both"/>
              <w:rPr>
                <w:iCs/>
                <w:color w:val="000000"/>
              </w:rPr>
            </w:pPr>
            <w:r w:rsidRPr="00AB055C">
              <w:rPr>
                <w:iCs/>
                <w:color w:val="000000"/>
              </w:rPr>
              <w:t>NOVČANE TRAŽBINE</w:t>
            </w:r>
          </w:p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both"/>
              <w:rPr>
                <w:iCs/>
                <w:color w:val="000000"/>
              </w:rPr>
            </w:pPr>
            <w:r w:rsidRPr="00AB055C">
              <w:rPr>
                <w:iCs/>
                <w:color w:val="000000"/>
              </w:rPr>
              <w:t>Novi list -  Stpn-28/15 TS Rijeka</w:t>
            </w:r>
          </w:p>
        </w:tc>
        <w:tc>
          <w:tcPr>
            <w:tcW w:type="dxa" w:w="2693"/>
            <w:shd w:fill="auto" w:color="auto" w:val="clear"/>
          </w:tcPr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right"/>
              <w:rPr>
                <w:iCs/>
                <w:color w:val="000000"/>
              </w:rPr>
            </w:pPr>
            <w:r w:rsidRPr="00AB055C">
              <w:rPr>
                <w:iCs/>
                <w:color w:val="000000"/>
              </w:rPr>
              <w:t>20.848,50</w:t>
            </w:r>
          </w:p>
        </w:tc>
        <w:tc>
          <w:tcPr>
            <w:tcW w:type="dxa" w:w="3260"/>
            <w:tcBorders>
              <w:right w:space="0" w:sz="4" w:color="auto" w:val="single"/>
            </w:tcBorders>
            <w:shd w:fill="auto" w:color="auto" w:val="clear"/>
          </w:tcPr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right"/>
              <w:rPr>
                <w:iCs/>
              </w:rPr>
            </w:pPr>
            <w:r w:rsidRPr="00AB055C">
              <w:rPr>
                <w:iCs/>
              </w:rPr>
              <w:t xml:space="preserve">15.636,37 </w:t>
            </w:r>
          </w:p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right"/>
              <w:rPr>
                <w:iCs/>
              </w:rPr>
            </w:pPr>
            <w:r w:rsidRPr="00AB055C">
              <w:rPr>
                <w:iCs/>
              </w:rPr>
              <w:t>– za prijeboj oglašavanjem (u 2018, 2019 i 2020 po 5.212,13 kn god. neto,</w:t>
            </w:r>
          </w:p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right"/>
              <w:rPr>
                <w:iCs/>
              </w:rPr>
            </w:pPr>
            <w:r w:rsidRPr="00AB055C">
              <w:rPr>
                <w:iCs/>
              </w:rPr>
              <w:t xml:space="preserve"> treba platiti PDV),</w:t>
            </w:r>
          </w:p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right"/>
              <w:rPr>
                <w:iCs/>
              </w:rPr>
            </w:pPr>
          </w:p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right"/>
              <w:rPr>
                <w:iCs/>
              </w:rPr>
            </w:pPr>
          </w:p>
        </w:tc>
      </w:tr>
      <w:tr w:rsidTr="0068431C" w:rsidR="00AB055C" w:rsidRPr="00AB055C">
        <w:trPr>
          <w:trHeight w:val="635"/>
        </w:trPr>
        <w:tc>
          <w:tcPr>
            <w:tcW w:type="dxa" w:w="3936"/>
            <w:shd w:fill="auto" w:color="auto" w:val="clear"/>
          </w:tcPr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both"/>
              <w:rPr>
                <w:iCs/>
              </w:rPr>
            </w:pPr>
            <w:r w:rsidRPr="00AB055C">
              <w:rPr>
                <w:iCs/>
              </w:rPr>
              <w:t>NOVČANE TRAŽBINE po osnovi više plaćenih j.davanja i to:</w:t>
            </w:r>
          </w:p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both"/>
              <w:rPr>
                <w:iCs/>
              </w:rPr>
            </w:pPr>
            <w:r w:rsidRPr="00AB055C">
              <w:rPr>
                <w:iCs/>
              </w:rPr>
              <w:t>- PDV (rač. 1201)-  20.121,74 kn</w:t>
            </w:r>
          </w:p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both"/>
              <w:rPr>
                <w:iCs/>
              </w:rPr>
            </w:pPr>
            <w:r w:rsidRPr="00AB055C">
              <w:rPr>
                <w:iCs/>
              </w:rPr>
              <w:t>- dopr.MO II. (rač. 2003)-1.147,97 kn</w:t>
            </w:r>
          </w:p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both"/>
              <w:rPr>
                <w:iCs/>
              </w:rPr>
            </w:pPr>
            <w:r w:rsidRPr="00AB055C">
              <w:rPr>
                <w:iCs/>
              </w:rPr>
              <w:t>- ZO zašt.na radu (rač.8559) – 46,79 kn</w:t>
            </w:r>
          </w:p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both"/>
              <w:rPr>
                <w:iCs/>
              </w:rPr>
            </w:pPr>
            <w:r w:rsidRPr="00AB055C">
              <w:rPr>
                <w:iCs/>
              </w:rPr>
              <w:t>- dopr.za zapošlj.(rač. 8702)-133,20 kn</w:t>
            </w:r>
          </w:p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both"/>
              <w:rPr>
                <w:iCs/>
              </w:rPr>
            </w:pPr>
            <w:r w:rsidRPr="00AB055C">
              <w:rPr>
                <w:iCs/>
              </w:rPr>
              <w:t>- porez na dohodak (rač. 1406) – 0,01 kn</w:t>
            </w:r>
          </w:p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both"/>
              <w:rPr>
                <w:iCs/>
              </w:rPr>
            </w:pPr>
          </w:p>
        </w:tc>
        <w:tc>
          <w:tcPr>
            <w:tcW w:type="dxa" w:w="2693"/>
            <w:shd w:fill="auto" w:color="auto" w:val="clear"/>
          </w:tcPr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right"/>
              <w:rPr>
                <w:iCs/>
              </w:rPr>
            </w:pPr>
            <w:r w:rsidRPr="00AB055C">
              <w:rPr>
                <w:iCs/>
              </w:rPr>
              <w:t>21.449,71</w:t>
            </w:r>
          </w:p>
        </w:tc>
        <w:tc>
          <w:tcPr>
            <w:tcW w:type="dxa" w:w="3260"/>
            <w:tcBorders>
              <w:right w:space="0" w:sz="4" w:color="auto" w:val="single"/>
            </w:tcBorders>
            <w:shd w:fill="auto" w:color="auto" w:val="clear"/>
          </w:tcPr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right"/>
              <w:rPr>
                <w:iCs/>
                <w:color w:val="000000"/>
              </w:rPr>
            </w:pPr>
            <w:r w:rsidRPr="00AB055C">
              <w:rPr>
                <w:iCs/>
                <w:color w:val="000000"/>
              </w:rPr>
              <w:t xml:space="preserve">Upitna naplativost obzirom da nije podnesen konačni obračun PDV-a za 2014 godinu i ostali propisani obrasci, te nije dostupna dokumentacija na temelju koje bi se to naknadno podnijelo. </w:t>
            </w:r>
          </w:p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right"/>
              <w:rPr>
                <w:iCs/>
                <w:color w:val="000000"/>
              </w:rPr>
            </w:pPr>
            <w:r w:rsidRPr="00AB055C">
              <w:rPr>
                <w:iCs/>
                <w:color w:val="000000"/>
              </w:rPr>
              <w:t xml:space="preserve">Eventualno naplativo preknjiženjima tj. prijebojem s postojećim obvezama po osnovi j.davanja </w:t>
            </w:r>
          </w:p>
        </w:tc>
      </w:tr>
      <w:tr w:rsidTr="0068431C" w:rsidR="00AB055C" w:rsidRPr="00AB055C">
        <w:trPr>
          <w:trHeight w:val="635"/>
        </w:trPr>
        <w:tc>
          <w:tcPr>
            <w:tcW w:type="dxa" w:w="3936"/>
            <w:shd w:fill="auto" w:color="auto" w:val="clear"/>
          </w:tcPr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both"/>
              <w:rPr>
                <w:iCs/>
              </w:rPr>
            </w:pPr>
            <w:r w:rsidRPr="00AB055C">
              <w:rPr>
                <w:iCs/>
              </w:rPr>
              <w:t xml:space="preserve">NOVČANA SREDSTVA </w:t>
            </w:r>
          </w:p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both"/>
              <w:rPr>
                <w:iCs/>
              </w:rPr>
            </w:pPr>
            <w:r w:rsidRPr="00AB055C">
              <w:rPr>
                <w:iCs/>
              </w:rPr>
              <w:t>zapljena (FINA)</w:t>
            </w:r>
          </w:p>
        </w:tc>
        <w:tc>
          <w:tcPr>
            <w:tcW w:type="dxa" w:w="2693"/>
            <w:shd w:fill="auto" w:color="auto" w:val="clear"/>
          </w:tcPr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right"/>
              <w:rPr>
                <w:iCs/>
              </w:rPr>
            </w:pPr>
            <w:r w:rsidRPr="00AB055C">
              <w:rPr>
                <w:iCs/>
              </w:rPr>
              <w:t>154.925,00</w:t>
            </w:r>
          </w:p>
        </w:tc>
        <w:tc>
          <w:tcPr>
            <w:tcW w:type="dxa" w:w="3260"/>
            <w:tcBorders>
              <w:right w:space="0" w:sz="4" w:color="auto" w:val="single"/>
            </w:tcBorders>
            <w:shd w:fill="auto" w:color="auto" w:val="clear"/>
          </w:tcPr>
          <w:p w:rsidRDefault="00AB055C" w:rsidP="00AB055C" w:rsidR="00AB055C" w:rsidRPr="00AB055C">
            <w:pPr>
              <w:tabs>
                <w:tab w:pos="4536" w:val="center"/>
                <w:tab w:pos="9072" w:val="right"/>
              </w:tabs>
              <w:jc w:val="right"/>
              <w:rPr>
                <w:iCs/>
                <w:color w:val="000000"/>
              </w:rPr>
            </w:pPr>
            <w:r w:rsidRPr="00AB055C">
              <w:rPr>
                <w:iCs/>
                <w:color w:val="000000"/>
              </w:rPr>
              <w:t>154.925,00</w:t>
            </w:r>
          </w:p>
        </w:tc>
      </w:tr>
    </w:tbl>
    <w:p w:rsidRDefault="00AB055C" w:rsidR="00BE6718" w:rsidRPr="00AB055C">
      <w:pPr>
        <w:pStyle w:val="Tijeloteksta2"/>
        <w:tabs>
          <w:tab w:pos="6150" w:val="left"/>
        </w:tabs>
        <w:rPr>
          <w:sz w:val="24"/>
          <w:szCs w:val="24"/>
        </w:rPr>
      </w:pPr>
      <w:r>
        <w:rPr>
          <w:szCs w:val="22"/>
        </w:rPr>
        <w:t xml:space="preserve">                                                </w:t>
      </w:r>
      <w:r w:rsidRPr="00AB055C">
        <w:rPr>
          <w:sz w:val="24"/>
          <w:szCs w:val="24"/>
        </w:rPr>
        <w:t>UKUPNO</w:t>
      </w:r>
      <w:r w:rsidR="00104FF0" w:rsidRPr="00AB055C">
        <w:rPr>
          <w:sz w:val="24"/>
          <w:szCs w:val="24"/>
        </w:rPr>
        <w:t xml:space="preserve"> </w:t>
      </w:r>
      <w:r w:rsidRPr="00AB055C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</w:t>
      </w:r>
      <w:r w:rsidRPr="00AB055C">
        <w:rPr>
          <w:sz w:val="24"/>
          <w:szCs w:val="24"/>
        </w:rPr>
        <w:t xml:space="preserve">                  258.031,34                                   231.369,50</w:t>
      </w:r>
    </w:p>
    <w:p w:rsidRDefault="00104FF0" w:rsidR="00104FF0" w:rsidRPr="002612C2">
      <w:pPr>
        <w:pStyle w:val="Tijeloteksta2"/>
        <w:tabs>
          <w:tab w:pos="6150" w:val="left"/>
        </w:tabs>
        <w:rPr>
          <w:szCs w:val="22"/>
        </w:rPr>
      </w:pPr>
      <w:r w:rsidRPr="002612C2">
        <w:rPr>
          <w:szCs w:val="22"/>
        </w:rPr>
        <w:t xml:space="preserve">                                                  </w:t>
      </w:r>
    </w:p>
    <w:p w:rsidRDefault="00AB055C" w:rsidP="00466F77" w:rsidR="00AB055C">
      <w:pPr>
        <w:pStyle w:val="Tijeloteksta2"/>
        <w:tabs>
          <w:tab w:pos="6150" w:val="left"/>
        </w:tabs>
        <w:rPr>
          <w:szCs w:val="22"/>
        </w:rPr>
      </w:pPr>
    </w:p>
    <w:p w:rsidRDefault="00AB055C" w:rsidP="00466F77" w:rsidR="00AB055C">
      <w:pPr>
        <w:pStyle w:val="Tijeloteksta2"/>
        <w:tabs>
          <w:tab w:pos="6150" w:val="left"/>
        </w:tabs>
        <w:rPr>
          <w:szCs w:val="22"/>
        </w:rPr>
      </w:pPr>
    </w:p>
    <w:p w:rsidRDefault="00C35581" w:rsidP="00466F77" w:rsidR="00A601A5">
      <w:pPr>
        <w:pStyle w:val="Tijeloteksta2"/>
        <w:tabs>
          <w:tab w:pos="6150" w:val="left"/>
        </w:tabs>
        <w:rPr>
          <w:iCs/>
        </w:rPr>
      </w:pPr>
      <w:r w:rsidRPr="002612C2">
        <w:rPr>
          <w:szCs w:val="22"/>
        </w:rPr>
        <w:t xml:space="preserve">U Zagrebu, </w:t>
      </w:r>
      <w:r w:rsidR="00DB12F3">
        <w:rPr>
          <w:szCs w:val="22"/>
        </w:rPr>
        <w:t>1</w:t>
      </w:r>
      <w:r w:rsidR="00AB055C">
        <w:rPr>
          <w:szCs w:val="22"/>
        </w:rPr>
        <w:t>9</w:t>
      </w:r>
      <w:r w:rsidRPr="002612C2">
        <w:rPr>
          <w:szCs w:val="22"/>
        </w:rPr>
        <w:t>.</w:t>
      </w:r>
      <w:r w:rsidR="00DB12F3">
        <w:rPr>
          <w:szCs w:val="22"/>
        </w:rPr>
        <w:t>01</w:t>
      </w:r>
      <w:r w:rsidRPr="002612C2">
        <w:rPr>
          <w:szCs w:val="22"/>
        </w:rPr>
        <w:t>.201</w:t>
      </w:r>
      <w:r w:rsidR="00DB12F3">
        <w:rPr>
          <w:szCs w:val="22"/>
        </w:rPr>
        <w:t>8</w:t>
      </w:r>
      <w:r w:rsidRPr="002612C2">
        <w:rPr>
          <w:szCs w:val="22"/>
        </w:rPr>
        <w:t xml:space="preserve">. god.    </w:t>
      </w:r>
      <w:r w:rsidR="00466F77" w:rsidRPr="002612C2">
        <w:rPr>
          <w:szCs w:val="22"/>
        </w:rPr>
        <w:t xml:space="preserve">              </w:t>
      </w:r>
      <w:r w:rsidRPr="002612C2">
        <w:rPr>
          <w:szCs w:val="22"/>
        </w:rPr>
        <w:t xml:space="preserve">                                         </w:t>
      </w:r>
      <w:r w:rsidR="00466F77" w:rsidRPr="002612C2">
        <w:rPr>
          <w:szCs w:val="22"/>
        </w:rPr>
        <w:t xml:space="preserve">       </w:t>
      </w:r>
      <w:r w:rsidRPr="002612C2">
        <w:rPr>
          <w:szCs w:val="22"/>
        </w:rPr>
        <w:t xml:space="preserve">             </w:t>
      </w:r>
      <w:r w:rsidR="00690DB5">
        <w:rPr>
          <w:szCs w:val="22"/>
        </w:rPr>
        <w:t xml:space="preserve">            </w:t>
      </w:r>
      <w:r w:rsidRPr="002612C2">
        <w:rPr>
          <w:szCs w:val="22"/>
        </w:rPr>
        <w:t xml:space="preserve">     Stečajni upravit</w:t>
      </w:r>
      <w:r>
        <w:rPr>
          <w:sz w:val="24"/>
        </w:rPr>
        <w:t>elj:</w:t>
      </w:r>
    </w:p>
    <w:sectPr w:rsidSect="00BE6718" w:rsidR="00A601A5">
      <w:footerReference w:type="even" r:id="rId9"/>
      <w:footerReference w:type="default" r:id="rId10"/>
      <w:pgSz w:code="9" w:h="16834" w:w="11909"/>
      <w:pgMar w:gutter="0" w:footer="550" w:header="794" w:left="851" w:bottom="624" w:right="680" w:top="964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B2F" w:rsidR="00B53B2F">
      <w:r>
        <w:separator/>
      </w:r>
    </w:p>
  </w:endnote>
  <w:endnote w:id="0" w:type="continuationSeparator">
    <w:p w:rsidRDefault="00B53B2F" w:rsidR="00B53B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MT">
    <w:altName w:val="Arial"/>
    <w:panose1 w:val="00000000000000000000"/>
    <w:charset w:val="00"/>
    <w:family w:val="swiss"/>
    <w:notTrueType/>
    <w:pitch w:val="default"/>
    <w:sig w:csb1="00000000" w:csb0="00000003" w:usb3="00000000" w:usb2="00000000" w:usb1="00000000" w:usb0="0000000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33F5" w:rsidR="009E33F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33F5" w:rsidR="009E33F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33F5" w:rsidR="009E33F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21D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E33F5" w:rsidR="009E33F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B2F" w:rsidR="00B53B2F">
      <w:r>
        <w:separator/>
      </w:r>
    </w:p>
  </w:footnote>
  <w:footnote w:id="0" w:type="continuationSeparator">
    <w:p w:rsidRDefault="00B53B2F" w:rsidR="00B53B2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C6B07"/>
    <w:multiLevelType w:val="hybridMultilevel"/>
    <w:tmpl w:val="7D6E5A48"/>
    <w:lvl w:tplc="0038B6CE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58655D"/>
    <w:multiLevelType w:val="hybridMultilevel"/>
    <w:tmpl w:val="D35C02BE"/>
    <w:lvl w:tplc="769CD95A" w:ilvl="0">
      <w:start w:val="1"/>
      <w:numFmt w:val="bullet"/>
      <w:lvlText w:val=""/>
      <w:lvlJc w:val="left"/>
      <w:pPr>
        <w:tabs>
          <w:tab w:pos="417" w:val="num"/>
        </w:tabs>
        <w:ind w:hanging="300" w:left="357"/>
      </w:pPr>
      <w:rPr>
        <w:rFonts w:hAnsi="Wingdings" w:ascii="Wingdings" w:hint="default"/>
        <w:sz w:val="16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B2D0EDC"/>
    <w:multiLevelType w:val="hybridMultilevel"/>
    <w:tmpl w:val="5AE09C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7FE4914"/>
    <w:multiLevelType w:val="hybridMultilevel"/>
    <w:tmpl w:val="AA3EC02E"/>
    <w:lvl w:tplc="041A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0DB45EA"/>
    <w:multiLevelType w:val="hybridMultilevel"/>
    <w:tmpl w:val="EB1C4F42"/>
    <w:lvl w:tplc="D81409B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CA466D5"/>
    <w:multiLevelType w:val="hybridMultilevel"/>
    <w:tmpl w:val="7EBC611A"/>
    <w:lvl w:tplc="95B83B18" w:ilvl="0">
      <w:start w:val="1"/>
      <w:numFmt w:val="lowerLetter"/>
      <w:lvlText w:val="%1)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4DAA3A21"/>
    <w:multiLevelType w:val="hybridMultilevel"/>
    <w:tmpl w:val="8DCAE826"/>
    <w:lvl w:tplc="C874A662" w:ilvl="0">
      <w:start w:val="1"/>
      <w:numFmt w:val="bullet"/>
      <w:lvlText w:val="-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200" w:val="num"/>
        </w:tabs>
        <w:ind w:hanging="360" w:left="12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920" w:val="num"/>
        </w:tabs>
        <w:ind w:hanging="360" w:left="19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640" w:val="num"/>
        </w:tabs>
        <w:ind w:hanging="360" w:left="26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60" w:val="num"/>
        </w:tabs>
        <w:ind w:hanging="360" w:left="33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80" w:val="num"/>
        </w:tabs>
        <w:ind w:hanging="360" w:left="40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800" w:val="num"/>
        </w:tabs>
        <w:ind w:hanging="360" w:left="48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520" w:val="num"/>
        </w:tabs>
        <w:ind w:hanging="360" w:left="55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240" w:val="num"/>
        </w:tabs>
        <w:ind w:hanging="360" w:left="6240"/>
      </w:pPr>
      <w:rPr>
        <w:rFonts w:hAnsi="Wingdings" w:ascii="Wingdings" w:hint="default"/>
      </w:rPr>
    </w:lvl>
  </w:abstractNum>
  <w:abstractNum w:abstractNumId="7">
    <w:nsid w:val="4F0C43AD"/>
    <w:multiLevelType w:val="hybridMultilevel"/>
    <w:tmpl w:val="EC2622EA"/>
    <w:lvl w:tplc="8B00E7D6" w:ilvl="0">
      <w:start w:val="1"/>
      <w:numFmt w:val="bullet"/>
      <w:lvlText w:val=""/>
      <w:lvlJc w:val="left"/>
      <w:pPr>
        <w:tabs>
          <w:tab w:pos="1952" w:val="num"/>
        </w:tabs>
        <w:ind w:firstLine="0" w:left="1592"/>
      </w:pPr>
      <w:rPr>
        <w:rFonts w:hAnsi="Wingdings" w:ascii="Wingdings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tabs>
          <w:tab w:pos="2981" w:val="num"/>
        </w:tabs>
        <w:ind w:hanging="360" w:left="29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701" w:val="num"/>
        </w:tabs>
        <w:ind w:hanging="360" w:left="37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421" w:val="num"/>
        </w:tabs>
        <w:ind w:hanging="360" w:left="44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141" w:val="num"/>
        </w:tabs>
        <w:ind w:hanging="360" w:left="51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861" w:val="num"/>
        </w:tabs>
        <w:ind w:hanging="360" w:left="58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581" w:val="num"/>
        </w:tabs>
        <w:ind w:hanging="360" w:left="65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301" w:val="num"/>
        </w:tabs>
        <w:ind w:hanging="360" w:left="73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021" w:val="num"/>
        </w:tabs>
        <w:ind w:hanging="360" w:left="8021"/>
      </w:pPr>
      <w:rPr>
        <w:rFonts w:hAnsi="Wingdings" w:ascii="Wingdings" w:hint="default"/>
      </w:rPr>
    </w:lvl>
  </w:abstractNum>
  <w:abstractNum w:abstractNumId="8">
    <w:nsid w:val="558F0673"/>
    <w:multiLevelType w:val="hybridMultilevel"/>
    <w:tmpl w:val="1C58B9D8"/>
    <w:lvl w:tplc="041A0003" w:ilvl="0">
      <w:start w:val="1"/>
      <w:numFmt w:val="bullet"/>
      <w:lvlText w:val="o"/>
      <w:lvlJc w:val="left"/>
      <w:pPr>
        <w:tabs>
          <w:tab w:pos="771" w:val="num"/>
        </w:tabs>
        <w:ind w:hanging="360" w:left="771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91" w:val="num"/>
        </w:tabs>
        <w:ind w:hanging="360" w:left="14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hAnsi="Wingdings" w:ascii="Wingdings" w:hint="default"/>
      </w:rPr>
    </w:lvl>
  </w:abstractNum>
  <w:abstractNum w:abstractNumId="9">
    <w:nsid w:val="58A041BD"/>
    <w:multiLevelType w:val="hybridMultilevel"/>
    <w:tmpl w:val="3D0A16A2"/>
    <w:lvl w:tplc="8B00E7D6" w:ilvl="0">
      <w:start w:val="1"/>
      <w:numFmt w:val="bullet"/>
      <w:lvlText w:val=""/>
      <w:lvlJc w:val="left"/>
      <w:pPr>
        <w:tabs>
          <w:tab w:pos="411" w:val="num"/>
        </w:tabs>
        <w:ind w:firstLine="0" w:left="51"/>
      </w:pPr>
      <w:rPr>
        <w:rFonts w:hAnsi="Wingdings" w:ascii="Wingdings" w:hint="default"/>
        <w:sz w:val="16"/>
      </w:rPr>
    </w:lvl>
    <w:lvl w:tplc="041A000F" w:ilvl="1">
      <w:start w:val="1"/>
      <w:numFmt w:val="decimal"/>
      <w:lvlText w:val="%2."/>
      <w:lvlJc w:val="left"/>
      <w:pPr>
        <w:tabs>
          <w:tab w:pos="1491" w:val="num"/>
        </w:tabs>
        <w:ind w:hanging="360" w:left="1491"/>
      </w:pPr>
      <w:rPr>
        <w:rFonts w:hint="default"/>
        <w:sz w:val="16"/>
      </w:rPr>
    </w:lvl>
    <w:lvl w:tentative="true"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hAnsi="Wingdings" w:ascii="Wingdings" w:hint="default"/>
      </w:rPr>
    </w:lvl>
  </w:abstractNum>
  <w:abstractNum w:abstractNumId="10">
    <w:nsid w:val="61361FD7"/>
    <w:multiLevelType w:val="hybridMultilevel"/>
    <w:tmpl w:val="B68EF11A"/>
    <w:lvl w:tplc="0032EE7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5F10893"/>
    <w:multiLevelType w:val="hybridMultilevel"/>
    <w:tmpl w:val="97CCFADC"/>
    <w:lvl w:tplc="3B3E4A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F943E8B"/>
    <w:multiLevelType w:val="hybridMultilevel"/>
    <w:tmpl w:val="CB58715C"/>
    <w:lvl w:tplc="041A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9C37FDC"/>
    <w:multiLevelType w:val="hybridMultilevel"/>
    <w:tmpl w:val="722219BA"/>
    <w:lvl w:tplc="8B00E7D6" w:ilvl="0">
      <w:start w:val="1"/>
      <w:numFmt w:val="bullet"/>
      <w:lvlText w:val=""/>
      <w:lvlJc w:val="left"/>
      <w:pPr>
        <w:tabs>
          <w:tab w:pos="411" w:val="num"/>
        </w:tabs>
        <w:ind w:firstLine="0" w:left="51"/>
      </w:pPr>
      <w:rPr>
        <w:rFonts w:hAnsi="Wingdings" w:ascii="Wingdings" w:hint="default"/>
        <w:sz w:val="16"/>
      </w:rPr>
    </w:lvl>
    <w:lvl w:tplc="6C08EA08" w:ilvl="1">
      <w:start w:val="1"/>
      <w:numFmt w:val="bullet"/>
      <w:lvlText w:val="-"/>
      <w:lvlJc w:val="left"/>
      <w:pPr>
        <w:tabs>
          <w:tab w:pos="1491" w:val="num"/>
        </w:tabs>
        <w:ind w:hanging="360" w:left="1491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hAnsi="Wingdings" w:ascii="Wingdings" w:hint="default"/>
      </w:rPr>
    </w:lvl>
  </w:abstractNum>
  <w:abstractNum w:abstractNumId="14">
    <w:nsid w:val="7DF57048"/>
    <w:multiLevelType w:val="multilevel"/>
    <w:tmpl w:val="ACF4AD58"/>
    <w:lvl w:ilvl="0">
      <w:start w:val="2"/>
      <w:numFmt w:val="decimal"/>
      <w:lvlText w:val="%1."/>
      <w:lvlJc w:val="left"/>
      <w:pPr>
        <w:tabs>
          <w:tab w:pos="390" w:val="num"/>
        </w:tabs>
        <w:ind w:hanging="390" w:left="39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tabs>
          <w:tab w:pos="390" w:val="num"/>
        </w:tabs>
        <w:ind w:hanging="390" w:left="39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  <w:color w:val="auto"/>
      </w:r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7"/>
  </w:num>
  <w:num w:numId="5">
    <w:abstractNumId w:val="2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</w:num>
  <w:num w:numId="11">
    <w:abstractNumId w:val="12"/>
  </w:num>
  <w:num w:numId="12">
    <w:abstractNumId w:val="3"/>
  </w:num>
  <w:num w:numId="13">
    <w:abstractNumId w:val="6"/>
  </w:num>
  <w:num w:numId="14">
    <w:abstractNumId w:val="5"/>
  </w:num>
  <w:num w:numId="15">
    <w:abstractNumId w:val="11"/>
  </w:num>
  <w:num w:numId="16">
    <w:abstractNumId w:val="4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5382"/>
    <w:rsid w:val="000D48A6"/>
    <w:rsid w:val="000E04D3"/>
    <w:rsid w:val="00104FF0"/>
    <w:rsid w:val="002612C2"/>
    <w:rsid w:val="00271990"/>
    <w:rsid w:val="00280618"/>
    <w:rsid w:val="002B2D0F"/>
    <w:rsid w:val="00315324"/>
    <w:rsid w:val="003B13D5"/>
    <w:rsid w:val="003F2B8E"/>
    <w:rsid w:val="00431CDF"/>
    <w:rsid w:val="00466F77"/>
    <w:rsid w:val="0047501F"/>
    <w:rsid w:val="00536FF5"/>
    <w:rsid w:val="00555C69"/>
    <w:rsid w:val="005B29FA"/>
    <w:rsid w:val="0063352E"/>
    <w:rsid w:val="0068431C"/>
    <w:rsid w:val="00690DB5"/>
    <w:rsid w:val="007007AA"/>
    <w:rsid w:val="00711D98"/>
    <w:rsid w:val="00744E4D"/>
    <w:rsid w:val="0075236A"/>
    <w:rsid w:val="007B1E64"/>
    <w:rsid w:val="007C0746"/>
    <w:rsid w:val="00820CDD"/>
    <w:rsid w:val="00856A32"/>
    <w:rsid w:val="008A43BC"/>
    <w:rsid w:val="009C29BE"/>
    <w:rsid w:val="009E2242"/>
    <w:rsid w:val="009E33F5"/>
    <w:rsid w:val="009F1FF8"/>
    <w:rsid w:val="00A601A5"/>
    <w:rsid w:val="00A81035"/>
    <w:rsid w:val="00AB055C"/>
    <w:rsid w:val="00AF5382"/>
    <w:rsid w:val="00B53B2F"/>
    <w:rsid w:val="00B67EE6"/>
    <w:rsid w:val="00BE5F9B"/>
    <w:rsid w:val="00BE6718"/>
    <w:rsid w:val="00BF04C9"/>
    <w:rsid w:val="00C2015E"/>
    <w:rsid w:val="00C35581"/>
    <w:rsid w:val="00CE21D9"/>
    <w:rsid w:val="00D355F5"/>
    <w:rsid w:val="00D536AC"/>
    <w:rsid w:val="00DB12F3"/>
    <w:rsid w:val="00DC224B"/>
    <w:rsid w:val="00DD2B3D"/>
    <w:rsid w:val="00ED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nhideWhenUsed="false" w:semiHidden="fals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autoSpaceDE w:val="false"/>
      <w:autoSpaceDN w:val="false"/>
      <w:adjustRightInd w:val="false"/>
      <w:jc w:val="center"/>
      <w:outlineLvl w:val="0"/>
    </w:pPr>
    <w:rPr>
      <w:b/>
      <w:bCs/>
      <w:sz w:val="20"/>
      <w:szCs w:val="20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sz w:val="22"/>
    </w:rPr>
  </w:style>
  <w:style w:styleId="Naslov3" w:type="paragraph">
    <w:name w:val="heading 3"/>
    <w:basedOn w:val="Normal"/>
    <w:next w:val="Normal"/>
    <w:qFormat/>
    <w:pPr>
      <w:keepNext/>
      <w:autoSpaceDE w:val="false"/>
      <w:autoSpaceDN w:val="false"/>
      <w:adjustRightInd w:val="false"/>
      <w:ind w:left="1800"/>
      <w:outlineLvl w:val="2"/>
    </w:pPr>
    <w:rPr>
      <w:rFonts w:cs="Tahoma" w:hAnsi="ArialMT" w:ascii="ArialMT"/>
      <w:b/>
      <w:bCs/>
      <w:color w:val="000000"/>
      <w:sz w:val="16"/>
      <w:szCs w:val="16"/>
    </w:rPr>
  </w:style>
  <w:style w:styleId="Naslov4" w:type="paragraph">
    <w:name w:val="heading 4"/>
    <w:basedOn w:val="Normal"/>
    <w:next w:val="Normal"/>
    <w:qFormat/>
    <w:pPr>
      <w:keepNext/>
      <w:autoSpaceDE w:val="false"/>
      <w:autoSpaceDN w:val="false"/>
      <w:adjustRightInd w:val="false"/>
      <w:ind w:firstLine="708" w:left="1092"/>
      <w:outlineLvl w:val="3"/>
    </w:pPr>
    <w:rPr>
      <w:rFonts w:cs="Tahoma" w:hAnsi="ArialMT" w:ascii="ArialMT"/>
      <w:b/>
      <w:bCs/>
      <w:color w:val="000000"/>
      <w:sz w:val="16"/>
      <w:szCs w:val="16"/>
    </w:rPr>
  </w:style>
  <w:style w:styleId="Naslov5" w:type="paragraph">
    <w:name w:val="heading 5"/>
    <w:basedOn w:val="Normal"/>
    <w:next w:val="Normal"/>
    <w:qFormat/>
    <w:pPr>
      <w:keepNext/>
      <w:autoSpaceDE w:val="false"/>
      <w:autoSpaceDN w:val="false"/>
      <w:adjustRightInd w:val="false"/>
      <w:ind w:left="1800"/>
      <w:outlineLvl w:val="4"/>
    </w:pPr>
    <w:rPr>
      <w:b/>
      <w:bCs/>
      <w:szCs w:val="20"/>
    </w:rPr>
  </w:style>
  <w:style w:styleId="Naslov6" w:type="paragraph">
    <w:name w:val="heading 6"/>
    <w:basedOn w:val="Normal"/>
    <w:next w:val="Normal"/>
    <w:qFormat/>
    <w:pPr>
      <w:keepNext/>
      <w:autoSpaceDE w:val="false"/>
      <w:autoSpaceDN w:val="false"/>
      <w:adjustRightInd w:val="false"/>
      <w:ind w:left="1800"/>
      <w:outlineLvl w:val="5"/>
    </w:pPr>
    <w:rPr>
      <w:b/>
      <w:bCs/>
      <w:sz w:val="20"/>
      <w:szCs w:val="20"/>
    </w:rPr>
  </w:style>
  <w:style w:styleId="Naslov7" w:type="paragraph">
    <w:name w:val="heading 7"/>
    <w:basedOn w:val="Normal"/>
    <w:next w:val="Normal"/>
    <w:qFormat/>
    <w:pPr>
      <w:keepNext/>
      <w:jc w:val="right"/>
      <w:outlineLvl w:val="6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semiHidden/>
    <w:rPr>
      <w:color w:val="0000FF"/>
      <w:u w:val="single"/>
    </w:rPr>
  </w:style>
  <w:style w:styleId="Uvuenotijeloteksta" w:type="paragraph">
    <w:name w:val="Body Text Indent"/>
    <w:basedOn w:val="Normal"/>
    <w:semiHidden/>
    <w:pPr>
      <w:autoSpaceDE w:val="false"/>
      <w:autoSpaceDN w:val="false"/>
      <w:adjustRightInd w:val="false"/>
      <w:ind w:left="50"/>
    </w:pPr>
    <w:rPr>
      <w:sz w:val="20"/>
      <w:szCs w:val="20"/>
    </w:rPr>
  </w:style>
  <w:style w:styleId="Tijeloteksta-uvlaka2" w:type="paragraph">
    <w:name w:val="Body Text Indent 2"/>
    <w:aliases w:val="  uvlaka 2"/>
    <w:basedOn w:val="Normal"/>
    <w:semiHidden/>
    <w:pPr>
      <w:autoSpaceDE w:val="false"/>
      <w:autoSpaceDN w:val="false"/>
      <w:adjustRightInd w:val="false"/>
      <w:ind w:left="1814"/>
      <w:jc w:val="both"/>
    </w:pPr>
    <w:rPr>
      <w:sz w:val="20"/>
      <w:szCs w:val="20"/>
    </w:rPr>
  </w:style>
  <w:style w:styleId="Tijeloteksta-uvlaka3" w:type="paragraph">
    <w:name w:val="Body Text Indent 3"/>
    <w:aliases w:val=" uvlaka 3"/>
    <w:basedOn w:val="Normal"/>
    <w:semiHidden/>
    <w:pPr>
      <w:autoSpaceDE w:val="false"/>
      <w:autoSpaceDN w:val="false"/>
      <w:adjustRightInd w:val="false"/>
      <w:ind w:left="1800"/>
    </w:pPr>
    <w:rPr>
      <w:sz w:val="20"/>
      <w:szCs w:val="20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semiHidden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semiHidden/>
    <w:rPr>
      <w:sz w:val="28"/>
    </w:rPr>
  </w:style>
  <w:style w:styleId="Tijeloteksta2" w:type="paragraph">
    <w:name w:val="Body Text 2"/>
    <w:basedOn w:val="Normal"/>
    <w:link w:val="Tijeloteksta2Char"/>
    <w:semiHidden/>
    <w:rPr>
      <w:sz w:val="22"/>
      <w:szCs w:val="20"/>
    </w:rPr>
  </w:style>
  <w:style w:styleId="SlijeenaHiperveza" w:type="character">
    <w:name w:val="FollowedHyperlink"/>
    <w:semiHidden/>
    <w:rPr>
      <w:color w:val="800080"/>
      <w:u w:val="single"/>
    </w:rPr>
  </w:style>
  <w:style w:customStyle="true" w:styleId="tekst" w:type="paragraph">
    <w:name w:val="tekst"/>
    <w:basedOn w:val="Normal"/>
    <w:pPr>
      <w:spacing w:afterAutospacing="true" w:after="100" w:beforeAutospacing="true" w:before="100"/>
    </w:pPr>
  </w:style>
  <w:style w:customStyle="true" w:styleId="bold" w:type="character">
    <w:name w:val="bold"/>
    <w:basedOn w:val="Zadanifontodlomka"/>
  </w:style>
  <w:style w:customStyle="true" w:styleId="stecaj-kraj" w:type="paragraph">
    <w:name w:val="stecaj-kraj"/>
    <w:basedOn w:val="Normal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semiHidden/>
  </w:style>
  <w:style w:styleId="Tekstfusnote" w:type="paragraph">
    <w:name w:val="footnote text"/>
    <w:basedOn w:val="Normal"/>
    <w:semiHidden/>
    <w:rPr>
      <w:sz w:val="20"/>
      <w:szCs w:val="20"/>
    </w:rPr>
  </w:style>
  <w:style w:styleId="Referencafusnote" w:type="character">
    <w:name w:val="footnote reference"/>
    <w:semiHidden/>
    <w:rPr>
      <w:vertAlign w:val="superscript"/>
    </w:rPr>
  </w:style>
  <w:style w:customStyle="true" w:styleId="HeaderChar" w:type="character">
    <w:name w:val="Header Char"/>
    <w:uiPriority w:val="99"/>
    <w:rPr>
      <w:sz w:val="24"/>
      <w:szCs w:val="24"/>
    </w:rPr>
  </w:style>
  <w:style w:customStyle="true" w:styleId="CharChar" w:type="character">
    <w:name w:val="Char Char"/>
    <w:semiHidden/>
    <w:locked/>
    <w:rPr>
      <w:sz w:val="24"/>
      <w:szCs w:val="24"/>
      <w:lang w:bidi="ar-SA" w:eastAsia="hr-HR" w:val="hr-HR"/>
    </w:rPr>
  </w:style>
  <w:style w:styleId="Odlomakpopisa" w:type="paragraph">
    <w:name w:val="List Paragraph"/>
    <w:basedOn w:val="Normal"/>
    <w:uiPriority w:val="34"/>
    <w:qFormat/>
    <w:rsid w:val="00AF5382"/>
    <w:pPr>
      <w:ind w:left="708"/>
    </w:pPr>
  </w:style>
  <w:style w:styleId="Reetkatablice" w:type="table">
    <w:name w:val="Table Grid"/>
    <w:basedOn w:val="Obinatablica"/>
    <w:uiPriority w:val="59"/>
    <w:rsid w:val="00744E4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2Char" w:type="character">
    <w:name w:val="Tijelo teksta 2 Char"/>
    <w:link w:val="Tijeloteksta2"/>
    <w:semiHidden/>
    <w:rsid w:val="00690DB5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CE2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1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1D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1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1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autoSpaceDE w:val="0"/>
      <w:autoSpaceDN w:val="0"/>
      <w:adjustRightInd w:val="0"/>
      <w:jc w:val="center"/>
      <w:outlineLvl w:val="0"/>
    </w:pPr>
    <w:rPr>
      <w:b/>
      <w:bCs/>
      <w:sz w:val="20"/>
      <w:szCs w:val="20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sz w:val="22"/>
    </w:rPr>
  </w:style>
  <w:style w:styleId="Naslov3" w:type="paragraph">
    <w:name w:val="heading 3"/>
    <w:basedOn w:val="Normal"/>
    <w:next w:val="Normal"/>
    <w:qFormat/>
    <w:pPr>
      <w:keepNext/>
      <w:autoSpaceDE w:val="0"/>
      <w:autoSpaceDN w:val="0"/>
      <w:adjustRightInd w:val="0"/>
      <w:ind w:left="1800"/>
      <w:outlineLvl w:val="2"/>
    </w:pPr>
    <w:rPr>
      <w:rFonts w:ascii="ArialMT" w:cs="Tahoma" w:hAnsi="ArialMT"/>
      <w:b/>
      <w:bCs/>
      <w:color w:val="000000"/>
      <w:sz w:val="16"/>
      <w:szCs w:val="16"/>
    </w:rPr>
  </w:style>
  <w:style w:styleId="Naslov4" w:type="paragraph">
    <w:name w:val="heading 4"/>
    <w:basedOn w:val="Normal"/>
    <w:next w:val="Normal"/>
    <w:qFormat/>
    <w:pPr>
      <w:keepNext/>
      <w:autoSpaceDE w:val="0"/>
      <w:autoSpaceDN w:val="0"/>
      <w:adjustRightInd w:val="0"/>
      <w:ind w:firstLine="708" w:left="1092"/>
      <w:outlineLvl w:val="3"/>
    </w:pPr>
    <w:rPr>
      <w:rFonts w:ascii="ArialMT" w:cs="Tahoma" w:hAnsi="ArialMT"/>
      <w:b/>
      <w:bCs/>
      <w:color w:val="000000"/>
      <w:sz w:val="16"/>
      <w:szCs w:val="16"/>
    </w:rPr>
  </w:style>
  <w:style w:styleId="Naslov5" w:type="paragraph">
    <w:name w:val="heading 5"/>
    <w:basedOn w:val="Normal"/>
    <w:next w:val="Normal"/>
    <w:qFormat/>
    <w:pPr>
      <w:keepNext/>
      <w:autoSpaceDE w:val="0"/>
      <w:autoSpaceDN w:val="0"/>
      <w:adjustRightInd w:val="0"/>
      <w:ind w:left="1800"/>
      <w:outlineLvl w:val="4"/>
    </w:pPr>
    <w:rPr>
      <w:b/>
      <w:bCs/>
      <w:szCs w:val="20"/>
    </w:rPr>
  </w:style>
  <w:style w:styleId="Naslov6" w:type="paragraph">
    <w:name w:val="heading 6"/>
    <w:basedOn w:val="Normal"/>
    <w:next w:val="Normal"/>
    <w:qFormat/>
    <w:pPr>
      <w:keepNext/>
      <w:autoSpaceDE w:val="0"/>
      <w:autoSpaceDN w:val="0"/>
      <w:adjustRightInd w:val="0"/>
      <w:ind w:left="1800"/>
      <w:outlineLvl w:val="5"/>
    </w:pPr>
    <w:rPr>
      <w:b/>
      <w:bCs/>
      <w:sz w:val="20"/>
      <w:szCs w:val="20"/>
    </w:rPr>
  </w:style>
  <w:style w:styleId="Naslov7" w:type="paragraph">
    <w:name w:val="heading 7"/>
    <w:basedOn w:val="Normal"/>
    <w:next w:val="Normal"/>
    <w:qFormat/>
    <w:pPr>
      <w:keepNext/>
      <w:jc w:val="right"/>
      <w:outlineLvl w:val="6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semiHidden/>
    <w:rPr>
      <w:color w:val="0000FF"/>
      <w:u w:val="single"/>
    </w:rPr>
  </w:style>
  <w:style w:styleId="Uvuenotijeloteksta" w:type="paragraph">
    <w:name w:val="Body Text Indent"/>
    <w:basedOn w:val="Normal"/>
    <w:semiHidden/>
    <w:pPr>
      <w:autoSpaceDE w:val="0"/>
      <w:autoSpaceDN w:val="0"/>
      <w:adjustRightInd w:val="0"/>
      <w:ind w:left="50"/>
    </w:pPr>
    <w:rPr>
      <w:sz w:val="20"/>
      <w:szCs w:val="20"/>
    </w:rPr>
  </w:style>
  <w:style w:styleId="Tijeloteksta-uvlaka2" w:type="paragraph">
    <w:name w:val="Body Text Indent 2"/>
    <w:aliases w:val="  uvlaka 2"/>
    <w:basedOn w:val="Normal"/>
    <w:semiHidden/>
    <w:pPr>
      <w:autoSpaceDE w:val="0"/>
      <w:autoSpaceDN w:val="0"/>
      <w:adjustRightInd w:val="0"/>
      <w:ind w:left="1814"/>
      <w:jc w:val="both"/>
    </w:pPr>
    <w:rPr>
      <w:sz w:val="20"/>
      <w:szCs w:val="20"/>
    </w:rPr>
  </w:style>
  <w:style w:styleId="Tijeloteksta-uvlaka3" w:type="paragraph">
    <w:name w:val="Body Text Indent 3"/>
    <w:aliases w:val=" uvlaka 3"/>
    <w:basedOn w:val="Normal"/>
    <w:semiHidden/>
    <w:pPr>
      <w:autoSpaceDE w:val="0"/>
      <w:autoSpaceDN w:val="0"/>
      <w:adjustRightInd w:val="0"/>
      <w:ind w:left="1800"/>
    </w:pPr>
    <w:rPr>
      <w:sz w:val="20"/>
      <w:szCs w:val="20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semiHidden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semiHidden/>
    <w:rPr>
      <w:sz w:val="28"/>
    </w:rPr>
  </w:style>
  <w:style w:styleId="Tijeloteksta2" w:type="paragraph">
    <w:name w:val="Body Text 2"/>
    <w:basedOn w:val="Normal"/>
    <w:link w:val="Tijeloteksta2Char"/>
    <w:semiHidden/>
    <w:rPr>
      <w:sz w:val="22"/>
      <w:szCs w:val="20"/>
    </w:rPr>
  </w:style>
  <w:style w:styleId="SlijeenaHiperveza" w:type="character">
    <w:name w:val="FollowedHyperlink"/>
    <w:semiHidden/>
    <w:rPr>
      <w:color w:val="800080"/>
      <w:u w:val="single"/>
    </w:rPr>
  </w:style>
  <w:style w:customStyle="1" w:styleId="tekst" w:type="paragraph">
    <w:name w:val="tekst"/>
    <w:basedOn w:val="Normal"/>
    <w:pPr>
      <w:spacing w:after="100" w:afterAutospacing="1" w:before="100" w:beforeAutospacing="1"/>
    </w:pPr>
  </w:style>
  <w:style w:customStyle="1" w:styleId="bold" w:type="character">
    <w:name w:val="bold"/>
    <w:basedOn w:val="Zadanifontodlomka"/>
  </w:style>
  <w:style w:customStyle="1" w:styleId="stecaj-kraj" w:type="paragraph">
    <w:name w:val="stecaj-kraj"/>
    <w:basedOn w:val="Normal"/>
    <w:pPr>
      <w:spacing w:after="100" w:afterAutospacing="1" w:before="100" w:beforeAutospacing="1"/>
    </w:pPr>
  </w:style>
  <w:style w:styleId="Brojstranice" w:type="character">
    <w:name w:val="page number"/>
    <w:basedOn w:val="Zadanifontodlomka"/>
    <w:semiHidden/>
  </w:style>
  <w:style w:styleId="Tekstfusnote" w:type="paragraph">
    <w:name w:val="footnote text"/>
    <w:basedOn w:val="Normal"/>
    <w:semiHidden/>
    <w:rPr>
      <w:sz w:val="20"/>
      <w:szCs w:val="20"/>
    </w:rPr>
  </w:style>
  <w:style w:styleId="Referencafusnote" w:type="character">
    <w:name w:val="footnote reference"/>
    <w:semiHidden/>
    <w:rPr>
      <w:vertAlign w:val="superscript"/>
    </w:rPr>
  </w:style>
  <w:style w:customStyle="1" w:styleId="HeaderChar" w:type="character">
    <w:name w:val="Header Char"/>
    <w:uiPriority w:val="99"/>
    <w:rPr>
      <w:sz w:val="24"/>
      <w:szCs w:val="24"/>
    </w:rPr>
  </w:style>
  <w:style w:customStyle="1" w:styleId="CharChar" w:type="character">
    <w:name w:val="Char Char"/>
    <w:semiHidden/>
    <w:locked/>
    <w:rPr>
      <w:sz w:val="24"/>
      <w:szCs w:val="24"/>
      <w:lang w:bidi="ar-SA" w:eastAsia="hr-HR" w:val="hr-HR"/>
    </w:rPr>
  </w:style>
  <w:style w:styleId="Odlomakpopisa" w:type="paragraph">
    <w:name w:val="List Paragraph"/>
    <w:basedOn w:val="Normal"/>
    <w:uiPriority w:val="34"/>
    <w:qFormat/>
    <w:rsid w:val="00AF5382"/>
    <w:pPr>
      <w:ind w:left="708"/>
    </w:pPr>
  </w:style>
  <w:style w:styleId="Reetkatablice" w:type="table">
    <w:name w:val="Table Grid"/>
    <w:basedOn w:val="Obinatablica"/>
    <w:uiPriority w:val="59"/>
    <w:rsid w:val="00744E4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2Char" w:type="character">
    <w:name w:val="Tijelo teksta 2 Char"/>
    <w:link w:val="Tijeloteksta2"/>
    <w:semiHidden/>
    <w:rsid w:val="00690DB5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CE2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1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1D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1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1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6532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St-1285/2017-14</izvorni_sadrzaj>
    <derivirana_varijabla naziv="DomainObject.Oznaka_1">St-1285/2017-14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St-1285/2017</izvorni_sadrzaj>
    <derivirana_varijabla naziv="DomainObject.Predmet.OznakaBroj_1">St-1285/2017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NEOMEDIA komunikacije d.o.o. za usluge u stečaju</izvorni_sadrzaj>
    <derivirana_varijabla naziv="DomainObject.Predmet.ProtustrankaFormated_1">  Stečajna masa iza NEOMEDIA komunikacije d.o.o. za usluge u stečaju</derivirana_varijabla>
  </DomainObject.Predmet.ProtustrankaFormated>
  <DomainObject.Predmet.ProtustrankaFormatedOIB>
    <izvorni_sadrzaj>  Stečajna masa iza NEOMEDIA komunikacije d.o.o. za usluge u stečaju, OIB 69866756998</izvorni_sadrzaj>
    <derivirana_varijabla naziv="DomainObject.Predmet.ProtustrankaFormatedOIB_1">  Stečajna masa iza NEOMEDIA komunikacije d.o.o. za usluge u stečaju, OIB 69866756998</derivirana_varijabla>
  </DomainObject.Predmet.ProtustrankaFormatedOIB>
  <DomainObject.Predmet.ProtustrankaFormatedWithAdress>
    <izvorni_sadrzaj> Stečajna masa iza NEOMEDIA komunikacije d.o.o. za usluge u stečaju, Bukovačka cesta 51, 10000 Zagreb</izvorni_sadrzaj>
    <derivirana_varijabla naziv="DomainObject.Predmet.ProtustrankaFormatedWithAdress_1"> Stečajna masa iza NEOMEDIA komunikacije d.o.o. za usluge u stečaju, Bukovačka cesta 51, 10000 Zagreb</derivirana_varijabla>
  </DomainObject.Predmet.ProtustrankaFormatedWithAdress>
  <DomainObject.Predmet.ProtustrankaFormatedWithAdressOIB>
    <izvorni_sadrzaj> Stečajna masa iza NEOMEDIA komunikacije d.o.o. za usluge u stečaju, OIB 69866756998, Bukovačka cesta 51, 10000 Zagreb</izvorni_sadrzaj>
    <derivirana_varijabla naziv="DomainObject.Predmet.ProtustrankaFormatedWithAdressOIB_1"> Stečajna masa iza NEOMEDIA komunikacije d.o.o. za usluge u stečaju, OIB 69866756998, Bukovačka cesta 51, 10000 Zagreb</derivirana_varijabla>
  </DomainObject.Predmet.ProtustrankaFormatedWithAdressOIB>
  <DomainObject.Predmet.ProtustrankaWithAdress>
    <izvorni_sadrzaj>Stečajna masa iza NEOMEDIA komunikacije d.o.o. za usluge u stečaju Bukovačka cesta 51, 10000 Zagreb</izvorni_sadrzaj>
    <derivirana_varijabla naziv="DomainObject.Predmet.ProtustrankaWithAdress_1">Stečajna masa iza NEOMEDIA komunikacije d.o.o. za usluge u stečaju Bukovačka cesta 51, 10000 Zagreb</derivirana_varijabla>
  </DomainObject.Predmet.ProtustrankaWithAdress>
  <DomainObject.Predmet.ProtustrankaWithAdressOIB>
    <izvorni_sadrzaj>Stečajna masa iza NEOMEDIA komunikacije d.o.o. za usluge u stečaju, OIB 69866756998, Bukovačka cesta 51, 10000 Zagreb</izvorni_sadrzaj>
    <derivirana_varijabla naziv="DomainObject.Predmet.ProtustrankaWithAdressOIB_1">Stečajna masa iza NEOMEDIA komunikacije d.o.o. za usluge u stečaju, OIB 69866756998, Bukovačka cesta 51, 10000 Zagreb</derivirana_varijabla>
  </DomainObject.Predmet.ProtustrankaWithAdressOIB>
  <DomainObject.Predmet.ProtustrankaNazivFormated>
    <izvorni_sadrzaj>Stečajna masa iza NEOMEDIA komunikacije d.o.o. za usluge u stečaju</izvorni_sadrzaj>
    <derivirana_varijabla naziv="DomainObject.Predmet.ProtustrankaNazivFormated_1">Stečajna masa iza NEOMEDIA komunikacije d.o.o. za usluge u stečaju</derivirana_varijabla>
  </DomainObject.Predmet.ProtustrankaNazivFormated>
  <DomainObject.Predmet.ProtustrankaNazivFormatedOIB>
    <izvorni_sadrzaj>Stečajna masa iza NEOMEDIA komunikacije d.o.o. za usluge u stečaju, OIB 69866756998</izvorni_sadrzaj>
    <derivirana_varijabla naziv="DomainObject.Predmet.ProtustrankaNazivFormatedOIB_1">Stečajna masa iza NEOMEDIA komunikacije d.o.o. za usluge u stečaju, OIB 69866756998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NEOMEDIA komunikacije d.o.o. za usluge u stečaju</item>
    </izvorni_sadrzaj>
    <derivirana_varijabla naziv="DomainObject.Predmet.ProtuStrankaListFormated_1">
      <item>Stečajna masa iza NEOMEDIA komunikacije d.o.o. za usluge u stečaju</item>
    </derivirana_varijabla>
  </DomainObject.Predmet.ProtuStrankaListFormated>
  <DomainObject.Predmet.ProtuStrankaListFormatedOIB>
    <izvorni_sadrzaj>
      <item>Stečajna masa iza NEOMEDIA komunikacije d.o.o. za usluge u stečaju, OIB 69866756998</item>
    </izvorni_sadrzaj>
    <derivirana_varijabla naziv="DomainObject.Predmet.ProtuStrankaListFormatedOIB_1">
      <item>Stečajna masa iza NEOMEDIA komunikacije d.o.o. za usluge u stečaju, OIB 69866756998</item>
    </derivirana_varijabla>
  </DomainObject.Predmet.ProtuStrankaListFormatedOIB>
  <DomainObject.Predmet.ProtuStrankaListFormatedWithAdress>
    <izvorni_sadrzaj>
      <item>Stečajna masa iza NEOMEDIA komunikacije d.o.o. za usluge u stečaju, Bukovačka cesta 51, 10000 Zagreb</item>
    </izvorni_sadrzaj>
    <derivirana_varijabla naziv="DomainObject.Predmet.ProtuStrankaListFormatedWithAdress_1">
      <item>Stečajna masa iza NEOMEDIA komunikacije d.o.o. za usluge u stečaju, Bukovačka cesta 51, 10000 Zagreb</item>
    </derivirana_varijabla>
  </DomainObject.Predmet.ProtuStrankaListFormatedWithAdress>
  <DomainObject.Predmet.ProtuStrankaListFormatedWithAdressOIB>
    <izvorni_sadrzaj>
      <item>Stečajna masa iza NEOMEDIA komunikacije d.o.o. za usluge u stečaju, OIB 69866756998, Bukovačka cesta 51, 10000 Zagreb</item>
    </izvorni_sadrzaj>
    <derivirana_varijabla naziv="DomainObject.Predmet.ProtuStrankaListFormatedWithAdressOIB_1">
      <item>Stečajna masa iza NEOMEDIA komunikacije d.o.o. za usluge u stečaju, OIB 69866756998, Bukovačka cesta 51, 10000 Zagreb</item>
    </derivirana_varijabla>
  </DomainObject.Predmet.ProtuStrankaListFormatedWithAdressOIB>
  <DomainObject.Predmet.ProtuStrankaListNazivFormated>
    <izvorni_sadrzaj>
      <item>Stečajna masa iza NEOMEDIA komunikacije d.o.o. za usluge u stečaju</item>
    </izvorni_sadrzaj>
    <derivirana_varijabla naziv="DomainObject.Predmet.ProtuStrankaListNazivFormated_1">
      <item>Stečajna masa iza NEOMEDIA komunikacije d.o.o. za usluge u stečaju</item>
    </derivirana_varijabla>
  </DomainObject.Predmet.ProtuStrankaListNazivFormated>
  <DomainObject.Predmet.ProtuStrankaListNazivFormatedOIB>
    <izvorni_sadrzaj>
      <item>Stečajna masa iza NEOMEDIA komunikacije d.o.o. za usluge u stečaju, OIB 69866756998</item>
    </izvorni_sadrzaj>
    <derivirana_varijabla naziv="DomainObject.Predmet.ProtuStrankaListNazivFormatedOIB_1">
      <item>Stečajna masa iza NEOMEDIA komunikacije d.o.o. za usluge u stečaju, OIB 69866756998</item>
    </derivirana_varijabla>
  </DomainObject.Predmet.ProtuStrankaListNazivFormatedOIB>
  <DomainObject.Predmet.OstaliListFormated>
    <izvorni_sadrzaj>
      <item>Hrvoje Budin</item>
      <item>Ivančica Štritof</item>
    </izvorni_sadrzaj>
    <derivirana_varijabla naziv="DomainObject.Predmet.OstaliListFormated_1">
      <item>Hrvoje Budin</item>
      <item>Ivančica Štritof</item>
    </derivirana_varijabla>
  </DomainObject.Predmet.OstaliListFormated>
  <DomainObject.Predmet.OstaliListFormatedOIB>
    <izvorni_sadrzaj>
      <item>Hrvoje Budin, OIB 91133857578</item>
      <item>Ivančica Štritof</item>
    </izvorni_sadrzaj>
    <derivirana_varijabla naziv="DomainObject.Predmet.OstaliListFormatedOIB_1">
      <item>Hrvoje Budin, OIB 91133857578</item>
      <item>Ivančica Štritof</item>
    </derivirana_varijabla>
  </DomainObject.Predmet.OstaliListFormatedOIB>
  <DomainObject.Predmet.OstaliListFormatedWithAdress>
    <izvorni_sadrzaj>
      <item>Hrvoje Budin, Ulica Metela Ožegovića 18, 10000 Zagreb</item>
      <item>Ivančica Štritof, Gundulićeva 61, 10000 Zagreb</item>
    </izvorni_sadrzaj>
    <derivirana_varijabla naziv="DomainObject.Predmet.OstaliListFormatedWithAdress_1">
      <item>Hrvoje Budin, Ulica Metela Ožegovića 18, 10000 Zagreb</item>
      <item>Ivančica Štritof, Gundulićeva 61, 10000 Zagreb</item>
    </derivirana_varijabla>
  </DomainObject.Predmet.OstaliListFormatedWithAdress>
  <DomainObject.Predmet.OstaliListFormatedWithAdressOIB>
    <izvorni_sadrzaj>
      <item>Hrvoje Budin, OIB 91133857578, Ulica Metela Ožegovića 18, 10000 Zagreb</item>
      <item>Ivančica Štritof, Gundulićeva 61, 10000 Zagreb</item>
    </izvorni_sadrzaj>
    <derivirana_varijabla naziv="DomainObject.Predmet.OstaliListFormatedWithAdressOIB_1">
      <item>Hrvoje Budin, OIB 91133857578, Ulica Metela Ožegovića 18, 10000 Zagreb</item>
      <item>Ivančica Štritof, Gundulićeva 61, 10000 Zagreb</item>
    </derivirana_varijabla>
  </DomainObject.Predmet.OstaliListFormatedWithAdressOIB>
  <DomainObject.Predmet.OstaliListNazivFormated>
    <izvorni_sadrzaj>
      <item>Hrvoje Budin</item>
      <item>Ivančica Štritof</item>
    </izvorni_sadrzaj>
    <derivirana_varijabla naziv="DomainObject.Predmet.OstaliListNazivFormated_1">
      <item>Hrvoje Budin</item>
      <item>Ivančica Štritof</item>
    </derivirana_varijabla>
  </DomainObject.Predmet.OstaliListNazivFormated>
  <DomainObject.Predmet.OstaliListNazivFormatedOIB>
    <izvorni_sadrzaj>
      <item>Hrvoje Budin, OIB 91133857578</item>
      <item>Ivančica Štritof</item>
    </izvorni_sadrzaj>
    <derivirana_varijabla naziv="DomainObject.Predmet.OstaliListNazivFormatedOIB_1">
      <item>Hrvoje Budin, OIB 91133857578</item>
      <item>Ivančica Štritof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NEOMEDIA komunikacije d.o.o. za usluge u stečaju</izvorni_sadrzaj>
    <derivirana_varijabla naziv="DomainObject.Predmet.ProtustrankaIDrugi_1">Stečajna masa iza NEOMEDIA komunikacije d.o.o. za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NEOMEDIA komunikacije d.o.o. za usluge u stečaju, OIB 69866756998, Bukovačka cesta 51, 10000 Zagreb</izvorni_sadrzaj>
    <derivirana_varijabla naziv="DomainObject.Predmet.ProtustrankaIDrugiAdressOIB_1">Stečajna masa iza NEOMEDIA komunikacije d.o.o. za usluge u stečaju, OIB 69866756998, Bukovačka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Hrvoje Budin</item>
      <item>Ivančica Štritof</item>
      <item>Stečajna masa iza NEOMEDIA komunikacije d.o.o. za usluge u stečaju</item>
    </izvorni_sadrzaj>
    <derivirana_varijabla naziv="DomainObject.Predmet.SudioniciListNaziv_1">
      <item>FINA Regionalni centar Zagreb</item>
      <item>Hrvoje Budin</item>
      <item>Ivančica Štritof</item>
      <item>Stečajna masa iza NEOMEDIA komunikacije d.o.o. za usluge u stečaju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Hrvoje Budin, OIB 91133857578, Ulica Metela Ožegovića 18,10000 Zagreb</item>
      <item>Ivančica Štritof, Gundulićeva 61,10000 Zagreb</item>
      <item>Stečajna masa iza NEOMEDIA komunikacije d.o.o. za usluge u stečaju, OIB 69866756998, Bukovačka cesta 51,10000 Zagreb</item>
    </izvorni_sadrzaj>
    <derivirana_varijabla naziv="DomainObject.Predmet.SudioniciListAdressOIB_1">
      <item>FINA Regionalni centar Zagreb, OIB 85821130368, Trg svibanjskih žrtava 1995. br. 1,10000 Zagreb</item>
      <item>Hrvoje Budin, OIB 91133857578, Ulica Metela Ožegovića 18,10000 Zagreb</item>
      <item>Ivančica Štritof, Gundulićeva 61,10000 Zagreb</item>
      <item>Stečajna masa iza NEOMEDIA komunikacije d.o.o. za usluge u stečaju, OIB 69866756998,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91133857578</item>
      <item>, OIB null</item>
      <item>, OIB 69866756998</item>
    </izvorni_sadrzaj>
    <derivirana_varijabla naziv="DomainObject.Predmet.SudioniciListNazivOIB_1">
      <item>, OIB 85821130368</item>
      <item>, OIB 91133857578</item>
      <item>, OIB null</item>
      <item>, OIB 69866756998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209</properties:Words>
  <properties:Characters>1223</properties:Characters>
  <properties:Lines>76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Martina Črep, dipl</vt:lpstr>
      <vt:lpstr>Martina Črep, dipl</vt:lpstr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2018-01-23T07:09:00Z</dcterms:created>
  <dc:creator>mima</dc:creator>
  <cp:lastModifiedBy>Žana Livaja</cp:lastModifiedBy>
  <cp:lastPrinted>2013-06-24T10:47:00Z</cp:lastPrinted>
  <dcterms:modified xmlns:xsi="http://www.w3.org/2001/XMLSchema-instance" xsi:type="dcterms:W3CDTF">2018-01-23T07:10:00Z</dcterms:modified>
  <cp:revision>3</cp:revision>
  <dc:title>Martina Črep, dipl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St-1285/2017-14 / Podnesak - Popis predmeta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