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692d" w14:paraId="402692d" w:rsidRDefault="00A46E21" w:rsidP="00A46E21" w:rsidR="00A46E21" w:rsidRPr="007B103F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B103F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21" w:rsidP="00A46E21" w:rsidR="00A46E21" w:rsidRPr="007B103F">
      <w:pPr>
        <w:jc w:val="both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A46E21" w:rsidP="00A46E21" w:rsidR="00A46E21" w:rsidRPr="007B103F">
      <w:pPr>
        <w:jc w:val="both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>Trgovački sud u Zagrebu</w:t>
      </w:r>
    </w:p>
    <w:p w:rsidRDefault="00A46E21" w:rsidP="00A46E21" w:rsidR="00A46E21">
      <w:pPr>
        <w:jc w:val="both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>Zagreb, Amruševa 2/II</w:t>
      </w:r>
    </w:p>
    <w:p w:rsidRDefault="00A46E21" w:rsidP="00A46E21" w:rsidR="00A46E21" w:rsidRPr="007B103F">
      <w:pPr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 w:rsidRPr="007B103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 w:rsidRPr="007B103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 A K L J U Č A K </w:t>
      </w:r>
    </w:p>
    <w:p w:rsidRDefault="00A46E21" w:rsidP="00A46E21" w:rsidR="00A46E21" w:rsidRPr="007B103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 w:rsidRPr="007B103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 w:rsidRPr="007B103F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t>TRGOVAČKI SUD U ZAGREBU po sucu Mirjani Chour Hršak kao stečajnom sucu, u stečajnom postupku nad stečajnim dužnikom FRANJIĆ KERAMIKA d.o.o. Javorje, 1. odv. Savske 24, 10291 Brdovec,  MBS: 080585647  OIB:42065739141, dana  25. rujna 2017. godine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A46E21" w:rsidP="00A46E21" w:rsidR="00A46E21" w:rsidRPr="007B103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 w:rsidRPr="007B103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i o</w:t>
      </w:r>
      <w:r w:rsidRPr="007B103F">
        <w:rPr>
          <w:rFonts w:cs="Times New Roman" w:eastAsia="Times New Roman"/>
          <w:szCs w:val="24"/>
          <w:lang w:eastAsia="hr-HR"/>
        </w:rPr>
        <w:t xml:space="preserve">    j e</w:t>
      </w:r>
    </w:p>
    <w:p w:rsidRDefault="00A46E21" w:rsidP="00A46E21" w:rsidR="00A46E21">
      <w:pPr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9868F7">
        <w:rPr>
          <w:rFonts w:cs="Times New Roman" w:eastAsia="Times New Roman"/>
          <w:szCs w:val="24"/>
          <w:lang w:eastAsia="hr-HR"/>
        </w:rPr>
        <w:t>Predmet prodaje nekretnine upisane u zk.ul. br. 5764, k.o. Murter-Betina, zkč. br. 1726/2, suvlasnički dio: 30/232 etažno vlasništvo (E-3),</w:t>
      </w:r>
    </w:p>
    <w:p w:rsidRDefault="00A46E21" w:rsidP="00A46E21" w:rsidR="00A46E21" w:rsidRPr="009868F7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>
      <w:pPr>
        <w:pStyle w:val="Odlomakpopisa"/>
        <w:numPr>
          <w:ilvl w:val="0"/>
          <w:numId w:val="3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POSLOVNI PROSTOR "3" nalazi se u prizemlju objekta na istočnoj strani, a sadržava: dva ureda, hodnik, WC s pred prostorom i terasu. Poslovni prostor ima neto površinu 39,54 m2. Poslovnom prostoru pripada i parkirališno mjesto P8, površine 13,08 m2.</w:t>
      </w:r>
    </w:p>
    <w:p w:rsidRDefault="00A46E21" w:rsidP="00A46E21" w:rsidR="00A46E21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>
      <w:pPr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 w:rsidRPr="007B103F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>Na nekretnini iz točke 1. izreke postoji razlučno pravo u korist vjerovnika:</w:t>
      </w:r>
    </w:p>
    <w:p w:rsidRDefault="00A46E21" w:rsidP="00A46E21" w:rsidR="00A46E21">
      <w:pPr>
        <w:ind w:left="360"/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>
      <w:pPr>
        <w:pStyle w:val="Odlomakpopisa"/>
        <w:numPr>
          <w:ilvl w:val="0"/>
          <w:numId w:val="3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ZAGREBAČKA BANKA d.d. Zagreb, Paromlinska 2,</w:t>
      </w:r>
    </w:p>
    <w:p w:rsidRDefault="00A46E21" w:rsidP="00A46E21" w:rsidR="00A46E21">
      <w:pPr>
        <w:pStyle w:val="Odlomakpopisa"/>
        <w:numPr>
          <w:ilvl w:val="0"/>
          <w:numId w:val="3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RH, Ministarstvo financija, Porezna uprava, PU Zagreb.</w:t>
      </w:r>
    </w:p>
    <w:p w:rsidRDefault="00A46E21" w:rsidP="00A46E21" w:rsidR="00A46E21">
      <w:pPr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Način prodaje:</w:t>
      </w:r>
    </w:p>
    <w:p w:rsidRDefault="00A46E21" w:rsidP="00A46E21" w:rsidR="00A46E21" w:rsidRPr="00B86275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Prodaju nekretnine provodi Financijska agencija elektroničkom javnom dražbom.</w:t>
      </w:r>
    </w:p>
    <w:p w:rsidRDefault="00A46E21" w:rsidP="00A46E21" w:rsidR="00A46E21">
      <w:pPr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Cijena:</w:t>
      </w:r>
    </w:p>
    <w:p w:rsidRDefault="00A46E21" w:rsidP="00A46E21" w:rsidR="00A46E2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a/ utvrđena vrijednost nekretnine iznosi 525.772,71 kn,</w:t>
      </w:r>
    </w:p>
    <w:p w:rsidRDefault="00A46E21" w:rsidP="00A46E21" w:rsidR="00A46E2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b/ minimalna cijena (cijena ispod koje se nekretnina ne može prodati):</w:t>
      </w:r>
    </w:p>
    <w:p w:rsidRDefault="00A46E21" w:rsidP="00A46E21" w:rsidR="00A46E21">
      <w:pPr>
        <w:ind w:left="708"/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>
      <w:pPr>
        <w:pStyle w:val="Odlomakpopisa"/>
        <w:numPr>
          <w:ilvl w:val="0"/>
          <w:numId w:val="3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prvoj dražbi ispod ¾ utvrđene vrijednosti,</w:t>
      </w:r>
    </w:p>
    <w:p w:rsidRDefault="00A46E21" w:rsidP="00A46E21" w:rsidR="00A46E21">
      <w:pPr>
        <w:pStyle w:val="Odlomakpopisa"/>
        <w:numPr>
          <w:ilvl w:val="0"/>
          <w:numId w:val="3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drugoj dražbi ispod ½ utvrđene vrijednosti,</w:t>
      </w:r>
    </w:p>
    <w:p w:rsidRDefault="00A46E21" w:rsidP="00A46E21" w:rsidR="00A46E21">
      <w:pPr>
        <w:pStyle w:val="Odlomakpopisa"/>
        <w:numPr>
          <w:ilvl w:val="0"/>
          <w:numId w:val="3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trećoj dražbi ispod ¼ utvrđene vrijednosti,</w:t>
      </w:r>
    </w:p>
    <w:p w:rsidRDefault="00A46E21" w:rsidP="00A46E21" w:rsidR="00A46E21">
      <w:pPr>
        <w:pStyle w:val="Odlomakpopisa"/>
        <w:numPr>
          <w:ilvl w:val="0"/>
          <w:numId w:val="3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četvrtoj dražbi početna cijena iznosi 1,00 kn,</w:t>
      </w:r>
    </w:p>
    <w:p w:rsidRDefault="00A46E21" w:rsidP="00A46E21" w:rsidR="00A46E21">
      <w:pPr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c/ prvi razlučni vjerovnik u prednosnom redu može izjaviti da kupuje nekretninu i da stavlja u prijeboj svoju tražbinu s protutražbinom stečajnog dužnika po osnovi cijene u visini utvrđene vrijednosti nekretnine,</w:t>
      </w:r>
    </w:p>
    <w:p w:rsidRDefault="00A46E21" w:rsidP="00A46E21" w:rsidR="00A46E2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d/ jamčevina iznosi 10%  utvrđene vrijednosti,</w:t>
      </w:r>
    </w:p>
    <w:p w:rsidRDefault="00A46E21" w:rsidP="00A46E21" w:rsidR="00A46E2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e/ dražbeni korak iznosi 10.000,00 kn,</w:t>
      </w:r>
    </w:p>
    <w:p w:rsidRDefault="00A46E21" w:rsidP="00A46E21" w:rsidR="00A46E2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f/ rok u kojem je kupac dužan položiti kupovninu – razliku između jamčevine i postignute cijene kupac je dužan položiti u roku od 15 dana od pravomoćnosti rješenja o dosudi,</w:t>
      </w:r>
    </w:p>
    <w:p w:rsidRDefault="00A46E21" w:rsidP="00A46E21" w:rsidR="00A46E2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g/ ako kupac koji je ponudio višu cijenu u roku od 15 dana od dana pravomoćnosti rješenja o dosudi ne položi kupovninu, nekretnina će se dosuditi kupcima koji su ponudili nižu cijenu prema veličini ponudene cijene,</w:t>
      </w:r>
    </w:p>
    <w:p w:rsidRDefault="00A46E21" w:rsidP="00A46E21" w:rsidR="00A46E21" w:rsidRPr="009868F7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h/ nekretnina je slobodna od osoba i stvari,</w:t>
      </w:r>
    </w:p>
    <w:p w:rsidRDefault="00A46E21" w:rsidP="00A46E21" w:rsidR="00A46E21">
      <w:pPr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623849">
        <w:rPr>
          <w:rFonts w:cs="Times New Roman" w:eastAsia="Times New Roman"/>
          <w:szCs w:val="24"/>
          <w:lang w:eastAsia="hr-HR"/>
        </w:rPr>
        <w:t>Nekretnina stečajnog dužnika koja je predmet prodaje, te dokazi o vlasništvu nekretnine mogu se razgledati uz prethodni</w:t>
      </w:r>
      <w:r>
        <w:rPr>
          <w:rFonts w:cs="Times New Roman" w:eastAsia="Times New Roman"/>
          <w:szCs w:val="24"/>
          <w:lang w:eastAsia="hr-HR"/>
        </w:rPr>
        <w:t xml:space="preserve"> dogovor sa stečajnim upraviteljem Vidonijom Miletić Plukavec, Zagreb, Pirovec gornji 24, (mob. 098/440-499).</w:t>
      </w:r>
    </w:p>
    <w:p w:rsidRDefault="00A46E21" w:rsidP="00A46E21" w:rsidR="00A46E21">
      <w:pPr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 w:rsidRPr="00623849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623849">
        <w:rPr>
          <w:rFonts w:cs="Times New Roman" w:eastAsia="Times New Roman"/>
          <w:szCs w:val="24"/>
          <w:lang w:eastAsia="hr-HR"/>
        </w:rPr>
        <w:t>Nalaže se stečajnom upravitelju dostaviti Financijskoj agenciji na obrascu propisanom Pravilnikom o načinu i postupku provedbe prodaje nekretnina i pokretnina u ovršnom postupku (NN 156/14, dalje: Pravilnik) zahtjev za prodaju nekretnine u stečajnom postupku elektroničkom javnom dražbom sa podacima sukladno ovom zaključku.</w:t>
      </w:r>
    </w:p>
    <w:p w:rsidRDefault="00A46E21" w:rsidP="00A46E21" w:rsidR="00A46E21" w:rsidRPr="00623849">
      <w:pPr>
        <w:pStyle w:val="Odlomakpopisa"/>
        <w:rPr>
          <w:rFonts w:cs="Times New Roman" w:eastAsia="Times New Roman"/>
          <w:szCs w:val="24"/>
          <w:lang w:eastAsia="hr-HR"/>
        </w:rPr>
      </w:pPr>
    </w:p>
    <w:p w:rsidRDefault="00A46E21" w:rsidP="00A46E21" w:rsidR="00A46E21" w:rsidRPr="00623849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Ovaj zaključak o prodaji objavit će se na e-Oglasnoj ploči Trgovačkog suda u Zagrebu.</w:t>
      </w:r>
    </w:p>
    <w:p w:rsidRDefault="00A46E21" w:rsidP="00A46E21" w:rsidR="00A46E21">
      <w:pPr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>
      <w:pPr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 w:rsidRPr="007B103F">
      <w:pPr>
        <w:jc w:val="center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>Obrazloženje</w:t>
      </w:r>
    </w:p>
    <w:p w:rsidRDefault="00A46E21" w:rsidP="00A46E21" w:rsidR="00A46E21">
      <w:pPr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Prema odredbi članka 247. stavak 3. </w:t>
      </w:r>
      <w:r w:rsidRPr="00B86275">
        <w:rPr>
          <w:rFonts w:cs="Times New Roman" w:eastAsia="Times New Roman"/>
          <w:szCs w:val="24"/>
          <w:lang w:eastAsia="hr-HR"/>
        </w:rPr>
        <w:t xml:space="preserve">Stečajnog zakona (NN br. </w:t>
      </w:r>
      <w:r>
        <w:rPr>
          <w:rFonts w:cs="Times New Roman" w:eastAsia="Times New Roman"/>
          <w:szCs w:val="24"/>
          <w:lang w:eastAsia="hr-HR"/>
        </w:rPr>
        <w:t>71/15, dalje: SZ</w:t>
      </w:r>
      <w:r w:rsidRPr="00B86275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 odlučeno je kao u izreci.</w:t>
      </w:r>
    </w:p>
    <w:p w:rsidRDefault="00A46E21" w:rsidP="00A46E21" w:rsidR="00A46E2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Točka 4.b. zaključka utemeljena je na odredbi članka 147. stavak 5. i 6. SZ-a.</w:t>
      </w:r>
    </w:p>
    <w:p w:rsidRDefault="00A46E21" w:rsidP="00A46E21" w:rsidR="00A46E21" w:rsidRPr="007B103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Točka 4.c. zaključka utemeljena je na odredbi članka 147. stavak 7. SZ-a.</w:t>
      </w:r>
    </w:p>
    <w:p w:rsidRDefault="00A46E21" w:rsidP="00A46E21" w:rsidR="00A46E21" w:rsidRPr="007B103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Točka 4.e. zaključka utemeljena je na odredbi članka 20. stavak 2. Pravilnika.</w:t>
      </w:r>
    </w:p>
    <w:p w:rsidRDefault="00A46E21" w:rsidP="00A46E21" w:rsidR="00A46E21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Točka 4.g. zaključka utemeljena je na odredbi članka 98. stavak 3. OZ-a</w:t>
      </w:r>
    </w:p>
    <w:p w:rsidRDefault="00A46E21" w:rsidP="00A46E21" w:rsidR="00A46E21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Stečajni je upravitelj tijelo stečajnog postupka sa zadaćom unovčavanja imovine stečajnog dužnika (članak 89. stavak 1. toč. 9. SZ-a), te u smislu članka 2. Pravilnika predstavlja "nadležno tijelo" koje Financijskoj agenciji dostavlja zahtjev za prodaju i ostala pismena radi prodaje nekretnina stečajnog dužnika (točka V. zaključka).</w:t>
      </w:r>
    </w:p>
    <w:p w:rsidRDefault="00A46E21" w:rsidP="00A46E21" w:rsidR="00A46E21" w:rsidRPr="007B103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Točka 7. zaključka utemeljena je na odredbi članka 12. SZ-a.</w:t>
      </w:r>
    </w:p>
    <w:p w:rsidRDefault="00A46E21" w:rsidP="00A46E21" w:rsidR="00A46E21" w:rsidRPr="007B103F">
      <w:pPr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 w:rsidRPr="007B103F">
      <w:pPr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 w:rsidRPr="007B103F">
      <w:pPr>
        <w:jc w:val="center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 xml:space="preserve">Zagreb </w:t>
      </w:r>
      <w:r>
        <w:rPr>
          <w:rFonts w:cs="Times New Roman" w:eastAsia="Times New Roman"/>
          <w:szCs w:val="24"/>
          <w:lang w:eastAsia="hr-HR"/>
        </w:rPr>
        <w:t>25. rujna</w:t>
      </w:r>
      <w:r w:rsidRPr="007B103F">
        <w:rPr>
          <w:rFonts w:cs="Times New Roman" w:eastAsia="Times New Roman"/>
          <w:szCs w:val="24"/>
          <w:lang w:eastAsia="hr-HR"/>
        </w:rPr>
        <w:t xml:space="preserve"> 2017.</w:t>
      </w:r>
    </w:p>
    <w:p w:rsidRDefault="00A46E21" w:rsidP="00A46E21" w:rsidR="00A46E21" w:rsidRPr="007B103F">
      <w:pPr>
        <w:jc w:val="center"/>
        <w:rPr>
          <w:rFonts w:cs="Times New Roman" w:eastAsia="Times New Roman"/>
          <w:szCs w:val="24"/>
          <w:lang w:eastAsia="hr-HR"/>
        </w:rPr>
      </w:pPr>
    </w:p>
    <w:p w:rsidRDefault="00A46E21" w:rsidP="00A46E21" w:rsidR="00A46E21" w:rsidRPr="007B103F">
      <w:pPr>
        <w:jc w:val="both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  <w:t xml:space="preserve">    </w:t>
      </w:r>
      <w:r w:rsidRPr="007B103F"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A46E21" w:rsidP="00A46E21" w:rsidR="00A46E21" w:rsidRPr="007B103F">
      <w:pPr>
        <w:jc w:val="both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  <w:t xml:space="preserve">          </w:t>
      </w:r>
      <w:r w:rsidRPr="007B103F">
        <w:rPr>
          <w:rFonts w:cs="Times New Roman" w:eastAsia="Times New Roman"/>
          <w:szCs w:val="24"/>
          <w:lang w:eastAsia="hr-HR"/>
        </w:rPr>
        <w:tab/>
      </w:r>
    </w:p>
    <w:p w:rsidRDefault="00A46E21" w:rsidP="00A46E21" w:rsidR="00A46E21">
      <w:pPr>
        <w:jc w:val="right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>MIRJANA CHOUR HRŠAK</w:t>
      </w:r>
      <w:r w:rsidR="00051928">
        <w:rPr>
          <w:rFonts w:cs="Times New Roman" w:eastAsia="Times New Roman"/>
          <w:szCs w:val="24"/>
          <w:lang w:eastAsia="hr-HR"/>
        </w:rPr>
        <w:t>, v.r.</w:t>
      </w:r>
    </w:p>
    <w:p w:rsidRDefault="00A46E21" w:rsidP="00A46E21" w:rsidR="00A46E21">
      <w:pPr>
        <w:jc w:val="right"/>
        <w:rPr>
          <w:rFonts w:cs="Times New Roman" w:eastAsia="Times New Roman"/>
          <w:szCs w:val="24"/>
          <w:lang w:eastAsia="hr-HR"/>
        </w:rPr>
      </w:pPr>
    </w:p>
    <w:p w:rsidRDefault="00A46E21" w:rsidP="00A46E21" w:rsidR="00A46E21">
      <w:pPr>
        <w:jc w:val="right"/>
        <w:rPr>
          <w:rFonts w:cs="Times New Roman" w:eastAsia="Times New Roman"/>
          <w:szCs w:val="24"/>
          <w:lang w:eastAsia="hr-HR"/>
        </w:rPr>
      </w:pPr>
    </w:p>
    <w:p w:rsidRDefault="00A46E21" w:rsidP="00A46E21" w:rsidR="00A46E21" w:rsidRPr="007B103F">
      <w:pPr>
        <w:jc w:val="right"/>
        <w:rPr>
          <w:rFonts w:cs="Times New Roman" w:eastAsia="Times New Roman"/>
          <w:szCs w:val="24"/>
          <w:lang w:eastAsia="hr-HR"/>
        </w:rPr>
      </w:pPr>
    </w:p>
    <w:p w:rsidRDefault="00A46E21" w:rsidP="00A46E21" w:rsidR="00A46E21" w:rsidRPr="007B103F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A46E21" w:rsidP="00A46E21" w:rsidR="00A46E21" w:rsidRPr="007B103F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A46E21" w:rsidP="00A46E21" w:rsidR="00A46E21" w:rsidRPr="007B103F">
      <w:pPr>
        <w:jc w:val="both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>UPUTA O PRAVNOM LIJEKU:</w:t>
      </w:r>
    </w:p>
    <w:p w:rsidRDefault="00A46E21" w:rsidP="00A46E21" w:rsidR="00A46E21" w:rsidRPr="007B103F">
      <w:pPr>
        <w:jc w:val="both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 xml:space="preserve">Protiv ovog </w:t>
      </w:r>
      <w:r>
        <w:rPr>
          <w:rFonts w:cs="Times New Roman" w:eastAsia="Times New Roman"/>
          <w:szCs w:val="24"/>
          <w:lang w:eastAsia="hr-HR"/>
        </w:rPr>
        <w:t>zaključka nije dopuštena žalba (čl. 11. st. 9. Stečajnog zakona (NN br. 44/94 do 133/12).</w:t>
      </w:r>
    </w:p>
    <w:p w:rsidRDefault="00A46E21" w:rsidP="00A46E21" w:rsidR="00A46E21">
      <w:pPr>
        <w:jc w:val="both"/>
        <w:rPr>
          <w:rFonts w:cs="Times New Roman" w:eastAsia="Times New Roman"/>
          <w:szCs w:val="24"/>
          <w:lang w:eastAsia="hr-HR"/>
        </w:rPr>
      </w:pPr>
    </w:p>
    <w:p w:rsidRDefault="00A46E21" w:rsidP="00A46E21" w:rsidR="00A46E21" w:rsidRPr="007B103F">
      <w:pPr>
        <w:jc w:val="both"/>
        <w:rPr>
          <w:rFonts w:cs="Times New Roman" w:eastAsia="Times New Roman"/>
          <w:szCs w:val="24"/>
          <w:lang w:eastAsia="hr-HR"/>
        </w:rPr>
      </w:pPr>
    </w:p>
    <w:p w:rsidRDefault="00051928" w:rsidP="00E40762" w:rsidR="00051928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051928" w:rsidP="00E40762" w:rsidR="00051928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A46E21" w:rsidP="00A46E21" w:rsidR="00A46E21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E21" w:rsidP="00A46E21" w:rsidR="00A46E21">
      <w:r>
        <w:separator/>
      </w:r>
    </w:p>
  </w:endnote>
  <w:endnote w:id="0" w:type="continuationSeparator">
    <w:p w:rsidRDefault="00A46E21" w:rsidP="00A46E21" w:rsidR="00A46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E21" w:rsidP="00A46E21" w:rsidR="00A46E21">
      <w:r>
        <w:separator/>
      </w:r>
    </w:p>
  </w:footnote>
  <w:footnote w:id="0" w:type="continuationSeparator">
    <w:p w:rsidRDefault="00A46E21" w:rsidP="00A46E21" w:rsidR="00A46E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4081595"/>
      <w:docPartObj>
        <w:docPartGallery w:val="Page Numbers (Top of Page)"/>
        <w:docPartUnique/>
      </w:docPartObj>
    </w:sdtPr>
    <w:sdtEndPr/>
    <w:sdtContent>
      <w:p w:rsidRDefault="00A46E21" w:rsidR="00A46E2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928">
          <w:rPr>
            <w:noProof/>
          </w:rPr>
          <w:t>1</w:t>
        </w:r>
        <w:r>
          <w:fldChar w:fldCharType="end"/>
        </w:r>
      </w:p>
    </w:sdtContent>
  </w:sdt>
  <w:p w:rsidRDefault="00A46E21" w:rsidP="00A46E21" w:rsidR="00A46E21">
    <w:pPr>
      <w:pStyle w:val="Zaglavlje"/>
      <w:jc w:val="right"/>
    </w:pPr>
    <w:r>
      <w:t>34. St-2748/2016-22</w:t>
    </w:r>
  </w:p>
  <w:p w:rsidRDefault="00A46E21" w:rsidP="00A46E21" w:rsidR="00A46E21">
    <w:pPr>
      <w:pStyle w:val="Zaglavlje"/>
      <w:jc w:val="right"/>
    </w:pPr>
  </w:p>
  <w:p w:rsidRDefault="00A46E21" w:rsidP="00A46E21" w:rsidR="00A46E2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3258B"/>
    <w:multiLevelType w:val="hybridMultilevel"/>
    <w:tmpl w:val="7AB27148"/>
    <w:lvl w:tplc="54A0101A" w:ilvl="0">
      <w:start w:val="1"/>
      <w:numFmt w:val="decimal"/>
      <w:lvlText w:val="%1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276067"/>
    <w:multiLevelType w:val="hybridMultilevel"/>
    <w:tmpl w:val="8AA8D804"/>
    <w:lvl w:tplc="2F041B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6E21"/>
    <w:rsid w:val="00045FAF"/>
    <w:rsid w:val="00051928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431B33"/>
    <w:rsid w:val="004A164D"/>
    <w:rsid w:val="004E5A94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9461D1"/>
    <w:rsid w:val="00A46E21"/>
    <w:rsid w:val="00AF40C4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2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6E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46E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6E21"/>
  </w:style>
  <w:style w:styleId="Podnoje" w:type="paragraph">
    <w:name w:val="footer"/>
    <w:basedOn w:val="Normal"/>
    <w:link w:val="PodnojeChar"/>
    <w:uiPriority w:val="99"/>
    <w:unhideWhenUsed/>
    <w:rsid w:val="00A46E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6E21"/>
  </w:style>
  <w:style w:styleId="Tekstrezerviranogmjesta" w:type="character">
    <w:name w:val="Placeholder Text"/>
    <w:basedOn w:val="Zadanifontodlomka"/>
    <w:uiPriority w:val="99"/>
    <w:semiHidden/>
    <w:rsid w:val="00051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92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192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192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192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2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6E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46E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6E21"/>
  </w:style>
  <w:style w:styleId="Podnoje" w:type="paragraph">
    <w:name w:val="footer"/>
    <w:basedOn w:val="Normal"/>
    <w:link w:val="PodnojeChar"/>
    <w:uiPriority w:val="99"/>
    <w:unhideWhenUsed/>
    <w:rsid w:val="00A46E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6E21"/>
  </w:style>
  <w:style w:styleId="Tekstrezerviranogmjesta" w:type="character">
    <w:name w:val="Placeholder Text"/>
    <w:basedOn w:val="Zadanifontodlomka"/>
    <w:uiPriority w:val="99"/>
    <w:semiHidden/>
    <w:rsid w:val="00051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9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192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19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19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2748</izvorni_sadrzaj>
    <derivirana_varijabla naziv="DomainObject.Predmet.Broj_1">2748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St-2748/2016</izvorni_sadrzaj>
    <derivirana_varijabla naziv="DomainObject.Predmet.OznakaBroj_1">St-2748/2016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KERAMIKA d.o.o.</izvorni_sadrzaj>
    <derivirana_varijabla naziv="DomainObject.Predmet.ProtustrankaFormated_1">  FRANJIĆ KERAMIKA d.o.o.</derivirana_varijabla>
  </DomainObject.Predmet.ProtustrankaFormated>
  <DomainObject.Predmet.ProtustrankaFormatedOIB>
    <izvorni_sadrzaj>  FRANJIĆ KERAMIKA d.o.o., OIB 42065739141</izvorni_sadrzaj>
    <derivirana_varijabla naziv="DomainObject.Predmet.ProtustrankaFormatedOIB_1">  FRANJIĆ KERAMIKA d.o.o., OIB 42065739141</derivirana_varijabla>
  </DomainObject.Predmet.ProtustrankaFormatedOIB>
  <DomainObject.Predmet.ProtustrankaFormatedWithAdress>
    <izvorni_sadrzaj> FRANJIĆ KERAMIKA d.o.o., Javorje, 1. odv. savske 24, 10291 Brdovec</izvorni_sadrzaj>
    <derivirana_varijabla naziv="DomainObject.Predmet.ProtustrankaFormatedWithAdress_1"> FRANJIĆ KERAMIKA d.o.o., Javorje, 1. odv. savske 24, 10291 Brdovec</derivirana_varijabla>
  </DomainObject.Predmet.ProtustrankaFormatedWithAdress>
  <DomainObject.Predmet.ProtustrankaFormatedWithAdressOIB>
    <izvorni_sadrzaj> FRANJIĆ KERAMIKA d.o.o., OIB 42065739141, Javorje, 1. odv. savske 24, 10291 Brdovec</izvorni_sadrzaj>
    <derivirana_varijabla naziv="DomainObject.Predmet.ProtustrankaFormatedWithAdressOIB_1"> FRANJIĆ KERAMIKA d.o.o., OIB 42065739141, Javorje, 1. odv. savske 24, 10291 Brdovec</derivirana_varijabla>
  </DomainObject.Predmet.ProtustrankaFormatedWithAdressOIB>
  <DomainObject.Predmet.ProtustrankaWithAdress>
    <izvorni_sadrzaj>FRANJIĆ KERAMIKA d.o.o. Javorje, 1. odv. savske 24, 10291 Brdovec</izvorni_sadrzaj>
    <derivirana_varijabla naziv="DomainObject.Predmet.ProtustrankaWithAdress_1">FRANJIĆ KERAMIKA d.o.o. Javorje, 1. odv. savske 24, 10291 Brdovec</derivirana_varijabla>
  </DomainObject.Predmet.ProtustrankaWithAdress>
  <DomainObject.Predmet.ProtustrankaWithAdressOIB>
    <izvorni_sadrzaj>FRANJIĆ KERAMIKA d.o.o., OIB 42065739141, Javorje, 1. odv. savske 24, 10291 Brdovec</izvorni_sadrzaj>
    <derivirana_varijabla naziv="DomainObject.Predmet.ProtustrankaWithAdressOIB_1">FRANJIĆ KERAMIKA d.o.o., OIB 42065739141, Javorje, 1. odv. savske 24, 10291 Brdovec</derivirana_varijabla>
  </DomainObject.Predmet.ProtustrankaWithAdressOIB>
  <DomainObject.Predmet.ProtustrankaNazivFormated>
    <izvorni_sadrzaj>FRANJIĆ KERAMIKA d.o.o.</izvorni_sadrzaj>
    <derivirana_varijabla naziv="DomainObject.Predmet.ProtustrankaNazivFormated_1">FRANJIĆ KERAMIKA d.o.o.</derivirana_varijabla>
  </DomainObject.Predmet.ProtustrankaNazivFormated>
  <DomainObject.Predmet.ProtustrankaNazivFormatedOIB>
    <izvorni_sadrzaj>FRANJIĆ KERAMIKA d.o.o., OIB 42065739141</izvorni_sadrzaj>
    <derivirana_varijabla naziv="DomainObject.Predmet.ProtustrankaNazivFormatedOIB_1">FRANJIĆ KERAMIKA d.o.o., OIB 42065739141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FRANJIĆ KERAMIKA d.o.o.</item>
    </izvorni_sadrzaj>
    <derivirana_varijabla naziv="DomainObject.Predmet.ProtuStrankaListFormated_1">
      <item>FRANJIĆ KERAMIKA d.o.o.</item>
    </derivirana_varijabla>
  </DomainObject.Predmet.ProtuStrankaListFormated>
  <DomainObject.Predmet.ProtuStrankaListFormatedOIB>
    <izvorni_sadrzaj>
      <item>FRANJIĆ KERAMIKA d.o.o., OIB 42065739141</item>
    </izvorni_sadrzaj>
    <derivirana_varijabla naziv="DomainObject.Predmet.ProtuStrankaListFormatedOIB_1">
      <item>FRANJIĆ KERAMIKA d.o.o., OIB 42065739141</item>
    </derivirana_varijabla>
  </DomainObject.Predmet.ProtuStrankaListFormatedOIB>
  <DomainObject.Predmet.ProtuStrankaListFormatedWithAdress>
    <izvorni_sadrzaj>
      <item>FRANJIĆ KERAMIKA d.o.o., Javorje, 1. odv. savske 24, 10291 Brdovec</item>
    </izvorni_sadrzaj>
    <derivirana_varijabla naziv="DomainObject.Predmet.ProtuStrankaListFormatedWithAdress_1">
      <item>FRANJIĆ KERAMIKA d.o.o., Javorje, 1. odv. savske 24, 10291 Brdovec</item>
    </derivirana_varijabla>
  </DomainObject.Predmet.ProtuStrankaListFormatedWithAdress>
  <DomainObject.Predmet.ProtuStrankaListFormatedWithAdressOIB>
    <izvorni_sadrzaj>
      <item>FRANJIĆ KERAMIKA d.o.o., OIB 42065739141, Javorje, 1. odv. savske 24, 10291 Brdovec</item>
    </izvorni_sadrzaj>
    <derivirana_varijabla naziv="DomainObject.Predmet.ProtuStrankaListFormatedWithAdressOIB_1">
      <item>FRANJIĆ KERAMIKA d.o.o., OIB 42065739141, Javorje, 1. odv. savske 24, 10291 Brdovec</item>
    </derivirana_varijabla>
  </DomainObject.Predmet.ProtuStrankaListFormatedWithAdressOIB>
  <DomainObject.Predmet.ProtuStrankaListNazivFormated>
    <izvorni_sadrzaj>
      <item>FRANJIĆ KERAMIKA d.o.o.</item>
    </izvorni_sadrzaj>
    <derivirana_varijabla naziv="DomainObject.Predmet.ProtuStrankaListNazivFormated_1">
      <item>FRANJIĆ KERAMIKA d.o.o.</item>
    </derivirana_varijabla>
  </DomainObject.Predmet.ProtuStrankaListNazivFormated>
  <DomainObject.Predmet.ProtuStrankaListNazivFormatedOIB>
    <izvorni_sadrzaj>
      <item>FRANJIĆ KERAMIKA d.o.o., OIB 42065739141</item>
    </izvorni_sadrzaj>
    <derivirana_varijabla naziv="DomainObject.Predmet.ProtuStrankaListNazivFormatedOIB_1">
      <item>FRANJIĆ KERAMIKA d.o.o., OIB 42065739141</item>
    </derivirana_varijabla>
  </DomainObject.Predmet.ProtuStrankaListNazivFormatedOIB>
  <DomainObject.Predmet.OstaliListFormated>
    <izvorni_sadrzaj>
      <item>Franjo Franjić</item>
      <item>Franjo Ribić</item>
    </izvorni_sadrzaj>
    <derivirana_varijabla naziv="DomainObject.Predmet.OstaliListFormated_1">
      <item>Franjo Franjić</item>
      <item>Franjo Ribić</item>
    </derivirana_varijabla>
  </DomainObject.Predmet.OstaliListFormated>
  <DomainObject.Predmet.OstaliListFormatedOIB>
    <izvorni_sadrzaj>
      <item>Franjo Franjić, OIB 71002063394</item>
      <item>Franjo Ribić, OIB 53176193705</item>
    </izvorni_sadrzaj>
    <derivirana_varijabla naziv="DomainObject.Predmet.OstaliListFormatedOIB_1">
      <item>Franjo Franjić, OIB 71002063394</item>
      <item>Franjo Ribić, OIB 53176193705</item>
    </derivirana_varijabla>
  </DomainObject.Predmet.OstaliListFormatedOIB>
  <DomainObject.Predmet.OstaliListFormatedWithAdress>
    <izvorni_sadrzaj>
      <item>Franjo Franjić, 1. Odvojak Savske 24, 10291 Javorje</item>
      <item>Franjo Ribić, SARAJEVSKA CESTA 60, 10000 Zagreb</item>
    </izvorni_sadrzaj>
    <derivirana_varijabla naziv="DomainObject.Predmet.OstaliListFormatedWithAdress_1">
      <item>Franjo Franjić, 1. Odvojak Savske 24, 10291 Javorje</item>
      <item>Franjo Ribić, SARAJEVSKA CESTA 60, 10000 Zagreb</item>
    </derivirana_varijabla>
  </DomainObject.Predmet.OstaliListFormatedWithAdress>
  <DomainObject.Predmet.OstaliListFormatedWithAdressOIB>
    <izvorni_sadrzaj>
      <item>Franjo Franjić, OIB 71002063394, 1. Odvojak Savske 24, 10291 Javorje</item>
      <item>Franjo Ribić, OIB 53176193705, SARAJEVSKA CESTA 60, 10000 Zagreb</item>
    </izvorni_sadrzaj>
    <derivirana_varijabla naziv="DomainObject.Predmet.OstaliListFormatedWithAdressOIB_1">
      <item>Franjo Franjić, OIB 71002063394, 1. Odvojak Savske 24, 10291 Javorje</item>
      <item>Franjo Ribić, OIB 53176193705, SARAJEVSKA CESTA 60, 10000 Zagreb</item>
    </derivirana_varijabla>
  </DomainObject.Predmet.OstaliListFormatedWithAdressOIB>
  <DomainObject.Predmet.OstaliListNazivFormated>
    <izvorni_sadrzaj>
      <item>Franjo Franjić</item>
      <item>Franjo Ribić</item>
    </izvorni_sadrzaj>
    <derivirana_varijabla naziv="DomainObject.Predmet.OstaliListNazivFormated_1">
      <item>Franjo Franjić</item>
      <item>Franjo Ribić</item>
    </derivirana_varijabla>
  </DomainObject.Predmet.OstaliListNazivFormated>
  <DomainObject.Predmet.OstaliListNazivFormatedOIB>
    <izvorni_sadrzaj>
      <item>Franjo Franjić, OIB 71002063394</item>
      <item>Franjo Ribić, OIB 53176193705</item>
    </izvorni_sadrzaj>
    <derivirana_varijabla naziv="DomainObject.Predmet.OstaliListNazivFormatedOIB_1">
      <item>Franjo Franjić, OIB 71002063394</item>
      <item>Franjo Ribić, OIB 53176193705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FRANJIĆ KERAMIKA d.o.o.</izvorni_sadrzaj>
    <derivirana_varijabla naziv="DomainObject.Predmet.ProtustrankaIDrugi_1">FRANJIĆ KERAMIKA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FRANJIĆ KERAMIKA d.o.o., OIB 42065739141, Javorje, 1. odv. savske 24, 10291 Brdovec</izvorni_sadrzaj>
    <derivirana_varijabla naziv="DomainObject.Predmet.ProtustrankaIDrugiAdressOIB_1">FRANJIĆ KERAMIKA d.o.o., OIB 42065739141, Javorje, 1. odv. savske 24,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FRANJIĆ KERAMIKA d.o.o.</item>
      <item>Franjo Franjić</item>
      <item>Franjo Ribić</item>
    </izvorni_sadrzaj>
    <derivirana_varijabla naziv="DomainObject.Predmet.SudioniciListNaziv_1">
      <item>FINA Regionalni centar Zagreb</item>
      <item>FRANJIĆ KERAMIKA d.o.o.</item>
      <item>Franjo Franjić</item>
      <item>Franjo Ribić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</izvorni_sadrzaj>
    <derivirana_varijabla naziv="DomainObject.Predmet.SudioniciListAdressOIB_1"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42065739141</item>
      <item>, OIB 71002063394</item>
      <item>, OIB 53176193705</item>
    </izvorni_sadrzaj>
    <derivirana_varijabla naziv="DomainObject.Predmet.SudioniciListNazivOIB_1">
      <item>, OIB 85821130368</item>
      <item>, OIB 42065739141</item>
      <item>, OIB 71002063394</item>
      <item>, OIB 53176193705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589</properties:Words>
  <properties:Characters>3216</properties:Characters>
  <properties:Lines>101</properties:Lines>
  <properties:Paragraphs>44</properties:Paragraphs>
  <properties:TotalTime>1</properties:TotalTime>
  <properties:ScaleCrop>false</properties:ScaleCrop>
  <properties:LinksUpToDate>false</properties:LinksUpToDate>
  <properties:CharactersWithSpaces>3906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2017-09-25T09:16:00Z</dcterms:created>
  <dc:creator>Vlasta Bogović Milisavljević</dc:creator>
  <cp:lastModifiedBy>Vlasta Bogović Milisavljević</cp:lastModifiedBy>
  <cp:lastPrinted>2017-09-25T09:18:00Z</cp:lastPrinted>
  <dcterms:modified xmlns:xsi="http://www.w3.org/2001/XMLSchema-instance" xsi:type="dcterms:W3CDTF">2017-09-25T09:18:00Z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