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1347" w14:paraId="7051347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315AFF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434842" w:rsidR="00434842">
      <w:pPr>
        <w:jc w:val="both"/>
      </w:pPr>
      <w:r w:rsidRPr="00382CB4">
        <w:tab/>
      </w:r>
      <w:r w:rsidR="00434842" w:rsidRPr="008D67D3">
        <w:t xml:space="preserve">Trgovački sud u Pazinu, po </w:t>
      </w:r>
      <w:r w:rsidR="00434842">
        <w:t>stečajnoj sutkinji Tijani Licul,</w:t>
      </w:r>
      <w:r w:rsidR="00434842" w:rsidRPr="008D67D3">
        <w:t xml:space="preserve"> </w:t>
      </w:r>
      <w:r w:rsidR="006D046F">
        <w:t xml:space="preserve">radi provedbe naknadne diobe nad stečajnom masom iza trgovačkog društva AUDAX d.o.o. Zagreb, Horvatovac 13,  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BC470C" w:rsidP="00C068B2" w:rsidR="00BC470C">
      <w:pPr>
        <w:ind w:firstLine="708"/>
        <w:jc w:val="both"/>
      </w:pPr>
      <w:r>
        <w:t>I Ispravlja se rješenje posl. broj: 4 St-826/16 od 25. studenog 2016. godine, u dijelu u kojem ja dana uputa o pravnom lijeku tako da ista umjesto:</w:t>
      </w:r>
    </w:p>
    <w:p w:rsidRDefault="00BC470C" w:rsidP="00BC470C" w:rsidR="00BC470C">
      <w:pPr>
        <w:ind w:firstLine="708"/>
        <w:jc w:val="both"/>
      </w:pPr>
      <w:r>
        <w:t>„</w:t>
      </w: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>“</w:t>
      </w:r>
    </w:p>
    <w:p w:rsidRDefault="00BC470C" w:rsidP="00BC470C" w:rsidR="00BC470C">
      <w:pPr>
        <w:ind w:firstLine="708"/>
        <w:jc w:val="both"/>
      </w:pPr>
    </w:p>
    <w:p w:rsidRDefault="00BC470C" w:rsidP="00BC470C" w:rsidR="00BC470C">
      <w:pPr>
        <w:ind w:firstLine="708"/>
        <w:jc w:val="both"/>
      </w:pPr>
      <w:r>
        <w:t>ispravno glasi:</w:t>
      </w:r>
    </w:p>
    <w:p w:rsidRDefault="00BC470C" w:rsidP="00BC470C" w:rsidR="00BC470C">
      <w:pPr>
        <w:ind w:firstLine="708"/>
        <w:jc w:val="both"/>
      </w:pPr>
      <w:r>
        <w:t>„</w:t>
      </w: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  <w:r>
        <w:rPr>
          <w:rFonts w:eastAsiaTheme="minorEastAsia"/>
        </w:rPr>
        <w:t>“</w:t>
      </w:r>
    </w:p>
    <w:p w:rsidRDefault="00BC470C" w:rsidP="00BC470C" w:rsidR="00BC470C">
      <w:pPr>
        <w:ind w:firstLine="708"/>
        <w:jc w:val="both"/>
      </w:pPr>
    </w:p>
    <w:p w:rsidRDefault="00BC470C" w:rsidP="00BC470C" w:rsidR="00BC470C" w:rsidRPr="00382CB4">
      <w:pPr>
        <w:ind w:firstLine="708"/>
        <w:jc w:val="both"/>
      </w:pPr>
      <w:r w:rsidRPr="00382CB4">
        <w:t xml:space="preserve"> </w:t>
      </w:r>
      <w:r>
        <w:t xml:space="preserve">II. Rok za žalbu protiv rješenja posl. broj: 4 St-826/16 od 25. studenog 2016. godine počinje teći dostavom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</w:p>
    <w:p w:rsidRDefault="00BC470C" w:rsidP="00BC470C" w:rsidR="00BC470C">
      <w:pPr>
        <w:jc w:val="both"/>
      </w:pPr>
    </w:p>
    <w:p w:rsidRDefault="00BC470C" w:rsidP="00BC470C" w:rsidR="00BC470C">
      <w:pPr>
        <w:jc w:val="center"/>
      </w:pPr>
      <w:r>
        <w:t>Obrazloženje</w:t>
      </w:r>
    </w:p>
    <w:p w:rsidRDefault="00BC470C" w:rsidP="00BC470C" w:rsidR="00BC470C">
      <w:pPr>
        <w:jc w:val="both"/>
      </w:pPr>
    </w:p>
    <w:p w:rsidRDefault="00BC470C" w:rsidP="00BC470C" w:rsidR="00BC470C">
      <w:pPr>
        <w:ind w:firstLine="708"/>
        <w:jc w:val="both"/>
      </w:pPr>
      <w:r>
        <w:t xml:space="preserve">Rješenjem posl. broj: 4 St-826/16 od 25. studenog 2016. godine utvrđeno je koje tražbine stečajnog dužnika su utvrđene, a koje osporene, te je glede osporenih tražbina određen rok za pokretanje parnica. </w:t>
      </w:r>
    </w:p>
    <w:p w:rsidRDefault="00BC470C" w:rsidP="00BC470C" w:rsidR="00BC470C">
      <w:pPr>
        <w:ind w:firstLine="708"/>
        <w:jc w:val="both"/>
      </w:pPr>
    </w:p>
    <w:p w:rsidRDefault="00BC470C" w:rsidP="00BC470C" w:rsidR="00BC470C">
      <w:pPr>
        <w:ind w:firstLine="708"/>
        <w:jc w:val="both"/>
      </w:pPr>
      <w:r>
        <w:t>Uputa o pravnom lijeku iz navedenog rješenja ne sadrži rok za izjavljivanje žalbe sukladno čl. 19. st. 2. Stečajnog zakona (Narodne novine broj 71/15, dalje: SZ).</w:t>
      </w:r>
    </w:p>
    <w:p w:rsidRDefault="00BC470C" w:rsidP="00BC470C" w:rsidR="00BC470C">
      <w:pPr>
        <w:ind w:firstLine="708"/>
        <w:jc w:val="both"/>
      </w:pPr>
    </w:p>
    <w:p w:rsidRDefault="00BC470C" w:rsidP="00BC470C" w:rsidR="00BC470C">
      <w:pPr>
        <w:ind w:firstLine="708"/>
        <w:jc w:val="both"/>
      </w:pPr>
      <w:r>
        <w:t xml:space="preserve">Radi navedenog, rješenje posl. broj: 4 St-826/16 od 25. studenog 2016. godine valjalo je u tom dijelu ispraviti i odlučiti kao u izreci ovog rješenja. </w:t>
      </w:r>
    </w:p>
    <w:p w:rsidRDefault="00BC470C" w:rsidP="00BC470C" w:rsidR="00BC470C">
      <w:pPr>
        <w:ind w:firstLine="708"/>
        <w:jc w:val="both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2447E0">
        <w:t>,</w:t>
      </w:r>
      <w:r w:rsidR="00160D9F">
        <w:t xml:space="preserve"> </w:t>
      </w:r>
      <w:r w:rsidR="00BC470C">
        <w:t xml:space="preserve">06. prosinca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</w:p>
    <w:p w:rsidRDefault="00BC7372" w:rsidP="00BC7372" w:rsidR="00BC7372" w:rsidRPr="00382CB4">
      <w:pPr>
        <w:jc w:val="both"/>
      </w:pPr>
    </w:p>
    <w:p w:rsidRDefault="00E65BD9" w:rsidP="00BC7372" w:rsidR="00BC7372" w:rsidRPr="00382CB4">
      <w:pPr>
        <w:jc w:val="both"/>
      </w:pPr>
      <w:r>
        <w:lastRenderedPageBreak/>
        <w:t xml:space="preserve">UPUTA </w:t>
      </w:r>
      <w:r w:rsidR="00BC7372" w:rsidRPr="00382CB4">
        <w:t>O PRAVNOM LIJEKU:</w:t>
      </w:r>
    </w:p>
    <w:p w:rsidRDefault="00BC470C" w:rsidP="00BC470C" w:rsidR="00BC470C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SZ-a).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 w:rsidRP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AB0014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CF9" w:rsidR="00007CF9">
      <w:r>
        <w:separator/>
      </w:r>
    </w:p>
  </w:endnote>
  <w:endnote w:id="0" w:type="continuationSeparator">
    <w:p w:rsidRDefault="00007CF9" w:rsidR="0000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CF9" w:rsidR="00007CF9">
      <w:r>
        <w:separator/>
      </w:r>
    </w:p>
  </w:footnote>
  <w:footnote w:id="0" w:type="continuationSeparator">
    <w:p w:rsidRDefault="00007CF9" w:rsidR="0000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3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6D046F">
      <w:t xml:space="preserve"> St-826</w:t>
    </w:r>
    <w:r w:rsidR="00434842">
      <w:t>/16</w:t>
    </w:r>
    <w:r w:rsidR="00E65BD9">
      <w:t xml:space="preserve"> -</w:t>
    </w:r>
    <w:r w:rsidR="001F5307">
      <w:t>29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6D046F">
      <w:t>826</w:t>
    </w:r>
    <w:r w:rsidR="00434842">
      <w:t>/16</w:t>
    </w:r>
    <w:r w:rsidR="00407B02">
      <w:t xml:space="preserve"> -</w:t>
    </w:r>
    <w:r w:rsidR="001F5307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7CF9"/>
    <w:rsid w:val="00020CCA"/>
    <w:rsid w:val="0004303D"/>
    <w:rsid w:val="000577AF"/>
    <w:rsid w:val="00060E31"/>
    <w:rsid w:val="0006340E"/>
    <w:rsid w:val="00093047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92968"/>
    <w:rsid w:val="001A07DC"/>
    <w:rsid w:val="001B7765"/>
    <w:rsid w:val="001C1FAB"/>
    <w:rsid w:val="001D2DC0"/>
    <w:rsid w:val="001D7623"/>
    <w:rsid w:val="001D7F8B"/>
    <w:rsid w:val="001F5307"/>
    <w:rsid w:val="001F66D4"/>
    <w:rsid w:val="00202458"/>
    <w:rsid w:val="00235BD2"/>
    <w:rsid w:val="00243F8F"/>
    <w:rsid w:val="002447E0"/>
    <w:rsid w:val="002674FB"/>
    <w:rsid w:val="00297C4B"/>
    <w:rsid w:val="002B64F9"/>
    <w:rsid w:val="002C2EDC"/>
    <w:rsid w:val="002E4D32"/>
    <w:rsid w:val="00302B45"/>
    <w:rsid w:val="00304C23"/>
    <w:rsid w:val="00315AFF"/>
    <w:rsid w:val="00332905"/>
    <w:rsid w:val="00332E36"/>
    <w:rsid w:val="003333BD"/>
    <w:rsid w:val="00334A4B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32BE0"/>
    <w:rsid w:val="00434842"/>
    <w:rsid w:val="00445295"/>
    <w:rsid w:val="00447295"/>
    <w:rsid w:val="00485432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D046F"/>
    <w:rsid w:val="006E22BF"/>
    <w:rsid w:val="00747E68"/>
    <w:rsid w:val="007639C3"/>
    <w:rsid w:val="007A28B0"/>
    <w:rsid w:val="007A2B96"/>
    <w:rsid w:val="007A7D01"/>
    <w:rsid w:val="007B168D"/>
    <w:rsid w:val="007E31C8"/>
    <w:rsid w:val="008068BA"/>
    <w:rsid w:val="00821C00"/>
    <w:rsid w:val="008548BC"/>
    <w:rsid w:val="00884537"/>
    <w:rsid w:val="008A0989"/>
    <w:rsid w:val="008A4163"/>
    <w:rsid w:val="008B69A8"/>
    <w:rsid w:val="008D0EA1"/>
    <w:rsid w:val="009204BE"/>
    <w:rsid w:val="00921B7F"/>
    <w:rsid w:val="00932C74"/>
    <w:rsid w:val="00942C33"/>
    <w:rsid w:val="00994487"/>
    <w:rsid w:val="009B0AA4"/>
    <w:rsid w:val="009C6968"/>
    <w:rsid w:val="00A42F59"/>
    <w:rsid w:val="00A517F6"/>
    <w:rsid w:val="00A64196"/>
    <w:rsid w:val="00A64CC0"/>
    <w:rsid w:val="00A673E2"/>
    <w:rsid w:val="00A76747"/>
    <w:rsid w:val="00A83C27"/>
    <w:rsid w:val="00A8432D"/>
    <w:rsid w:val="00A87DE4"/>
    <w:rsid w:val="00AB0014"/>
    <w:rsid w:val="00AC314E"/>
    <w:rsid w:val="00AC7E12"/>
    <w:rsid w:val="00AD03E7"/>
    <w:rsid w:val="00AF2827"/>
    <w:rsid w:val="00AF4DC3"/>
    <w:rsid w:val="00B10492"/>
    <w:rsid w:val="00B25ACE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470C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  <w:rsid w:val="00FC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7D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5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3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3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3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3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7D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5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3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3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3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3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56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AUDAX d. o. o.</izvorni_sadrzaj>
    <derivirana_varijabla naziv="DomainObject.Predmet.ProtustrankaFormated_1">  stečajna masa iza AUDAX d. o. o.</derivirana_varijabla>
  </DomainObject.Predmet.ProtustrankaFormated>
  <DomainObject.Predmet.ProtustrankaFormatedOIB>
    <izvorni_sadrzaj>  stečajna masa iza AUDAX d. o. o., OIB 93071251965</izvorni_sadrzaj>
    <derivirana_varijabla naziv="DomainObject.Predmet.ProtustrankaFormatedOIB_1">  stečajna masa iza AUDAX d. o. o., OIB 93071251965</derivirana_varijabla>
  </DomainObject.Predmet.ProtustrankaFormatedOIB>
  <DomainObject.Predmet.ProtustrankaFormatedWithAdress>
    <izvorni_sadrzaj> stečajna masa iza AUDAX d. o. o., Horvatovac 13, 10000 Zagreb</izvorni_sadrzaj>
    <derivirana_varijabla naziv="DomainObject.Predmet.ProtustrankaFormatedWithAdress_1"> stečajna masa iza AUDAX d. o. o., Horvatovac 13, 10000 Zagreb</derivirana_varijabla>
  </DomainObject.Predmet.ProtustrankaFormatedWithAdress>
  <DomainObject.Predmet.ProtustrankaFormatedWithAdressOIB>
    <izvorni_sadrzaj> stečajna masa iza AUDAX d. o. o., OIB 93071251965, Horvatovac 13, 10000 Zagreb</izvorni_sadrzaj>
    <derivirana_varijabla naziv="DomainObject.Predmet.ProtustrankaFormatedWithAdressOIB_1"> stečajna masa iza AUDAX d. o. o., OIB 93071251965, Horvatovac 13, 10000 Zagreb</derivirana_varijabla>
  </DomainObject.Predmet.ProtustrankaFormatedWithAdressOIB>
  <DomainObject.Predmet.ProtustrankaWithAdress>
    <izvorni_sadrzaj>stečajna masa iza AUDAX d. o. o. Horvatovac 13, 10000 Zagreb</izvorni_sadrzaj>
    <derivirana_varijabla naziv="DomainObject.Predmet.ProtustrankaWithAdress_1">stečajna masa iza AUDAX d. o. o. Horvatovac 13, 10000 Zagreb</derivirana_varijabla>
  </DomainObject.Predmet.ProtustrankaWithAdress>
  <DomainObject.Predmet.ProtustrankaWithAdressOIB>
    <izvorni_sadrzaj>stečajna masa iza AUDAX d. o. o., OIB 93071251965, Horvatovac 13, 10000 Zagreb</izvorni_sadrzaj>
    <derivirana_varijabla naziv="DomainObject.Predmet.ProtustrankaWithAdressOIB_1">stečajna masa iza AUDAX d. o. o., OIB 93071251965, Horvatovac 13, 10000 Zagreb</derivirana_varijabla>
  </DomainObject.Predmet.ProtustrankaWithAdressOIB>
  <DomainObject.Predmet.ProtustrankaNazivFormated>
    <izvorni_sadrzaj>stečajna masa iza AUDAX d. o. o.</izvorni_sadrzaj>
    <derivirana_varijabla naziv="DomainObject.Predmet.ProtustrankaNazivFormated_1">stečajna masa iza AUDAX d. o. o.</derivirana_varijabla>
  </DomainObject.Predmet.ProtustrankaNazivFormated>
  <DomainObject.Predmet.ProtustrankaNazivFormatedOIB>
    <izvorni_sadrzaj>stečajna masa iza AUDAX d. o. o., OIB 93071251965</izvorni_sadrzaj>
    <derivirana_varijabla naziv="DomainObject.Predmet.ProtustrankaNazivFormatedOIB_1">stečajna masa iza AUDAX d. o. o., OIB 93071251965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</item>
    </izvorni_sadrzaj>
    <derivirana_varijabla naziv="DomainObject.Predmet.ProtuStrankaListFormated_1">
      <item>stečajna masa iza AUDAX d. o. o.</item>
    </derivirana_varijabla>
  </DomainObject.Predmet.ProtuStrankaListFormated>
  <DomainObject.Predmet.ProtuStrankaListFormatedOIB>
    <izvorni_sadrzaj>
      <item>stečajna masa iza AUDAX d. o. o., OIB 93071251965</item>
    </izvorni_sadrzaj>
    <derivirana_varijabla naziv="DomainObject.Predmet.ProtuStrankaListFormatedOIB_1">
      <item>stečajna masa iza AUDAX d. o. o., OIB 93071251965</item>
    </derivirana_varijabla>
  </DomainObject.Predmet.ProtuStrankaListFormatedOIB>
  <DomainObject.Predmet.ProtuStrankaListFormatedWithAdress>
    <izvorni_sadrzaj>
      <item>stečajna masa iza AUDAX d. o. o., Horvatovac 13, 10000 Zagreb</item>
    </izvorni_sadrzaj>
    <derivirana_varijabla naziv="DomainObject.Predmet.ProtuStrankaListFormatedWithAdress_1">
      <item>stečajna masa iza AUDAX d. o. o., Horvatovac 13, 10000 Zagreb</item>
    </derivirana_varijabla>
  </DomainObject.Predmet.ProtuStrankaListFormatedWithAdress>
  <DomainObject.Predmet.ProtuStrankaListFormatedWithAdressOIB>
    <izvorni_sadrzaj>
      <item>stečajna masa iza AUDAX d. o. o., OIB 93071251965, Horvatovac 13, 10000 Zagreb</item>
    </izvorni_sadrzaj>
    <derivirana_varijabla naziv="DomainObject.Predmet.ProtuStrankaListFormatedWithAdressOIB_1">
      <item>stečajna masa iza AUDAX d. o. o., OIB 93071251965, Horvatovac 13, 10000 Zagreb</item>
    </derivirana_varijabla>
  </DomainObject.Predmet.ProtuStrankaListFormatedWithAdressOIB>
  <DomainObject.Predmet.ProtuStrankaListNazivFormated>
    <izvorni_sadrzaj>
      <item>stečajna masa iza AUDAX d. o. o.</item>
    </izvorni_sadrzaj>
    <derivirana_varijabla naziv="DomainObject.Predmet.ProtuStrankaListNazivFormated_1">
      <item>stečajna masa iza AUDAX d. o. o.</item>
    </derivirana_varijabla>
  </DomainObject.Predmet.ProtuStrankaListNazivFormated>
  <DomainObject.Predmet.ProtuStrankaListNazivFormatedOIB>
    <izvorni_sadrzaj>
      <item>stečajna masa iza AUDAX d. o. o., OIB 93071251965</item>
    </izvorni_sadrzaj>
    <derivirana_varijabla naziv="DomainObject.Predmet.ProtuStrankaListNazivFormatedOIB_1">
      <item>stečajna masa iza AUDAX d. o. o., OIB 93071251965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</izvorni_sadrzaj>
    <derivirana_varijabla naziv="DomainObject.Predmet.ProtustrankaIDrugi_1">stečajna masa iza AUDAX d. o. o.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o., OIB 93071251965, Horvatovac 13, 10000 Zagreb</izvorni_sadrzaj>
    <derivirana_varijabla naziv="DomainObject.Predmet.ProtustrankaIDrugiAdressOIB_1">stečajna masa iza AUDAX d. o. o., OIB 93071251965,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</item>
    </izvorni_sadrzaj>
    <derivirana_varijabla naziv="DomainObject.Predmet.SudioniciListNaziv_1">
      <item>FINANCIJSKA AGENCIJA, RC RIJEKA, PODRUŽNICA PULA, PULA</item>
      <item>stečajna masa iza AUDAX d. o. 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o., OIB 93071251965,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o., OIB 93071251965,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93071251965</item>
    </izvorni_sadrzaj>
    <derivirana_varijabla naziv="DomainObject.Predmet.SudioniciListNazivOIB_1">
      <item>, OIB 85821130368</item>
      <item>, OIB 93071251965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424</properties:Words>
  <properties:Characters>2149</properties:Characters>
  <properties:Lines>57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2016-12-06T12:28:00Z</dcterms:created>
  <dc:creator>drabar</dc:creator>
  <cp:lastModifiedBy>Sanja Prodan</cp:lastModifiedBy>
  <cp:lastPrinted>2016-12-07T11:49:00Z</cp:lastPrinted>
  <dcterms:modified xmlns:xsi="http://www.w3.org/2001/XMLSchema-instance" xsi:type="dcterms:W3CDTF">2016-12-07T11:50:00Z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