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19dd" w14:paraId="4f119dd" w:rsidRDefault="009C7524" w:rsidP="009C7524" w:rsidR="009C7524">
      <w:pPr>
        <w15:collapsed w:val="false"/>
        <w:rPr>
          <w:rFonts w:cs="Times New Roman"/>
        </w:rPr>
      </w:pPr>
      <w:r>
        <w:rPr>
          <w:rFonts w:cs="Times New Roman"/>
        </w:rPr>
        <w:t>VRTINVEST  d.o.o.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 xml:space="preserve">Matice Hrvatske 4/I 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43 000 Bjelovar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OIB: 68416812428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  <w:sz w:val="28"/>
        </w:rPr>
      </w:pPr>
    </w:p>
    <w:p w:rsidRDefault="009C7524" w:rsidP="009C7524" w:rsidR="009C7524">
      <w:pPr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PLAN FINANCIJSKOG I OPERATIVNOG RESTRUKTURIRANJA </w:t>
      </w:r>
    </w:p>
    <w:p w:rsidRDefault="009C7524" w:rsidP="009C7524" w:rsidR="009C7524">
      <w:pPr>
        <w:jc w:val="center"/>
        <w:rPr>
          <w:rFonts w:hAnsiTheme="minorHAnsi" w:asciiTheme="minorHAnsi"/>
          <w:noProof/>
          <w:sz w:val="22"/>
          <w:szCs w:val="22"/>
          <w:lang w:eastAsia="hr-HR"/>
        </w:rPr>
      </w:pPr>
    </w:p>
    <w:p w:rsidRDefault="009C7524" w:rsidP="009C7524" w:rsidR="009C7524">
      <w:pPr>
        <w:rPr>
          <w:noProof/>
          <w:lang w:eastAsia="hr-HR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  <w:r>
        <w:rPr>
          <w:rFonts w:cs="Times New Roman"/>
        </w:rPr>
        <w:t>Bjelovaru, 04. kolovoz 2016.</w:t>
      </w:r>
    </w:p>
    <w:p w:rsidRDefault="009C7524" w:rsidP="009C7524" w:rsidR="009C7524">
      <w:pPr>
        <w:jc w:val="center"/>
        <w:rPr>
          <w:rFonts w:cs="Times New Roman"/>
        </w:rPr>
      </w:pPr>
      <w:r>
        <w:rPr>
          <w:rFonts w:cs="Times New Roman"/>
        </w:rPr>
        <w:t>SADRŽAJ</w:t>
      </w:r>
    </w:p>
    <w:sdt>
      <w:sdtPr>
        <w:rPr>
          <w:rFonts w:eastAsiaTheme="minorHAnsi" w:hAnsiTheme="minorHAnsi" w:asciiTheme="minorHAnsi" w:cs="Times New Roman"/>
          <w:b w:val="false"/>
          <w:bCs w:val="false"/>
          <w:sz w:val="24"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rFonts w:hAnsi="Times New Roman" w:ascii="Times New Roman"/>
          <w:color w:val="auto"/>
        </w:rPr>
      </w:sdtEndPr>
      <w:sdtContent>
        <w:p w:rsidRDefault="009C7524" w:rsidP="009C7524" w:rsidR="009C7524">
          <w:pPr>
            <w:pStyle w:val="TOCNaslov"/>
            <w:rPr>
              <w:rFonts w:cs="Times New Roman" w:hAnsi="Times New Roman" w:ascii="Times New Roman"/>
              <w:sz w:val="24"/>
              <w:szCs w:val="24"/>
            </w:rPr>
          </w:pPr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sz w:val="22"/>
              <w:szCs w:val="22"/>
              <w:lang w:eastAsia="hr-HR"/>
            </w:rPr>
          </w:pPr>
          <w:r>
            <w:rPr>
              <w:rFonts w:cs="Times New Roman"/>
            </w:rPr>
            <w:fldChar w:fldCharType="begin"/>
          </w:r>
          <w:r>
            <w:rPr>
              <w:rFonts w:cs="Times New Roman"/>
            </w:rPr>
            <w:instrText xml:space="preserve"> TOC \o "1-4" \h \z \u </w:instrText>
          </w:r>
          <w:r>
            <w:rPr>
              <w:rFonts w:cs="Times New Roman"/>
            </w:rPr>
            <w:fldChar w:fldCharType="separate"/>
          </w:r>
          <w:hyperlink r:id="rId10" w:anchor="_Toc458593650" w:history="true">
            <w:r>
              <w:rPr>
                <w:rStyle w:val="Hiperveza"/>
                <w:rFonts w:cs="Times New Roman"/>
                <w:noProof/>
              </w:rPr>
              <w:t>1. OPIS ČINJENICA I OKOLNOSTI IZ KOJIH PROIZLAZI POSTOJANJE UVJETA ZA OTVARANJE POSTUPKA PREDSTEČAJNE NAGODBE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_Toc458593650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3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1" w:anchor="_Toc458593651" w:history="true">
            <w:r>
              <w:rPr>
                <w:rStyle w:val="Hiperveza"/>
                <w:rFonts w:cs="Times New Roman"/>
                <w:noProof/>
              </w:rPr>
              <w:t>1.1.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Opći podaci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_Toc458593651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3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2" w:anchor="_Toc458593652" w:history="true">
            <w:r>
              <w:rPr>
                <w:rStyle w:val="Hiperveza"/>
                <w:rFonts w:cs="Times New Roman" w:eastAsia="Times New Roman"/>
                <w:noProof/>
                <w:lang w:eastAsia="hr-HR"/>
              </w:rPr>
              <w:t>1.1.1.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 w:eastAsia="Times New Roman"/>
                <w:noProof/>
                <w:lang w:eastAsia="hr-HR"/>
              </w:rPr>
              <w:t>Predmet poslovanja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_Toc458593652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4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3" w:anchor="_Toc458593653" w:history="true">
            <w:r>
              <w:rPr>
                <w:rStyle w:val="Hiperveza"/>
                <w:rFonts w:cs="Times New Roman"/>
                <w:noProof/>
              </w:rPr>
              <w:t>1.1.2.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Uprava društva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_Toc458593653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4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4" w:anchor="_Toc458593654" w:history="true">
            <w:r>
              <w:rPr>
                <w:rStyle w:val="Hiperveza"/>
                <w:rFonts w:cs="Times New Roman"/>
                <w:noProof/>
              </w:rPr>
              <w:t>1.1.3.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Vlasnička struktura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_Toc458593654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5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3"/>
            <w:tabs>
              <w:tab w:pos="132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5" w:anchor="_Toc458593655" w:history="true">
            <w:r>
              <w:rPr>
                <w:rStyle w:val="Hiperveza"/>
                <w:rFonts w:cs="Times New Roman"/>
                <w:noProof/>
              </w:rPr>
              <w:t>1.1.4.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Analiza zaposlenih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_Toc458593655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5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6" w:anchor="_Toc458593656" w:history="true">
            <w:r>
              <w:rPr>
                <w:rStyle w:val="Hiperveza"/>
                <w:rFonts w:cs="Times New Roman"/>
                <w:noProof/>
              </w:rPr>
              <w:t>1.2.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Operativno poslovanje i tržišna situacija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_Toc458593656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6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4"/>
            <w:tabs>
              <w:tab w:pos="15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7" w:anchor="_Toc458593657" w:history="true">
            <w:r>
              <w:rPr>
                <w:rStyle w:val="Hiperveza"/>
                <w:rFonts w:cs="Times New Roman"/>
                <w:noProof/>
              </w:rPr>
              <w:t>1.2.1.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Izvješće o poslovnom i financijskom stanju dužnika VRTINVEST  d.o.o., Bjelovar, na temelju financijskog izvještaja sa stanjem na dan 30.06.2016. godine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_Toc458593657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7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2"/>
            <w:tabs>
              <w:tab w:pos="88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8" w:anchor="_Toc458593658" w:history="true">
            <w:r>
              <w:rPr>
                <w:rStyle w:val="Hiperveza"/>
                <w:rFonts w:cs="Times New Roman"/>
                <w:noProof/>
              </w:rPr>
              <w:t>1.3.</w:t>
            </w:r>
            <w:r>
              <w:rPr>
                <w:rStyle w:val="Hiperveza"/>
                <w:rFonts w:eastAsiaTheme="minorEastAsia"/>
                <w:noProof/>
                <w:lang w:eastAsia="hr-HR"/>
              </w:rPr>
              <w:tab/>
            </w:r>
            <w:r>
              <w:rPr>
                <w:rStyle w:val="Hiperveza"/>
                <w:rFonts w:cs="Times New Roman"/>
                <w:noProof/>
              </w:rPr>
              <w:t>Opis činjenica iz kojih proizlazi postojanje uvjeta za otvaranje postupaka predstečajne nagodbe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_Toc458593658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14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19" w:anchor="_Toc458593659" w:history="true">
            <w:r>
              <w:rPr>
                <w:rStyle w:val="Hiperveza"/>
                <w:rFonts w:cs="Times New Roman"/>
                <w:noProof/>
              </w:rPr>
              <w:t>2. IZRAČUN MANJKA LIKVIDNIH SREDSTAVA NA DAN PRILOŽENIH FINANCIJSKIH IZVJEŠTAJA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_Toc458593659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15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0" w:anchor="_Toc458593660" w:history="true">
            <w:r>
              <w:rPr>
                <w:rStyle w:val="Hiperveza"/>
                <w:rFonts w:cs="Times New Roman"/>
                <w:noProof/>
              </w:rPr>
              <w:t>3. OPIS MJERA FINANCIJSKOG RESTRUKTURIRANJA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_Toc458593660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16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1" w:anchor="_Toc458593661" w:history="true">
            <w:r>
              <w:rPr>
                <w:rStyle w:val="Hiperveza"/>
                <w:rFonts w:cs="Times New Roman"/>
                <w:noProof/>
              </w:rPr>
              <w:t>4. OPIS MJERA OPERATIVNOG RESTRUKTURIRANJA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_Toc458593661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21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2" w:anchor="_Toc458593662" w:history="true">
            <w:r>
              <w:rPr>
                <w:rStyle w:val="Hiperveza"/>
                <w:rFonts w:cs="Times New Roman"/>
                <w:noProof/>
              </w:rPr>
              <w:t>5. PLAN POSLOVANJA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_Toc458593662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23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3" w:anchor="_Toc458593663" w:history="true">
            <w:r>
              <w:rPr>
                <w:rStyle w:val="Hiperveza"/>
                <w:rFonts w:cs="Times New Roman"/>
                <w:noProof/>
              </w:rPr>
              <w:t>6. PLANIRANA BILANCA NA ZADNJI DAN RAZDOBLJA ZA KOJE JE SASTAVLJEN PLAN POSLOVANJA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_Toc458593663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27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4" w:anchor="_Toc458593664" w:history="true">
            <w:r>
              <w:rPr>
                <w:rStyle w:val="Hiperveza"/>
                <w:rFonts w:cs="Times New Roman"/>
                <w:noProof/>
              </w:rPr>
              <w:t>7. ANALIZA SVIH TRAŽBINA PREMA VISINI I VRSTI (TRAŽBINE RADNIKA I PRIJAŠNJIH DUŽNIKOVIH RADNIKA, IZLUČNA PRAVA, RAZLUČNA PRAVA, TRAŽBINE ZA KOJE SE VODI POSTUPAK, NEOSIGURANE TRAŽBINE I DRUGE TRAŽBINE)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_Toc458593664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28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5" w:anchor="_Toc458593665" w:history="true">
            <w:r>
              <w:rPr>
                <w:rStyle w:val="Hiperveza"/>
                <w:rFonts w:cs="Times New Roman"/>
                <w:noProof/>
              </w:rPr>
              <w:t>8. IZRAČUN TROŠKOVA RESTRUKTURIRANJA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_Toc458593665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32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r:id="rId26" w:anchor="_Toc458593666" w:history="true">
            <w:r>
              <w:rPr>
                <w:rStyle w:val="Hiperveza"/>
                <w:rFonts w:cs="Times New Roman"/>
                <w:noProof/>
              </w:rPr>
              <w:t>9. USPOREDBA S OČEKIVANIM NAMIRENJEM U SLUČAJU STEČAJA</w:t>
            </w:r>
            <w:r>
              <w:rPr>
                <w:rStyle w:val="Hiperveza"/>
                <w:noProof/>
                <w:webHidden/>
              </w:rPr>
              <w:tab/>
            </w:r>
            <w:r>
              <w:rPr>
                <w:rStyle w:val="Hiperveza"/>
                <w:noProof/>
                <w:webHidden/>
              </w:rPr>
              <w:fldChar w:fldCharType="begin"/>
            </w:r>
            <w:r>
              <w:rPr>
                <w:rStyle w:val="Hiperveza"/>
                <w:noProof/>
                <w:webHidden/>
              </w:rPr>
              <w:instrText xml:space="preserve"> PAGEREF _Toc458593666 \h </w:instrText>
            </w:r>
            <w:r>
              <w:rPr>
                <w:rStyle w:val="Hiperveza"/>
                <w:noProof/>
                <w:webHidden/>
              </w:rPr>
            </w:r>
            <w:r>
              <w:rPr>
                <w:rStyle w:val="Hiperveza"/>
                <w:noProof/>
                <w:webHidden/>
              </w:rPr>
              <w:fldChar w:fldCharType="separate"/>
            </w:r>
            <w:r>
              <w:rPr>
                <w:rStyle w:val="Hiperveza"/>
                <w:noProof/>
                <w:webHidden/>
              </w:rPr>
              <w:t>33</w:t>
            </w:r>
            <w:r>
              <w:rPr>
                <w:rStyle w:val="Hiperveza"/>
                <w:noProof/>
                <w:webHidden/>
              </w:rPr>
              <w:fldChar w:fldCharType="end"/>
            </w:r>
          </w:hyperlink>
        </w:p>
        <w:p w:rsidRDefault="009C7524" w:rsidP="009C7524" w:rsidR="009C7524">
          <w:pPr>
            <w:rPr>
              <w:rFonts w:cs="Times New Roman"/>
            </w:rPr>
          </w:pPr>
          <w:r>
            <w:rPr>
              <w:rFonts w:cs="Times New Roman"/>
            </w:rPr>
            <w:fldChar w:fldCharType="end"/>
          </w:r>
        </w:p>
      </w:sdtContent>
    </w:sdt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br w:type="page"/>
      </w: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50" w:id="0"/>
      <w:bookmarkStart w:name="_Toc432416048" w:id="1"/>
      <w:bookmarkStart w:name="_Toc430627146" w:id="2"/>
      <w:r>
        <w:rPr>
          <w:rFonts w:cs="Times New Roman"/>
          <w:sz w:val="24"/>
          <w:szCs w:val="24"/>
        </w:rPr>
        <w:lastRenderedPageBreak/>
        <w:t>1. OPIS ČINJENICA I OKOLNOSTI IZ KOJIH PROIZLAZI POSTOJANJE UVJETA ZA OTVARANJE POSTUPKA PREDSTEČAJNE NAGODBE</w:t>
      </w:r>
      <w:bookmarkEnd w:id="0"/>
      <w:bookmarkEnd w:id="1"/>
      <w:bookmarkEnd w:id="2"/>
    </w:p>
    <w:p w:rsidRDefault="009C7524" w:rsidP="009C7524" w:rsidR="009C7524">
      <w:pPr>
        <w:pStyle w:val="Naslov2"/>
        <w:keepLines/>
        <w:numPr>
          <w:ilvl w:val="0"/>
          <w:numId w:val="44"/>
        </w:numPr>
        <w:spacing w:lineRule="auto" w:line="276" w:after="0" w:before="200"/>
        <w:jc w:val="left"/>
        <w:rPr>
          <w:rFonts w:cs="Times New Roman"/>
          <w:sz w:val="24"/>
          <w:szCs w:val="24"/>
        </w:rPr>
      </w:pPr>
      <w:bookmarkStart w:name="_Toc458593651" w:id="3"/>
      <w:bookmarkStart w:name="_Toc432416049" w:id="4"/>
      <w:bookmarkStart w:name="_Toc430627147" w:id="5"/>
      <w:r>
        <w:rPr>
          <w:rFonts w:cs="Times New Roman"/>
          <w:sz w:val="24"/>
          <w:szCs w:val="24"/>
        </w:rPr>
        <w:t>Opći podaci</w:t>
      </w:r>
      <w:bookmarkEnd w:id="3"/>
      <w:bookmarkEnd w:id="4"/>
      <w:bookmarkEnd w:id="5"/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Naziv: VRTINVEST d.o.o.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Sjedište: Matice Hrvatske 4/I, 43 000 Bjelovar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MBS: 010068578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OIB: 22535621645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Šifra NKD-a: 46.90 (Nespecijalizirana trgovina na veliko)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Datum osnivanja: 26.02.2008.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Osnivači: Gabrijela Belošević, OIB: 56077015541</w:t>
      </w:r>
    </w:p>
    <w:p w:rsidRDefault="009C7524" w:rsidP="009C7524" w:rsidR="009C7524">
      <w:pPr>
        <w:spacing w:lineRule="auto" w:line="360"/>
        <w:ind w:left="1416"/>
        <w:contextualSpacing/>
        <w:rPr>
          <w:rFonts w:cs="Times New Roman"/>
        </w:rPr>
      </w:pPr>
      <w:r>
        <w:rPr>
          <w:rFonts w:cs="Times New Roman"/>
        </w:rPr>
        <w:t>Bjelovar, Krste Frankopana 70</w:t>
      </w:r>
    </w:p>
    <w:p w:rsidRDefault="009C7524" w:rsidP="009C7524" w:rsidR="009C7524">
      <w:pPr>
        <w:spacing w:lineRule="auto" w:line="360"/>
        <w:ind w:left="1416"/>
        <w:contextualSpacing/>
        <w:rPr>
          <w:rFonts w:cs="Times New Roman"/>
        </w:rPr>
      </w:pPr>
      <w:r>
        <w:rPr>
          <w:rFonts w:cs="Times New Roman"/>
        </w:rPr>
        <w:t>- član društva</w:t>
      </w:r>
    </w:p>
    <w:p w:rsidRDefault="009C7524" w:rsidP="009C7524" w:rsidR="009C7524">
      <w:pPr>
        <w:spacing w:lineRule="auto" w:line="360"/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 xml:space="preserve">Osnivački akt: 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Izjava o osnivanju d.o.o. od 26.2.2008. godine.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Temeljni kapital:  20.000,00 kuna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 xml:space="preserve">Osobe ovlaštene za zastupanje: Gabrijela Belošević, OIB: 56077015541 </w:t>
      </w:r>
    </w:p>
    <w:p w:rsidRDefault="009C7524" w:rsidP="009C7524" w:rsidR="009C7524">
      <w:pPr>
        <w:ind w:firstLine="708" w:left="2832"/>
        <w:contextualSpacing/>
        <w:rPr>
          <w:rFonts w:cs="Times New Roman"/>
        </w:rPr>
      </w:pPr>
      <w:r>
        <w:rPr>
          <w:rFonts w:cs="Times New Roman"/>
        </w:rPr>
        <w:t>Bjelovar, Krste Frankopana 70</w:t>
      </w:r>
    </w:p>
    <w:p w:rsidRDefault="009C7524" w:rsidP="009C7524" w:rsidR="009C7524">
      <w:pPr>
        <w:ind w:firstLine="708" w:left="2832"/>
        <w:contextualSpacing/>
        <w:rPr>
          <w:rFonts w:cs="Times New Roman"/>
        </w:rPr>
      </w:pPr>
      <w:r>
        <w:rPr>
          <w:rFonts w:cs="Times New Roman"/>
        </w:rPr>
        <w:t>- direktor</w:t>
      </w:r>
    </w:p>
    <w:p w:rsidRDefault="009C7524" w:rsidP="009C7524" w:rsidR="009C7524">
      <w:pPr>
        <w:ind w:firstLine="708" w:left="2832"/>
        <w:contextualSpacing/>
        <w:rPr>
          <w:rFonts w:cs="Times New Roman"/>
        </w:rPr>
      </w:pPr>
      <w:r>
        <w:rPr>
          <w:rFonts w:cs="Times New Roman"/>
        </w:rPr>
        <w:t>- zastupa društvo samostalno i pojedinačno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Broj zaposlenih na dan (30.06.2016.): 0</w:t>
      </w:r>
    </w:p>
    <w:p w:rsidRDefault="009C7524" w:rsidP="009C7524" w:rsidR="009C7524">
      <w:pPr>
        <w:rPr>
          <w:rFonts w:cs="Times New Roman" w:eastAsia="Times New Roman"/>
          <w:lang w:eastAsia="hr-HR"/>
        </w:rPr>
      </w:pPr>
    </w:p>
    <w:p w:rsidRDefault="009C7524" w:rsidP="009C7524" w:rsidR="009C7524">
      <w:pPr>
        <w:rPr>
          <w:rFonts w:cs="Times New Roman" w:eastAsia="Times New Roman"/>
          <w:lang w:eastAsia="hr-HR"/>
        </w:rPr>
      </w:pPr>
    </w:p>
    <w:p w:rsidRDefault="009C7524" w:rsidP="009C7524" w:rsidR="009C7524">
      <w:pPr>
        <w:rPr>
          <w:rFonts w:cs="Times New Roman" w:eastAsia="Times New Roman"/>
          <w:lang w:eastAsia="hr-HR"/>
        </w:rPr>
      </w:pPr>
    </w:p>
    <w:p w:rsidRDefault="009C7524" w:rsidP="009C7524" w:rsidR="009C7524">
      <w:pPr>
        <w:rPr>
          <w:rFonts w:cs="Times New Roman" w:eastAsia="Times New Roman"/>
          <w:lang w:eastAsia="hr-HR"/>
        </w:rPr>
      </w:pPr>
    </w:p>
    <w:p w:rsidRDefault="009C7524" w:rsidP="009C7524" w:rsidR="009C7524">
      <w:pPr>
        <w:rPr>
          <w:rFonts w:cs="Times New Roman" w:eastAsia="Times New Roman"/>
          <w:lang w:eastAsia="hr-HR"/>
        </w:rPr>
      </w:pPr>
    </w:p>
    <w:p w:rsidRDefault="009C7524" w:rsidP="009C7524" w:rsidR="009C7524">
      <w:pPr>
        <w:pStyle w:val="Naslov3"/>
        <w:numPr>
          <w:ilvl w:val="0"/>
          <w:numId w:val="45"/>
        </w:numPr>
        <w:spacing w:lineRule="auto" w:line="276" w:after="0"/>
        <w:rPr>
          <w:rFonts w:cs="Times New Roman" w:eastAsia="Times New Roman"/>
          <w:lang w:eastAsia="hr-HR"/>
        </w:rPr>
      </w:pPr>
      <w:bookmarkStart w:name="_Toc458593652" w:id="6"/>
      <w:bookmarkStart w:name="_Toc432416050" w:id="7"/>
      <w:bookmarkStart w:name="_Toc430627148" w:id="8"/>
      <w:r>
        <w:rPr>
          <w:rFonts w:cs="Times New Roman" w:eastAsia="Times New Roman"/>
          <w:lang w:eastAsia="hr-HR"/>
        </w:rPr>
        <w:t>Predmet poslovanja</w:t>
      </w:r>
      <w:bookmarkEnd w:id="6"/>
      <w:bookmarkEnd w:id="7"/>
      <w:bookmarkEnd w:id="8"/>
    </w:p>
    <w:p w:rsidRDefault="009C7524" w:rsidP="009C7524" w:rsidR="009C7524">
      <w:pPr>
        <w:rPr>
          <w:rFonts w:cs="Times New Roman"/>
        </w:rPr>
      </w:pPr>
      <w:r>
        <w:rPr>
          <w:rFonts w:cs="Times New Roman"/>
          <w:lang w:eastAsia="hr-HR"/>
        </w:rPr>
        <w:br/>
        <w:t>D</w:t>
      </w:r>
      <w:r>
        <w:rPr>
          <w:rFonts w:cs="Times New Roman"/>
        </w:rPr>
        <w:t xml:space="preserve">ruštvo VRTINVEST  d.o.o. je registrirano za sljedeće djelatnosti: 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Kupnja i prodaja robe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Obavljanje trgovačkog posredovanja na domaćem i inozemnom tržištu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Građenje, projektiranje i nadzor nad gradnjom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Poslovanje vlastitim nekretninama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Poslovanje nekretninama, uz naplatu ili po dogovoru</w:t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Iznajmljivanje poljoprivrednih strojeva i opreme, bez rukovatelja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3"/>
        <w:numPr>
          <w:ilvl w:val="0"/>
          <w:numId w:val="45"/>
        </w:numPr>
        <w:spacing w:lineRule="auto" w:line="360" w:before="240"/>
        <w:rPr>
          <w:rFonts w:cs="Times New Roman"/>
        </w:rPr>
      </w:pPr>
      <w:bookmarkStart w:name="_Toc458593653" w:id="9"/>
      <w:bookmarkStart w:name="_Toc432416051" w:id="10"/>
      <w:bookmarkStart w:name="_Toc430627149" w:id="11"/>
      <w:r>
        <w:rPr>
          <w:rFonts w:cs="Times New Roman"/>
        </w:rPr>
        <w:t>Uprava društva</w:t>
      </w:r>
      <w:bookmarkEnd w:id="9"/>
      <w:bookmarkEnd w:id="10"/>
      <w:bookmarkEnd w:id="11"/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Osoba ovlaštena za zastupanje je Gabrijela Belošević, OIB: 56077015541, Bjelovar, Krste Frankopana 70, koji vrši funkciju direktora te zastupa društvo pojedinačno i samostalno, imenovana odlukom o razrješenju i imenovanju direktora od 25.7.2016. godine.</w:t>
      </w:r>
      <w:r>
        <w:rPr>
          <w:rFonts w:cs="Times New Roman"/>
        </w:rPr>
        <w:br/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pStyle w:val="Naslov3"/>
        <w:numPr>
          <w:ilvl w:val="0"/>
          <w:numId w:val="45"/>
        </w:numPr>
        <w:spacing w:lineRule="auto" w:line="360" w:before="240"/>
        <w:jc w:val="both"/>
        <w:rPr>
          <w:rFonts w:cs="Times New Roman"/>
        </w:rPr>
      </w:pPr>
      <w:bookmarkStart w:name="_Toc458593654" w:id="12"/>
      <w:bookmarkStart w:name="_Toc432416052" w:id="13"/>
      <w:bookmarkStart w:name="_Toc430627150" w:id="14"/>
      <w:r>
        <w:rPr>
          <w:rFonts w:cs="Times New Roman"/>
        </w:rPr>
        <w:lastRenderedPageBreak/>
        <w:t>Vlasnička struktura</w:t>
      </w:r>
      <w:bookmarkEnd w:id="12"/>
      <w:bookmarkEnd w:id="13"/>
      <w:bookmarkEnd w:id="14"/>
      <w:r>
        <w:rPr>
          <w:rFonts w:cs="Times New Roman"/>
        </w:rPr>
        <w:t xml:space="preserve"> 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Društvo je u 100% privatnom vlasništvu, vlasnik  društva je Gabrijela Belošević, OIB: 56077015541, Bjelovar, Krste Frankopana 70</w:t>
      </w:r>
      <w:r>
        <w:rPr>
          <w:rFonts w:cs="Times New Roman" w:eastAsia="Times New Roman"/>
          <w:lang w:eastAsia="hr-HR"/>
        </w:rPr>
        <w:t xml:space="preserve">. Nakon restrukturiranja vlasnička struktura se neće mijenjati. U nastavku slijedi grafički prikaz vlasničke strukture prije i poslije restrukturiranja. </w:t>
      </w:r>
    </w:p>
    <w:p w:rsidRDefault="009C7524" w:rsidP="009C7524" w:rsidR="009C7524">
      <w:pPr>
        <w:spacing w:lineRule="auto" w: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nastavku se nalazi grafički prikaz vlasničke strukture prije i poslije mjera restrukturiranja.</w:t>
      </w:r>
    </w:p>
    <w:p w:rsidRDefault="009C7524" w:rsidP="009C7524" w:rsidR="009C7524">
      <w:pPr>
        <w:spacing w:lineRule="auto" w:line="360"/>
        <w:rPr>
          <w:rFonts w:cs="Times New Roman" w:eastAsia="Times New Roman"/>
          <w:lang w:eastAsia="hr-HR"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inline distR="0" distL="0" distB="0" distT="0">
            <wp:extent cy="2364105" cx="5496560"/>
            <wp:effectExtent b="17145" r="27940" t="0" l="0"/>
            <wp:docPr name="Grafikon 1" id="1"/>
            <wp:cNvGraphicFramePr/>
            <a:graphic>
              <a:graphicData uri="http://schemas.openxmlformats.org/drawingml/2006/chart">
                <c:chart r:id="rId27"/>
              </a:graphicData>
            </a:graphic>
          </wp:inline>
        </w:drawing>
      </w:r>
      <w:r>
        <w:rPr>
          <w:rFonts w:cs="Times New Roman" w:eastAsia="Times New Roman"/>
          <w:lang w:eastAsia="hr-HR"/>
        </w:rPr>
        <w:br/>
      </w:r>
      <w:r>
        <w:rPr>
          <w:rFonts w:cs="Times New Roman"/>
          <w:i/>
        </w:rPr>
        <w:t>Vlasnička struktura prije i nakon restrukturiranja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3"/>
        <w:numPr>
          <w:ilvl w:val="0"/>
          <w:numId w:val="45"/>
        </w:numPr>
        <w:spacing w:lineRule="auto" w:line="480" w:after="0"/>
        <w:jc w:val="both"/>
        <w:rPr>
          <w:rFonts w:cs="Times New Roman"/>
        </w:rPr>
      </w:pPr>
      <w:bookmarkStart w:name="_Toc458593655" w:id="15"/>
      <w:bookmarkStart w:name="_Toc432416053" w:id="16"/>
      <w:bookmarkStart w:name="_Toc430627151" w:id="17"/>
      <w:r>
        <w:rPr>
          <w:rFonts w:cs="Times New Roman"/>
        </w:rPr>
        <w:t>Analiza zaposlenih</w:t>
      </w:r>
      <w:bookmarkEnd w:id="15"/>
      <w:bookmarkEnd w:id="16"/>
      <w:bookmarkEnd w:id="17"/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Društvo VRTINVEST d.o.o.  nema zaposlenih od 2010. godine do 30.06.2016. godine (prosječan broj zaposlenih tijekom godine, temeljem sati rada), te u razdoblju restrukturiranja društvo nema namjeru zapošljavati radnike. </w:t>
      </w:r>
    </w:p>
    <w:p w:rsidRDefault="009C7524" w:rsidP="009C7524" w:rsidR="009C7524">
      <w:pPr>
        <w:rPr>
          <w:rFonts w:cs="Times New Roman"/>
          <w:i/>
        </w:rPr>
      </w:pPr>
    </w:p>
    <w:p w:rsidRDefault="009C7524" w:rsidP="009C7524" w:rsidR="009C7524">
      <w:pPr>
        <w:spacing w:after="0"/>
        <w:rPr>
          <w:rFonts w:cs="Times New Roman"/>
          <w:i/>
        </w:rPr>
        <w:sectPr w:rsidR="009C7524">
          <w:pgSz w:h="16838" w:w="11906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spacing w:lineRule="auto" w:line="360"/>
        <w:rPr>
          <w:rFonts w:cs="Times New Roman"/>
        </w:rPr>
      </w:pPr>
    </w:p>
    <w:p w:rsidRDefault="009C7524" w:rsidP="009C7524" w:rsidR="009C7524">
      <w:pPr>
        <w:pStyle w:val="Naslov2"/>
        <w:keepLines/>
        <w:numPr>
          <w:ilvl w:val="0"/>
          <w:numId w:val="44"/>
        </w:numPr>
        <w:spacing w:lineRule="auto" w:line="276" w:after="0" w:before="200"/>
        <w:jc w:val="left"/>
        <w:rPr>
          <w:rFonts w:cs="Times New Roman"/>
          <w:sz w:val="24"/>
          <w:szCs w:val="24"/>
        </w:rPr>
      </w:pPr>
      <w:bookmarkStart w:name="_Toc458593656" w:id="18"/>
      <w:bookmarkStart w:name="_Toc432416054" w:id="19"/>
      <w:r>
        <w:rPr>
          <w:rFonts w:cs="Times New Roman"/>
          <w:sz w:val="24"/>
          <w:szCs w:val="24"/>
        </w:rPr>
        <w:t>Operativno poslovanje i tržišna situacija</w:t>
      </w:r>
      <w:bookmarkEnd w:id="18"/>
      <w:bookmarkEnd w:id="19"/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Društvo VRTINVEST d.o.o. osnovano je i posluje od 26.02.2008. godine. Tvrtka je upisana na Trgovačkom sudu u Bjelovaru pod matičnim brojem 010068578. Društvo je registrirano za obavljanje djelatnosti Nespecijalizirana trgovina na veliko, (46.90). VRTINVEST d.o.o. je mali poduzetnik </w:t>
      </w:r>
      <w:r>
        <w:rPr>
          <w:rFonts w:cs="Times New Roman"/>
          <w:shd w:fill="FFFFFF" w:color="auto" w:val="clear"/>
        </w:rPr>
        <w:t>u privatnom vlasništvu. Temeljni kapital poslovnog subjekta financiran je 100% domaćim kapitalom.</w:t>
      </w:r>
      <w:r>
        <w:rPr>
          <w:rFonts w:cs="Times New Roman"/>
        </w:rPr>
        <w:t xml:space="preserve"> Uprava društva se nalazi u Upravnoj zgradi u vlasništvu povezane tvrtke Ratarstvo d.o.o. na adresi Marice Hrvatske 4/I, 43 000 Bjelovar. Posluje na području Kontinentalne Hrvatske, a svoje poslove društvo sklapa direktnim pogodbama i dogovorima. </w:t>
      </w:r>
    </w:p>
    <w:p w:rsidRDefault="009C7524" w:rsidP="009C7524" w:rsidR="009C7524">
      <w:pPr>
        <w:spacing w:lineRule="auto" w:line="360" w:after="0"/>
        <w:rPr>
          <w:rFonts w:cs="Times New Roman"/>
          <w:bCs/>
        </w:rPr>
        <w:sectPr w:rsidR="009C7524">
          <w:pgSz w:h="16838" w:w="11906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lastRenderedPageBreak/>
        <w:t>VRTINVEST d.o.o. 100%-</w:t>
      </w:r>
      <w:proofErr w:type="spellStart"/>
      <w:r>
        <w:rPr>
          <w:rFonts w:cs="Times New Roman"/>
          <w:bCs/>
        </w:rPr>
        <w:t>tni</w:t>
      </w:r>
      <w:proofErr w:type="spellEnd"/>
      <w:r>
        <w:rPr>
          <w:rFonts w:cs="Times New Roman"/>
          <w:bCs/>
        </w:rPr>
        <w:t xml:space="preserve"> je vlasnik društva VRT d.o.o., a temeljna pretpostavka razvoja tog društva je razvoj voćarske proizvodnje te izgradnja hladnjače kapaciteta 5.000 tona na vlastitoj nekretnini u Ždralovima kraj Bjelovara.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 xml:space="preserve">Projekt je planiran kao zajednički investicijski projekt tvrtki VRT d.o.o. (Nositelj projekta) i Voćnjak d.o.o. (Partner u projektu) kojim je tvrtka VRT d.o.o. aplicirala na EAFRD - Mjeru 4.1.1. (Restrukturiranje, modernizacija i povećanje konkurentnosti poljoprivrednih gospodarstava) pod nazivom “Prijem, sortiranje, prerada i skladištenje voća”. 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>Svrha investicije je postizanje konkurentnije pozicije kroz povećanje učinkovitosti proizvodnje, stvaranje novih skladišnih kapaciteta, uvođenje tehnologije i razvijanje tehnoloških procesa s ciljem postizanja kvalitetnije kontrole procesa, smanjenje utroška energije i poboljšavanje energetske učinkovitosti, te stvaranja uvjeta koji omogućavaju efikasniju kontrolu nad vlastitom kvalitetom jabuke nakon čega slijedi prodaja i distribucija visoko kvalitetnog proizvoda maksimalno prilagođenog kupcu (način sortiranja i pakiranja) u trenutku kada je tržišna cijena najprihvatljivija.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 xml:space="preserve">Investicija se sastoji od izgradnje i opremanja ULO hladnjače (ULO = </w:t>
      </w:r>
      <w:proofErr w:type="spellStart"/>
      <w:r>
        <w:rPr>
          <w:rFonts w:cs="Times New Roman"/>
          <w:bCs/>
        </w:rPr>
        <w:t>Ultra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low</w:t>
      </w:r>
      <w:proofErr w:type="spellEnd"/>
      <w:r>
        <w:rPr>
          <w:rFonts w:cs="Times New Roman"/>
          <w:bCs/>
        </w:rPr>
        <w:t xml:space="preserve"> </w:t>
      </w:r>
      <w:proofErr w:type="spellStart"/>
      <w:r>
        <w:rPr>
          <w:rFonts w:cs="Times New Roman"/>
          <w:bCs/>
        </w:rPr>
        <w:t>oxygen</w:t>
      </w:r>
      <w:proofErr w:type="spellEnd"/>
      <w:r>
        <w:rPr>
          <w:rFonts w:cs="Times New Roman"/>
          <w:bCs/>
        </w:rPr>
        <w:t>) za skladištenje jabuka i gotovih proizvoda te izgradnje i opremanja pogona za preradu voća, odnosno proizvodnju soka i ostalih gotovih proizvoda od jabuke.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 xml:space="preserve">Vrijednost investicijskog projekta iznosi 5.555.555,00 EUR, a iz EAFRD-a se očekuje povrat novčanih sredstava u iznosu 90% vrijednosti investicije, odnosno 5.000.000,00 EUR. 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lastRenderedPageBreak/>
        <w:t xml:space="preserve">Naime, sukladno Kriterijima odabira zahtjeva za potporu u Tipu operacije 4.1.1. navedenima u Prilogu III. Pravilnika o provedbi mjere M04 “Ulaganja u fizičku imovinu”, </w:t>
      </w:r>
      <w:proofErr w:type="spellStart"/>
      <w:r>
        <w:rPr>
          <w:rFonts w:cs="Times New Roman"/>
          <w:bCs/>
        </w:rPr>
        <w:t>podmjere</w:t>
      </w:r>
      <w:proofErr w:type="spellEnd"/>
      <w:r>
        <w:rPr>
          <w:rFonts w:cs="Times New Roman"/>
          <w:bCs/>
        </w:rPr>
        <w:t xml:space="preserve"> 4.1. “Potpora za ulaganja u poljoprivredna gospodarstva” iz Programa Ruralnog razvoja Republike Hrvatske za razdoblje 2014.-2020. godine”,  planirani investicijski projekt je ostvario 75 bodova od maksimalnih 100 bodova, a sukladno članku 10. Pravilnika ima preduvjete ostvarivanja 90% bespovratnih sredstava na temelju sljedećih karakteristika projekta: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> </w:t>
      </w:r>
    </w:p>
    <w:tbl>
      <w:tblPr>
        <w:tblW w:type="dxa" w:w="9214"/>
        <w:tblInd w:type="dxa" w:w="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52"/>
        <w:gridCol w:w="3259"/>
        <w:gridCol w:w="2303"/>
      </w:tblGrid>
      <w:tr w:rsidTr="009C7524" w:rsidR="009C7524">
        <w:trPr>
          <w:trHeight w:val="251"/>
        </w:trPr>
        <w:tc>
          <w:tcPr>
            <w:tcW w:type="dxa" w:w="3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minimalan (osnovni)  povrat</w:t>
            </w:r>
          </w:p>
        </w:tc>
        <w:tc>
          <w:tcPr>
            <w:tcW w:type="dxa" w:w="3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2.777.778 EUR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50%</w:t>
            </w:r>
          </w:p>
        </w:tc>
      </w:tr>
      <w:tr w:rsidTr="009C7524" w:rsidR="009C7524">
        <w:trPr>
          <w:trHeight w:val="251"/>
        </w:trPr>
        <w:tc>
          <w:tcPr>
            <w:tcW w:type="dxa" w:w="3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mladi poljoprivrednik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1.111.111 EUR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20%</w:t>
            </w:r>
          </w:p>
        </w:tc>
      </w:tr>
      <w:tr w:rsidTr="009C7524" w:rsidR="009C7524">
        <w:trPr>
          <w:trHeight w:val="275"/>
        </w:trPr>
        <w:tc>
          <w:tcPr>
            <w:tcW w:type="dxa" w:w="3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zajednički projekt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1.111.111 EUR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20%</w:t>
            </w:r>
          </w:p>
        </w:tc>
      </w:tr>
      <w:tr w:rsidTr="009C7524" w:rsidR="009C7524">
        <w:trPr>
          <w:trHeight w:val="275"/>
        </w:trPr>
        <w:tc>
          <w:tcPr>
            <w:tcW w:type="dxa" w:w="3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Povrat EAFRD - GRANT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5.000.000 EUR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90%</w:t>
            </w:r>
          </w:p>
        </w:tc>
      </w:tr>
    </w:tbl>
    <w:p w:rsidRDefault="009C7524" w:rsidP="009C7524" w:rsidR="009C7524">
      <w:pPr>
        <w:pStyle w:val="Odlomakpopisa"/>
        <w:spacing w:lineRule="auto" w:line="360"/>
        <w:rPr>
          <w:rFonts w:cs="Times New Roman"/>
          <w:bCs/>
          <w:lang w:eastAsia="en-US"/>
        </w:rPr>
      </w:pPr>
      <w:r>
        <w:rPr>
          <w:rFonts w:cs="Times New Roman"/>
          <w:bCs/>
        </w:rPr>
        <w:t> </w:t>
      </w:r>
    </w:p>
    <w:tbl>
      <w:tblPr>
        <w:tblW w:type="dxa" w:w="9232"/>
        <w:tblInd w:type="dxa" w:w="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11"/>
        <w:gridCol w:w="3235"/>
        <w:gridCol w:w="2386"/>
      </w:tblGrid>
      <w:tr w:rsidTr="009C7524" w:rsidR="009C7524">
        <w:trPr>
          <w:trHeight w:val="265"/>
        </w:trPr>
        <w:tc>
          <w:tcPr>
            <w:tcW w:type="dxa" w:w="3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Vrijednost investicije</w:t>
            </w:r>
          </w:p>
        </w:tc>
        <w:tc>
          <w:tcPr>
            <w:tcW w:type="dxa" w:w="3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5.555.556 EUR</w:t>
            </w:r>
          </w:p>
        </w:tc>
        <w:tc>
          <w:tcPr>
            <w:tcW w:type="dxa" w:w="2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bCs/>
                <w:lang w:eastAsia="en-US"/>
              </w:rPr>
            </w:pPr>
            <w:r>
              <w:rPr>
                <w:rFonts w:cs="Times New Roman"/>
                <w:bCs/>
              </w:rPr>
              <w:t>100%</w:t>
            </w:r>
          </w:p>
        </w:tc>
      </w:tr>
    </w:tbl>
    <w:p w:rsidRDefault="009C7524" w:rsidP="009C7524" w:rsidR="009C7524">
      <w:pPr>
        <w:pStyle w:val="Odlomakpopisa"/>
        <w:spacing w:lineRule="auto" w:line="360"/>
        <w:rPr>
          <w:rFonts w:cs="Times New Roman"/>
          <w:bCs/>
          <w:lang w:eastAsia="en-US"/>
        </w:rPr>
      </w:pPr>
      <w:r>
        <w:rPr>
          <w:rFonts w:cs="Times New Roman"/>
          <w:bCs/>
        </w:rPr>
        <w:t>   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  <w:r>
        <w:rPr>
          <w:rFonts w:cs="Times New Roman"/>
          <w:bCs/>
        </w:rPr>
        <w:t>Odluke/novci za Mjeru 4.1.1. na koju smo aplicirali još uvijek nisu nikome dane. Radi se o prvom natječaju u Mjeri 4.1.1. koji je završio 15.04.2015. za koju postoji objavljena lista odobrenih zahtjeva. Naš projekt se nalazi na 72. mjestu.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bCs/>
        </w:rPr>
      </w:pPr>
    </w:p>
    <w:p w:rsidRDefault="009C7524" w:rsidP="009C7524" w:rsidR="009C7524">
      <w:pPr>
        <w:pStyle w:val="Naslov4"/>
        <w:numPr>
          <w:ilvl w:val="0"/>
          <w:numId w:val="46"/>
        </w:numPr>
        <w:spacing w:lineRule="auto" w:line="276" w:after="0"/>
        <w:rPr>
          <w:rFonts w:cs="Times New Roman" w:hAnsi="Times New Roman" w:ascii="Times New Roman"/>
        </w:rPr>
      </w:pPr>
      <w:bookmarkStart w:name="_Toc458593657" w:id="20"/>
      <w:r>
        <w:rPr>
          <w:rFonts w:cs="Times New Roman" w:hAnsi="Times New Roman" w:ascii="Times New Roman"/>
        </w:rPr>
        <w:t>Izvješće o poslovnom i financijskom stanju dužnika VRTINVEST  d.o.o., Bjelovar, na temelju financijskog izvještaja sa stanjem na dan 30.06.2016. godine</w:t>
      </w:r>
      <w:bookmarkEnd w:id="20"/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Rezultati poslovanja dani su u računu dobiti i gubitka na dan 30.06.2016. (iznosi u kn), a dok grafički prikaz pokazuje ostvarene rezultate poslovanja.</w:t>
      </w:r>
    </w:p>
    <w:tbl>
      <w:tblPr>
        <w:tblW w:type="dxa" w:w="9313"/>
        <w:tblInd w:type="dxa" w:w="108"/>
        <w:tblLook w:val="04A0" w:noVBand="1" w:noHBand="0" w:lastColumn="0" w:firstColumn="1" w:lastRow="0" w:firstRow="1"/>
      </w:tblPr>
      <w:tblGrid>
        <w:gridCol w:w="659"/>
        <w:gridCol w:w="656"/>
        <w:gridCol w:w="653"/>
        <w:gridCol w:w="651"/>
        <w:gridCol w:w="649"/>
        <w:gridCol w:w="648"/>
        <w:gridCol w:w="646"/>
        <w:gridCol w:w="645"/>
        <w:gridCol w:w="759"/>
        <w:gridCol w:w="804"/>
        <w:gridCol w:w="1271"/>
        <w:gridCol w:w="1272"/>
      </w:tblGrid>
      <w:tr w:rsidTr="009C7524" w:rsidR="009C7524">
        <w:trPr>
          <w:trHeight w:val="466"/>
        </w:trPr>
        <w:tc>
          <w:tcPr>
            <w:tcW w:type="dxa" w:w="8041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  <w:t>RAČUN DOBITI I GUBITKA</w:t>
            </w:r>
          </w:p>
        </w:tc>
        <w:tc>
          <w:tcPr>
            <w:tcW w:type="dxa" w:w="127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</w:r>
            <w:r>
              <w:rPr>
                <w:rFonts w:cs="Arial" w:eastAsia="Times New Roman" w:hAnsi="Arial Black" w:ascii="Arial Black"/>
                <w:b/>
                <w:bCs/>
                <w:color w:val="000080"/>
                <w:lang w:eastAsia="hr-HR"/>
              </w:rPr>
              <w:t>POD-RDG</w:t>
            </w:r>
          </w:p>
        </w:tc>
      </w:tr>
      <w:tr w:rsidTr="009C7524" w:rsidR="009C7524">
        <w:trPr>
          <w:trHeight w:val="466"/>
        </w:trPr>
        <w:tc>
          <w:tcPr>
            <w:tcW w:type="dxa" w:w="8041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za razdoblje 01.01.2016. do 30.06.2016.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</w:p>
        </w:tc>
      </w:tr>
      <w:tr w:rsidTr="009C7524" w:rsidR="009C7524">
        <w:trPr>
          <w:trHeight w:val="118"/>
        </w:trPr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677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271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271"/>
            <w:vAlign w:val="center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9C7524" w:rsidR="009C7524">
        <w:trPr>
          <w:trHeight w:val="466"/>
        </w:trPr>
        <w:tc>
          <w:tcPr>
            <w:tcW w:type="dxa" w:w="9313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lastRenderedPageBreak/>
              <w:t>Obveznik: 22535621645; VRTINVEST D.O.O.</w:t>
            </w:r>
          </w:p>
        </w:tc>
      </w:tr>
      <w:tr w:rsidTr="009C7524" w:rsidR="009C7524">
        <w:trPr>
          <w:trHeight w:val="574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67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oznaka</w:t>
            </w:r>
          </w:p>
        </w:tc>
        <w:tc>
          <w:tcPr>
            <w:tcW w:type="dxa" w:w="67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bilješke</w:t>
            </w:r>
          </w:p>
        </w:tc>
        <w:tc>
          <w:tcPr>
            <w:tcW w:type="dxa" w:w="127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dxa" w:w="127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9C7524" w:rsidR="009C7524">
        <w:trPr>
          <w:trHeight w:val="313"/>
        </w:trPr>
        <w:tc>
          <w:tcPr>
            <w:tcW w:type="dxa" w:w="5416"/>
            <w:gridSpan w:val="8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bookmarkStart w:name="RANGE!K8" w:id="21"/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  <w:bookmarkEnd w:id="21"/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I. POSLOVNI PRIHODI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(112+113)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150.337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150.337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1. Prihodi od prodaje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2. Ostali poslovni prihodi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150.337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150.337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II. POSLOVNI RASHODI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(115+116+120+124+125+126+129+130)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233.420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233.420</w:t>
            </w:r>
          </w:p>
        </w:tc>
      </w:tr>
      <w:tr w:rsidTr="009C7524" w:rsidR="009C7524">
        <w:trPr>
          <w:trHeight w:val="348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Materijalni troškovi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(117 do 119)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19.995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19.995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Troškovi sirovina i materijala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1.287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1.287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prodane robe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Ostali vanjski troškovi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18.708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18.708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3. Troškovi osoblja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(121 do 123)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7.060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7.060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5.351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5.351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6. Vrijednosno usklađivanje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(127+128)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a) dugotrajne imovine (osim financijske imovine)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  b) kratkotrajne imovine (osim financijske imovine)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7. Rezerviranja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201.014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201.014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III. FINANCIJSKI PRIHODI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(132 do 136)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</w:tr>
      <w:tr w:rsidTr="009C7524" w:rsidR="009C7524">
        <w:trPr>
          <w:trHeight w:val="648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1. Kamate, tečajne razlike, dividende i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 povezanim poduzetnicima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648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2. Kamate, tečajne razlike, dividende,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  nepovezanim poduzetnicima i drugim osobama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76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3. Dio prihoda od pridruženih poduzetnika i sudjelujućih interesa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4. Nerealizirani dobici (prihodi) od financijske imovine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 5. Ostali financijski prihodi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IV. FINANCIJSKI RASHODI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(138 do 141)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333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333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1. Kamate, tečajne razlike i drugi rashodi s povezanim poduzetnicima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648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2. Kamate, tečajne razlike i drugi rashodi iz odnosa s nepovezanim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br/>
              <w:t xml:space="preserve">        poduzetnicima i drugim osobama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333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333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3. Nerealizirani gubici (rashodi) od financijske imovine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    4. Ostali financijski rashodi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V.    UDIO U DOBITI OD PRIDRUŽENIH PODUZETNIKA 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VI.   UDIO U GUBITKU OD PRIDRUŽENIH PODUZETNIKA 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lastRenderedPageBreak/>
              <w:t>VII.  IZVANREDNI - OSTALI PRIHODI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90.000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90.000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VIII. IZVANREDNI - OSTALI RASHODI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IX.  UKUPNI PRIHODI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(111+131+142 + 144)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240.413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240.413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X.   UKUPNI RASHODI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(114+137+143 + 145)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233.753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233.753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XI.  DOBIT ILI GUBITAK PRIJE OPOREZIVANJA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(146-147)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6.660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6.660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prije oporezivanja (146-147)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6.660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6.660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prije oporezivanja (147-146)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1.646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1.646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(148-151)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1. Dobit razdoblja (149-151)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type="dxa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</w:tr>
      <w:tr w:rsidTr="009C7524" w:rsidR="009C7524">
        <w:trPr>
          <w:trHeight w:val="327"/>
        </w:trPr>
        <w:tc>
          <w:tcPr>
            <w:tcW w:type="dxa" w:w="5416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2. Gubitak razdoblja (151-148)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type="dxa" w:w="67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  <w:i/>
        </w:rPr>
      </w:pPr>
      <w:r>
        <w:rPr>
          <w:rFonts w:cs="Times New Roman"/>
          <w:i/>
        </w:rPr>
        <w:t>Račun dobiti i gubitka prethodne godine i na dan 30.06.2016.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Sažetak poslovanja društva kroz razdoblje od 2012. do 30.06.2016. godine nalazi se u nastavku (iznosi u kn).</w:t>
      </w:r>
    </w:p>
    <w:tbl>
      <w:tblPr>
        <w:tblW w:type="dxa" w:w="9646"/>
        <w:tblInd w:type="dxa" w:w="93"/>
        <w:tblLook w:val="04A0" w:noVBand="1" w:noHBand="0" w:lastColumn="0" w:firstColumn="1" w:lastRow="0" w:firstRow="1"/>
      </w:tblPr>
      <w:tblGrid>
        <w:gridCol w:w="4072"/>
        <w:gridCol w:w="1033"/>
        <w:gridCol w:w="1033"/>
        <w:gridCol w:w="1033"/>
        <w:gridCol w:w="1033"/>
        <w:gridCol w:w="1442"/>
      </w:tblGrid>
      <w:tr w:rsidTr="009C7524" w:rsidR="009C7524">
        <w:trPr>
          <w:trHeight w:val="311"/>
        </w:trPr>
        <w:tc>
          <w:tcPr>
            <w:tcW w:type="dxa" w:w="40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Opis/godina</w:t>
            </w:r>
          </w:p>
        </w:tc>
        <w:tc>
          <w:tcPr>
            <w:tcW w:type="dxa" w:w="10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2012.</w:t>
            </w:r>
          </w:p>
        </w:tc>
        <w:tc>
          <w:tcPr>
            <w:tcW w:type="dxa" w:w="10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2013.</w:t>
            </w:r>
          </w:p>
        </w:tc>
        <w:tc>
          <w:tcPr>
            <w:tcW w:type="dxa" w:w="10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2014.</w:t>
            </w:r>
          </w:p>
        </w:tc>
        <w:tc>
          <w:tcPr>
            <w:tcW w:type="dxa" w:w="10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2015.</w:t>
            </w:r>
          </w:p>
        </w:tc>
        <w:tc>
          <w:tcPr>
            <w:tcW w:type="dxa" w:w="144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30.06.2016.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Broj zaposlenih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Ukupni prihodi (u Kn)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434.900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478.400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41.700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240.400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240.400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Ukupni rashodi (u Kn)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32.400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42.800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30.300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233.800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233.800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EBIT (U Kn)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-20.800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-14.900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-28.800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6.900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6.900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EBT (Bruto dobit) (U Kn)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402.500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435.600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11.400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6.700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6.700</w:t>
            </w:r>
          </w:p>
        </w:tc>
      </w:tr>
      <w:tr w:rsidTr="009C7524" w:rsidR="009C7524">
        <w:trPr>
          <w:trHeight w:val="311"/>
        </w:trPr>
        <w:tc>
          <w:tcPr>
            <w:tcW w:type="dxa" w:w="40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Dobit nakon oporezivanja (Neto dobit)(u Kn)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322.900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348.500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8.500</w:t>
            </w:r>
          </w:p>
        </w:tc>
        <w:tc>
          <w:tcPr>
            <w:tcW w:type="dxa" w:w="10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5.000</w:t>
            </w:r>
          </w:p>
        </w:tc>
        <w:tc>
          <w:tcPr>
            <w:tcW w:type="dxa" w:w="14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5.000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  <w:i/>
        </w:rPr>
      </w:pPr>
      <w:r>
        <w:rPr>
          <w:rFonts w:cs="Times New Roman"/>
          <w:i/>
        </w:rPr>
        <w:t>Tablica analize poslovanja od 2012. do 30.06.2016.</w:t>
      </w:r>
    </w:p>
    <w:p w:rsidRDefault="009C7524" w:rsidP="009C7524" w:rsidR="009C7524">
      <w:pPr>
        <w:rPr>
          <w:rFonts w:cs="Times New Roman"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lastRenderedPageBreak/>
        <w:drawing>
          <wp:inline distR="0" distL="0" distB="0" distT="0">
            <wp:extent cy="3208020" cx="5496560"/>
            <wp:effectExtent b="11430" r="27940" t="0" l="0"/>
            <wp:docPr name="Grafikon 6" id="6"/>
            <wp:cNvGraphicFramePr/>
            <a:graphic>
              <a:graphicData uri="http://schemas.openxmlformats.org/drawingml/2006/chart">
                <c:chart r:id="rId28"/>
              </a:graphicData>
            </a:graphic>
          </wp:inline>
        </w:drawing>
      </w:r>
    </w:p>
    <w:p w:rsidRDefault="009C7524" w:rsidP="009C7524" w:rsidR="009C7524">
      <w:pPr>
        <w:spacing w:before="240"/>
        <w:rPr>
          <w:rFonts w:cs="Times New Roman"/>
          <w:i/>
        </w:rPr>
      </w:pPr>
      <w:r>
        <w:rPr>
          <w:rFonts w:cs="Times New Roman"/>
          <w:i/>
        </w:rPr>
        <w:t>Grafički prikaz rezultata poslovanja u prethodnim godinama poslovanja</w:t>
      </w:r>
    </w:p>
    <w:p w:rsidRDefault="009C7524" w:rsidP="009C7524" w:rsidR="009C7524">
      <w:pPr>
        <w:rPr>
          <w:rFonts w:cs="Times New Roman"/>
          <w:i/>
        </w:rPr>
      </w:pPr>
    </w:p>
    <w:p w:rsidRDefault="009C7524" w:rsidP="009C7524" w:rsidR="009C7524">
      <w:pPr>
        <w:rPr>
          <w:rFonts w:cs="Times New Roman"/>
          <w:i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Račun dobiti i gubitka pokazuje tendenciju rasta ukupnih prihoda i  rashoda u 2013. godini u odnosu na 2012. godinu. Nakon 2014. godine poslovni rashodi i poslovni prihodi bilježe pad, dok u 2015. godini ukupni prihodi i ukupni rashodi rastu te se neće mijenjati do 30.06.2016. godine. Sve promatrane godine obilježio je pozitivan trend poslovanja zaključno s danom 30.06.2016.. U 2013. god. u odnosu na 2012. god. bilježi se rast ukupnih prihoda za 10,00%, te rast ukupnih rashoda u promatranom razdoblju za 32,10%. U 2014. god. u odnosu na 2015. god. bilježi se pad ukupnih prihoda za 91,28 %, a ukupni rashodi također bilježe pad od 29,21%. U 2015. god. bilježi se rast ukupnih prihoda u odnosu na 2014. god. za 476,50% , a ukupnih rashoda za 671,62%. Zaključno s datumom 30.06.2016. ukupni prihodi i ukupni rashodi se nisu mijenjali u odnosu na 2015. godinu. 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  <w:color w:val="FF0000"/>
        </w:rPr>
        <w:br/>
      </w:r>
      <w:r>
        <w:rPr>
          <w:rFonts w:cs="Times New Roman"/>
        </w:rPr>
        <w:t>Slijedi bilanca na dan 31.12.2015. godine i na dan 30.06.2016. godine (iznosi u kn).</w:t>
      </w:r>
    </w:p>
    <w:tbl>
      <w:tblPr>
        <w:tblW w:type="dxa" w:w="9232"/>
        <w:tblInd w:type="dxa" w:w="108"/>
        <w:tblLook w:val="04A0" w:noVBand="1" w:noHBand="0" w:lastColumn="0" w:firstColumn="1" w:lastRow="0" w:firstRow="1"/>
      </w:tblPr>
      <w:tblGrid>
        <w:gridCol w:w="638"/>
        <w:gridCol w:w="636"/>
        <w:gridCol w:w="635"/>
        <w:gridCol w:w="778"/>
        <w:gridCol w:w="632"/>
        <w:gridCol w:w="631"/>
        <w:gridCol w:w="631"/>
        <w:gridCol w:w="630"/>
        <w:gridCol w:w="691"/>
        <w:gridCol w:w="804"/>
        <w:gridCol w:w="1263"/>
        <w:gridCol w:w="1263"/>
      </w:tblGrid>
      <w:tr w:rsidTr="009C7524" w:rsidR="009C7524">
        <w:trPr>
          <w:trHeight w:val="416"/>
        </w:trPr>
        <w:tc>
          <w:tcPr>
            <w:tcW w:type="dxa" w:w="7969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</w:pPr>
            <w:bookmarkStart w:name="RANGE!A3:L122" w:id="22"/>
            <w:r>
              <w:rPr>
                <w:rFonts w:cs="Arial" w:eastAsia="Times New Roman" w:hAnsi="Arial" w:ascii="Arial"/>
                <w:b/>
                <w:bCs/>
                <w:color w:val="000080"/>
                <w:lang w:eastAsia="hr-HR"/>
              </w:rPr>
              <w:t>BILANCA</w:t>
            </w:r>
            <w:bookmarkEnd w:id="22"/>
          </w:p>
        </w:tc>
        <w:tc>
          <w:tcPr>
            <w:tcW w:type="dxa" w:w="126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Obrazac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br/>
            </w:r>
            <w:r>
              <w:rPr>
                <w:rFonts w:cs="Arial" w:eastAsia="Times New Roman" w:hAnsi="Arial Black" w:ascii="Arial Black"/>
                <w:b/>
                <w:bCs/>
                <w:color w:val="000080"/>
                <w:lang w:eastAsia="hr-HR"/>
              </w:rPr>
              <w:t>POD-BIL</w:t>
            </w:r>
          </w:p>
        </w:tc>
      </w:tr>
      <w:tr w:rsidTr="009C7524" w:rsidR="009C7524">
        <w:trPr>
          <w:trHeight w:val="416"/>
        </w:trPr>
        <w:tc>
          <w:tcPr>
            <w:tcW w:type="dxa" w:w="7969"/>
            <w:gridSpan w:val="11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stanje na dan 30.06.2016.</w:t>
            </w:r>
          </w:p>
        </w:tc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</w:p>
        </w:tc>
      </w:tr>
      <w:tr w:rsidTr="009C7524" w:rsidR="009C7524">
        <w:trPr>
          <w:trHeight w:val="105"/>
        </w:trPr>
        <w:tc>
          <w:tcPr>
            <w:tcW w:type="dxa" w:w="64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4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41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8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9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8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7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3"/>
            <w:noWrap/>
            <w:vAlign w:val="center"/>
            <w:hideMark/>
          </w:tcPr>
          <w:p w:rsidRDefault="009C7524" w:rsidR="009C7524">
            <w:pPr>
              <w:spacing w:lineRule="auto" w:line="276" w:after="0"/>
              <w:rPr>
                <w:rFonts w:cs="Times New Roman"/>
                <w:sz w:val="22"/>
                <w:szCs w:val="22"/>
              </w:rPr>
            </w:pPr>
          </w:p>
        </w:tc>
      </w:tr>
      <w:tr w:rsidTr="009C7524" w:rsidR="009C7524">
        <w:trPr>
          <w:trHeight w:val="416"/>
        </w:trPr>
        <w:tc>
          <w:tcPr>
            <w:tcW w:type="dxa" w:w="9231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/>
              </w:rPr>
              <w:lastRenderedPageBreak/>
              <w:t>Obveznik: 22535621645; VRTINVEST D.O.O.</w:t>
            </w:r>
          </w:p>
        </w:tc>
      </w:tr>
      <w:tr w:rsidTr="009C7524" w:rsidR="009C7524">
        <w:trPr>
          <w:trHeight w:val="51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000000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665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type="dxa" w:w="774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bilješke</w:t>
            </w:r>
          </w:p>
        </w:tc>
        <w:tc>
          <w:tcPr>
            <w:tcW w:type="dxa" w:w="1263"/>
            <w:tcBorders>
              <w:top w:val="nil"/>
              <w:left w:val="nil"/>
              <w:bottom w:space="0" w:sz="8" w:color="C0C0C0" w:val="single"/>
              <w:right w:val="nil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dxa" w:w="1263"/>
            <w:tcBorders>
              <w:top w:val="nil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auto" w:val="clear"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Tr="009C7524" w:rsidR="009C7524">
        <w:trPr>
          <w:trHeight w:val="292"/>
        </w:trPr>
        <w:tc>
          <w:tcPr>
            <w:tcW w:type="dxa" w:w="9231"/>
            <w:gridSpan w:val="1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auto" w:val="clear"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name="RANGE!A9" w:id="23"/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23"/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bookmarkStart w:name="RANGE!K10" w:id="24"/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  <w:bookmarkEnd w:id="24"/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B)  DUGOTRAJNA IMOVINA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(003+010+020+029+033)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6.902.764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6.797.024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NEMATERIJALNA IMOVINA (004 do 009)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Izdaci za razvoj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Predujmovi za nabavu nematerijalne imovine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Nematerijalna imovina u pripremi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Ostala nematerijalna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MATERIJALNA IMOVINA (011 do 019)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16.643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14.794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6.620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5.885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10.023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8.909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DUGOTRAJNA FINANCIJSKA IMOVINA (021 do 028)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5.813.521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5.709.630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5.487.361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5.383.470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Sudjelujući interesi (udjeli)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326.160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326.160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Zajmovi dani poduzetnicima u kojima postoje sudjelujući interesi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vrijednosne papire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Ostala dugotrajna financijska imovina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 Ulaganja koja se obračunavaju metodom udjela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POTRAŽIVANJA (030 do 032)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1.072.600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1.072.600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Potraživanja od povezanih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1.072.600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1.072.600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Potraživanja po osnovi prodaje na kredit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Ostala potraživanja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C)  KRATKOTRAJNA IMOVINA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(035+043+050+058)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394.829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346.958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ZALIHE (036 do 042)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Sirovine i materijal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Proizvodnja u tijeku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Gotovi proizvodi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Trgovačka roba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Predujmovi za zalihe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6. Dugotrajna imovina namijenjena prodaji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7. Biološka imovina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POTRAŽIVANJA (044 do 049)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146.417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148.284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1. Potraživanja od povezanih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124.266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124.266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2. Potraživanja od kupaca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3. Potraživanja od sudjelujućih poduzetnika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4. Potraživanja od zaposlenika i članova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5. Potraživanja od države i drugih institucija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22.151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24.018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6. Ostala potraživanja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KRATKOTRAJNA FINANCIJSKA IMOVINA (051 do 057)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198.412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198.412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Udjeli (dionice) kod povezanih poduzetnika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Dani zajmovi povezanim poduzetnicima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Sudjelujući interesi (udjeli)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Zajmovi dani poduzetnicima u kojima postoje sudjelujući interesi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Ulaganja u vrijednosne papire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Dani zajmovi, depoziti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198.412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198.412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Ostala financijska imovina 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50.000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262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D)  PLAĆENI TROŠKOVI BUDUĆEG RAZDOBLJA I OBRAČUNATI PRIHODI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E)  UKUPNO AKTIVA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(001+002+034+059)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7.297.593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7.143.982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type="dxa" w:w="66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type="dxa" w:w="77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9231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auto" w:val="clear"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A)  KAPITAL I REZERVE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(063+064+065+071+072+075+078)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2.105.831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2.092.951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20.000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20.000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750.820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750.820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III. REZERVE IZ DOBITI (066+067-068+069+070)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1.329.997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1.335.011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1.329.997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1.335.011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 Vlastite dionice i udjeli (</w:t>
            </w:r>
            <w:proofErr w:type="spellStart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odbitna</w:t>
            </w:r>
            <w:proofErr w:type="spellEnd"/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V. ZADRŽANA DOBIT ILI PRENESENI GUBITAK (073-074)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VI. DOBIT ILI GUBITAK POSLOVNE GODINE (076-077)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-12.880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5.014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12.880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/>
              </w:rPr>
              <w:t>VII. MANJINSKI INTERES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B)  REZERVIRANJA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(080 do 082)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Druga rezerviranja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C)  DUGOROČNE OBVEZE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(084 do 092)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5.040.472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4.904.589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povezanim poduzetnicima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113.989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121.469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lastRenderedPageBreak/>
              <w:t xml:space="preserve">     2. Obveze za zajmove, depozite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4.926.483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4.783.120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predujmove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prema dobavljačima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po vrijednosnim papirima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prema poduzetnicima u kojima postoje sudjelujući interesi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Ostale dugoročne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Odgođena porezna obveza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D)  KRATKOROČNE OBVEZE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(094 do 105)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151.290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146.443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1. Obveze prema povezanim poduzetnicima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50.319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54.069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2. Obveze za zajmove, depozite i slično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4. Obveze za predujmove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5. Obveze prema dobavljačima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4.870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6. Obveze po vrijednosnim papirima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7. Obveze prema poduzetnicima u kojima postoje sudjelujući interesi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8. Obveze prema zaposlenicima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  9. Obveze za poreze, doprinose i slična davanja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250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10. Obveze s osnove udjela u rezultatu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11. Obveze po osnovi dugotrajne imovine namijenjene prodaji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 12. Ostale kratkoročne obveze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99.930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87.254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E) ODGOĐENO PLAĆANJE TROŠKOVA I PRIHOD BUDUĆEGA RAZDOBLJA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 xml:space="preserve">F) UKUPNO – PASIVA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(062+079+083+093+106)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7.297.593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9C7524" w:rsidR="009C7524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7.143.983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type="dxa" w:w="66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9231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auto" w:val="clear"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DODATAK BILANCI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(popunjava poduzetnik koji sastavlja konsolidirani godišnji financijski izvještaj)</w:t>
            </w:r>
          </w:p>
        </w:tc>
      </w:tr>
      <w:tr w:rsidTr="009C7524" w:rsidR="009C7524">
        <w:trPr>
          <w:trHeight w:val="292"/>
        </w:trPr>
        <w:tc>
          <w:tcPr>
            <w:tcW w:type="dxa" w:w="9231"/>
            <w:gridSpan w:val="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A) KAPITAL I REZERVE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1. Pripisano imateljima kapitala matice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9C7524" w:rsidR="009C7524">
        <w:trPr>
          <w:trHeight w:val="292"/>
        </w:trPr>
        <w:tc>
          <w:tcPr>
            <w:tcW w:type="dxa" w:w="526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/>
              </w:rPr>
              <w:t>2. Pripisano manjinskom interesu</w:t>
            </w:r>
          </w:p>
        </w:tc>
        <w:tc>
          <w:tcPr>
            <w:tcW w:type="dxa" w:w="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type="dxa" w:w="77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C7524" w:rsidR="009C7524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Bilanca prikazuje stanje društva u 2015. godini i na datum 30.06.2016. godine i to kroz materijalnu imovinu, obveze (dugovanje) i kapital. Društvo je na dan 30.06.2016. je blokirano od strane Porezne uprave za porezni dug s osnove obveze plaćanja PDV-a, Nakon toga reagirao je i kreditor VRT-a Erste&amp;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te blokirao osim VRT-a i sve sudužnike po svim kreditnim obvezama. Jedan od tih sudužnika je i VRTINVEST d.o.o.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2"/>
        <w:keepLines/>
        <w:numPr>
          <w:ilvl w:val="0"/>
          <w:numId w:val="44"/>
        </w:numPr>
        <w:spacing w:lineRule="auto" w:line="360" w:after="200" w:before="240"/>
        <w:jc w:val="left"/>
        <w:rPr>
          <w:rFonts w:cs="Times New Roman"/>
          <w:sz w:val="24"/>
          <w:szCs w:val="24"/>
        </w:rPr>
      </w:pPr>
      <w:bookmarkStart w:name="_Toc458593658" w:id="25"/>
      <w:bookmarkStart w:name="_Toc432416055" w:id="26"/>
      <w:bookmarkStart w:name="_Toc430627153" w:id="27"/>
      <w:r>
        <w:rPr>
          <w:rFonts w:cs="Times New Roman"/>
          <w:sz w:val="24"/>
          <w:szCs w:val="24"/>
        </w:rPr>
        <w:t xml:space="preserve">Opis činjenica iz kojih proizlazi postojanje uvjeta za otvaranje postupaka </w:t>
      </w:r>
      <w:proofErr w:type="spellStart"/>
      <w:r>
        <w:rPr>
          <w:rFonts w:cs="Times New Roman"/>
          <w:sz w:val="24"/>
          <w:szCs w:val="24"/>
        </w:rPr>
        <w:t>predstečajne</w:t>
      </w:r>
      <w:proofErr w:type="spellEnd"/>
      <w:r>
        <w:rPr>
          <w:rFonts w:cs="Times New Roman"/>
          <w:sz w:val="24"/>
          <w:szCs w:val="24"/>
        </w:rPr>
        <w:t xml:space="preserve"> nagodbe</w:t>
      </w:r>
      <w:bookmarkEnd w:id="25"/>
      <w:bookmarkEnd w:id="26"/>
      <w:bookmarkEnd w:id="27"/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Sukladno čl. 18. Zakona o financijskom poslovanju i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nagodbi, u uvjetima nastupa nelikvidnosti i insolventnosti koje se ogleda u nemogućnosti da društvo poduzetim mjerama financijskog restrukturiranja izvan postupaka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samo uspostavi stanje likvidnosti i solventnosti, društvo VRTINVEST d.o.o., Matice Hrvatske 4/I, Bjelovar OIB: 68416812428 pokreće postupak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nagodbe.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Činjenice i okolnosti iz kojih proizlazi postojanje uvjeta za otvaranje postupka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dani su u nastavku.</w:t>
      </w:r>
    </w:p>
    <w:p w:rsidRDefault="009C7524" w:rsidP="009C7524" w:rsidR="009C7524">
      <w:pPr>
        <w:spacing w:lineRule="auto" w:line="360"/>
        <w:ind w:left="360"/>
        <w:jc w:val="both"/>
        <w:rPr>
          <w:rFonts w:cs="Times New Roman"/>
        </w:rPr>
      </w:pPr>
      <w:r>
        <w:rPr>
          <w:rFonts w:cs="Times New Roman"/>
        </w:rPr>
        <w:t>.</w:t>
      </w:r>
    </w:p>
    <w:p w:rsidRDefault="009C7524" w:rsidP="009C7524" w:rsidR="009C7524">
      <w:pPr>
        <w:pStyle w:val="Odlomakpopisa"/>
        <w:numPr>
          <w:ilvl w:val="0"/>
          <w:numId w:val="47"/>
        </w:numPr>
        <w:spacing w:lineRule="auto" w:line="360" w:after="200"/>
        <w:contextualSpacing/>
        <w:rPr>
          <w:rFonts w:cs="Times New Roman"/>
        </w:rPr>
      </w:pPr>
      <w:r>
        <w:rPr>
          <w:rFonts w:cs="Times New Roman"/>
        </w:rPr>
        <w:t>Blokada žiro-računa</w:t>
      </w:r>
    </w:p>
    <w:p w:rsidRDefault="009C7524" w:rsidP="009C7524" w:rsidR="009C7524">
      <w:pPr>
        <w:spacing w:lineRule="auto" w:line="360"/>
        <w:ind w:left="360"/>
        <w:jc w:val="both"/>
        <w:rPr>
          <w:rFonts w:cs="Times New Roman"/>
        </w:rPr>
      </w:pPr>
      <w:r>
        <w:rPr>
          <w:rFonts w:cs="Times New Roman"/>
        </w:rPr>
        <w:t>VRTINVEST d.o.o. vlasnik je društva VRT d.o.o. koje je s osnove neplaćene obveze PDV-a blokirala Porezna uprava. Nakon toga reagirao je i kreditor VRT-a Erste&amp;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te blokirao osim VRT-a i sve sudužnike po svim kreditnim obvezama. Jedan od tih sudužnika je i VRTINVEST d.o.o.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1"/>
        <w:spacing w:lineRule="auto" w:line="360"/>
        <w:rPr>
          <w:rFonts w:cs="Times New Roman"/>
          <w:sz w:val="24"/>
          <w:szCs w:val="24"/>
        </w:rPr>
      </w:pPr>
      <w:bookmarkStart w:name="_Toc458593659" w:id="28"/>
      <w:bookmarkStart w:name="_Toc432416056" w:id="29"/>
      <w:bookmarkStart w:name="_Toc430627154" w:id="30"/>
      <w:r>
        <w:rPr>
          <w:rFonts w:cs="Times New Roman"/>
          <w:sz w:val="24"/>
          <w:szCs w:val="24"/>
        </w:rPr>
        <w:t>2. IZRAČUN MANJKA LIKVIDNIH SREDSTAVA NA DAN PRILOŽENIH FINANCIJSKIH IZVJEŠTAJA</w:t>
      </w:r>
      <w:bookmarkEnd w:id="28"/>
      <w:bookmarkEnd w:id="29"/>
      <w:bookmarkEnd w:id="30"/>
      <w:r>
        <w:rPr>
          <w:rFonts w:cs="Times New Roman"/>
          <w:sz w:val="24"/>
          <w:szCs w:val="24"/>
        </w:rPr>
        <w:br/>
      </w:r>
    </w:p>
    <w:tbl>
      <w:tblPr>
        <w:tblW w:type="dxa" w:w="8915"/>
        <w:tblInd w:type="dxa" w:w="93"/>
        <w:tblLook w:val="04A0" w:noVBand="1" w:noHBand="0" w:lastColumn="0" w:firstColumn="1" w:lastRow="0" w:firstRow="1"/>
      </w:tblPr>
      <w:tblGrid>
        <w:gridCol w:w="1115"/>
        <w:gridCol w:w="4081"/>
        <w:gridCol w:w="3719"/>
      </w:tblGrid>
      <w:tr w:rsidTr="009C7524" w:rsidR="009C7524">
        <w:trPr>
          <w:trHeight w:val="631"/>
        </w:trPr>
        <w:tc>
          <w:tcPr>
            <w:tcW w:type="dxa" w:w="1115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themeFillTint="66" w:themeFill="accent3" w:fill="D6E3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Redni broj</w:t>
            </w:r>
          </w:p>
        </w:tc>
        <w:tc>
          <w:tcPr>
            <w:tcW w:type="dxa" w:w="4081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themeFillTint="66" w:themeFill="accent3" w:fill="D6E3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Pozicija</w:t>
            </w:r>
          </w:p>
        </w:tc>
        <w:tc>
          <w:tcPr>
            <w:tcW w:type="dxa" w:w="3719"/>
            <w:tcBorders>
              <w:top w:space="0" w:sz="8" w:color="000000" w:val="single"/>
              <w:left w:val="nil"/>
              <w:bottom w:val="nil"/>
              <w:right w:space="0" w:sz="8" w:color="000000" w:val="single"/>
            </w:tcBorders>
            <w:shd w:themeFillTint="66" w:themeFill="accent3" w:fill="D6E3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30.06.2016.</w:t>
            </w:r>
          </w:p>
        </w:tc>
      </w:tr>
      <w:tr w:rsidTr="009C7524" w:rsidR="009C7524">
        <w:trPr>
          <w:trHeight w:val="646"/>
        </w:trPr>
        <w:tc>
          <w:tcPr>
            <w:tcW w:type="auto" w:w="0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shd w:themeFillTint="66" w:themeFill="accent3" w:fill="D6E3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(iznosi u kn)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Zalihe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Potraživanja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146.417,00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3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Kratkotrajna financijska imovina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50.000,00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4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Novac u banci i blagajni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198.412,00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I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UKUPNO LIKVIDNA IMOVINA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394.829,00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1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povezanim poduzetnicima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50.319,00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3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 xml:space="preserve">Obveze prema bankama i drugim financijskim </w:t>
            </w:r>
            <w:proofErr w:type="spellStart"/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institutcijama</w:t>
            </w:r>
            <w:proofErr w:type="spellEnd"/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4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za predujmove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5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dobavljačima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750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6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 xml:space="preserve">Obveze prema poduzetnicima u kojim </w:t>
            </w:r>
            <w:proofErr w:type="spellStart"/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apostoje</w:t>
            </w:r>
            <w:proofErr w:type="spellEnd"/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 xml:space="preserve"> sudjelujući interesi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7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prema zaposlenicima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8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Obveze za poreze, doprinose i slična davanja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291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9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Ostale kratkoročne obveze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i/>
                <w:iCs/>
                <w:color w:val="000000"/>
                <w:lang w:eastAsia="hr-HR"/>
              </w:rPr>
              <w:t>99.930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II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KRATKOROČNE OBVEZE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151.290</w:t>
            </w:r>
          </w:p>
        </w:tc>
      </w:tr>
      <w:tr w:rsidTr="009C7524" w:rsidR="009C7524">
        <w:trPr>
          <w:trHeight w:val="20"/>
        </w:trPr>
        <w:tc>
          <w:tcPr>
            <w:tcW w:type="dxa" w:w="1115"/>
            <w:tcBorders>
              <w:top w:val="nil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lastRenderedPageBreak/>
              <w:t>III</w:t>
            </w:r>
          </w:p>
        </w:tc>
        <w:tc>
          <w:tcPr>
            <w:tcW w:type="dxa" w:w="4081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VIŠAK LIKVIDNIH SREDSTAVA (I-II)</w:t>
            </w:r>
          </w:p>
        </w:tc>
        <w:tc>
          <w:tcPr>
            <w:tcW w:type="dxa" w:w="3719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i/>
                <w:iCs/>
                <w:color w:val="000000"/>
                <w:lang w:eastAsia="hr-HR"/>
              </w:rPr>
              <w:t>243.539</w:t>
            </w:r>
          </w:p>
        </w:tc>
      </w:tr>
    </w:tbl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>Društvo je na dan 30.06.2015. godine iskazalo višak likvidnih sredstava u iznosu 243.539 kn a isti je iskazan kao razlika likvidne imovine i dospjelih obveza. Iznos prikazuje da je društvo  likvidno, a poduzeće je dugoročno insolventno pošto je blokirana od strane Porezne uprave jer nije bila u mogućnosti podmirivati svoje dospjele obveze. Nakon toga reagirao je i kreditor VRT-a Erste&amp;</w:t>
      </w:r>
      <w:proofErr w:type="spellStart"/>
      <w:r>
        <w:rPr>
          <w:rFonts w:cs="Times New Roman"/>
        </w:rPr>
        <w:t>Steiermarkische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te blokirao osim VRT-a i sve sudužnike po svim kreditnim obvezama. Jedan od tih sudužnika je i VRTINVEST d.o.o.</w:t>
      </w:r>
    </w:p>
    <w:p w:rsidRDefault="009C7524" w:rsidP="009C7524" w:rsidR="009C7524">
      <w:pPr>
        <w:spacing w:lineRule="auto" w:line="360" w:after="0"/>
        <w:rPr>
          <w:rFonts w:cs="Times New Roman"/>
        </w:rPr>
        <w:sectPr w:rsidR="009C7524">
          <w:type w:val="continuous"/>
          <w:pgSz w:h="16838" w:w="11906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spacing w:lineRule="auto" w:line="360"/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60" w:id="31"/>
      <w:bookmarkStart w:name="_Toc432416057" w:id="32"/>
      <w:bookmarkStart w:name="_Toc430627155" w:id="33"/>
      <w:r>
        <w:rPr>
          <w:rFonts w:cs="Times New Roman"/>
          <w:sz w:val="24"/>
          <w:szCs w:val="24"/>
        </w:rPr>
        <w:t>3. OPIS MJERA FINANCIJSKOG RESTRUKTURIRANJA</w:t>
      </w:r>
      <w:bookmarkEnd w:id="31"/>
      <w:bookmarkEnd w:id="32"/>
      <w:bookmarkEnd w:id="33"/>
      <w:r>
        <w:rPr>
          <w:rFonts w:cs="Times New Roman"/>
          <w:sz w:val="24"/>
          <w:szCs w:val="24"/>
        </w:rPr>
        <w:br/>
      </w: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Obveze društva na dan 30.06.2016. godine po grupama vjerovnika prikazane su u nastavku (iznosi u kn):</w:t>
      </w:r>
    </w:p>
    <w:tbl>
      <w:tblPr>
        <w:tblW w:type="dxa" w:w="13597"/>
        <w:tblInd w:type="dxa" w:w="93"/>
        <w:tblLook w:val="04A0" w:noVBand="1" w:noHBand="0" w:lastColumn="0" w:firstColumn="1" w:lastRow="0" w:firstRow="1"/>
      </w:tblPr>
      <w:tblGrid>
        <w:gridCol w:w="1028"/>
        <w:gridCol w:w="6791"/>
        <w:gridCol w:w="2873"/>
        <w:gridCol w:w="2905"/>
      </w:tblGrid>
      <w:tr w:rsidTr="009C7524" w:rsidR="009C7524">
        <w:trPr>
          <w:trHeight w:val="680"/>
        </w:trPr>
        <w:tc>
          <w:tcPr>
            <w:tcW w:type="dxa" w:w="10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RB</w:t>
            </w:r>
          </w:p>
        </w:tc>
        <w:tc>
          <w:tcPr>
            <w:tcW w:type="dxa" w:w="67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>
              <w:rPr>
                <w:rFonts w:cs="Times New Roman" w:eastAsia="Times New Roman"/>
                <w:b/>
                <w:bCs/>
                <w:lang w:eastAsia="hr-HR"/>
              </w:rPr>
              <w:t>OPIS</w:t>
            </w:r>
          </w:p>
        </w:tc>
        <w:tc>
          <w:tcPr>
            <w:tcW w:type="dxa" w:w="28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>
              <w:rPr>
                <w:rFonts w:cs="Times New Roman" w:eastAsia="Times New Roman"/>
                <w:b/>
                <w:bCs/>
                <w:lang w:eastAsia="hr-HR"/>
              </w:rPr>
              <w:t>UKUPNE OBVEZE</w:t>
            </w:r>
          </w:p>
        </w:tc>
        <w:tc>
          <w:tcPr>
            <w:tcW w:type="dxa" w:w="29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>
              <w:rPr>
                <w:rFonts w:cs="Times New Roman" w:eastAsia="Times New Roman"/>
                <w:b/>
                <w:bCs/>
                <w:lang w:eastAsia="hr-HR"/>
              </w:rPr>
              <w:t>%</w:t>
            </w:r>
          </w:p>
        </w:tc>
      </w:tr>
      <w:tr w:rsidTr="009C7524" w:rsidR="009C7524">
        <w:trPr>
          <w:trHeight w:val="680"/>
        </w:trPr>
        <w:tc>
          <w:tcPr>
            <w:tcW w:type="dxa" w:w="10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6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Javna uprava i trgovačka društva u većinskom vlasništvu RH</w:t>
            </w:r>
          </w:p>
        </w:tc>
        <w:tc>
          <w:tcPr>
            <w:tcW w:type="dxa" w:w="28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250,00</w:t>
            </w:r>
          </w:p>
        </w:tc>
        <w:tc>
          <w:tcPr>
            <w:tcW w:type="dxa" w:w="29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0,00%</w:t>
            </w:r>
          </w:p>
        </w:tc>
      </w:tr>
      <w:tr w:rsidTr="009C7524" w:rsidR="009C7524">
        <w:trPr>
          <w:trHeight w:val="348"/>
        </w:trPr>
        <w:tc>
          <w:tcPr>
            <w:tcW w:type="dxa" w:w="10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6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Financijske institucije</w:t>
            </w:r>
          </w:p>
        </w:tc>
        <w:tc>
          <w:tcPr>
            <w:tcW w:type="dxa" w:w="28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262,08</w:t>
            </w:r>
          </w:p>
        </w:tc>
        <w:tc>
          <w:tcPr>
            <w:tcW w:type="dxa" w:w="29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0,01%</w:t>
            </w:r>
          </w:p>
        </w:tc>
      </w:tr>
      <w:tr w:rsidTr="009C7524" w:rsidR="009C7524">
        <w:trPr>
          <w:trHeight w:val="348"/>
        </w:trPr>
        <w:tc>
          <w:tcPr>
            <w:tcW w:type="dxa" w:w="10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6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vjerovnici</w:t>
            </w:r>
          </w:p>
        </w:tc>
        <w:tc>
          <w:tcPr>
            <w:tcW w:type="dxa" w:w="28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5.050.519,57</w:t>
            </w:r>
          </w:p>
        </w:tc>
        <w:tc>
          <w:tcPr>
            <w:tcW w:type="dxa" w:w="29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99,</w:t>
            </w:r>
            <w:proofErr w:type="spellStart"/>
            <w:r>
              <w:rPr>
                <w:rFonts w:cs="Times New Roman" w:eastAsia="Times New Roman"/>
                <w:color w:val="000000"/>
                <w:lang w:eastAsia="hr-HR"/>
              </w:rPr>
              <w:t>99</w:t>
            </w:r>
            <w:proofErr w:type="spellEnd"/>
            <w:r>
              <w:rPr>
                <w:rFonts w:cs="Times New Roman" w:eastAsia="Times New Roman"/>
                <w:color w:val="000000"/>
                <w:lang w:eastAsia="hr-HR"/>
              </w:rPr>
              <w:t>%</w:t>
            </w:r>
          </w:p>
        </w:tc>
      </w:tr>
      <w:tr w:rsidTr="009C7524" w:rsidR="009C7524">
        <w:trPr>
          <w:trHeight w:val="348"/>
        </w:trPr>
        <w:tc>
          <w:tcPr>
            <w:tcW w:type="dxa" w:w="10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6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Zaposlenici</w:t>
            </w:r>
          </w:p>
        </w:tc>
        <w:tc>
          <w:tcPr>
            <w:tcW w:type="dxa" w:w="28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29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0,00%</w:t>
            </w:r>
          </w:p>
        </w:tc>
      </w:tr>
      <w:tr w:rsidTr="009C7524" w:rsidR="009C7524">
        <w:trPr>
          <w:trHeight w:val="348"/>
        </w:trPr>
        <w:tc>
          <w:tcPr>
            <w:tcW w:type="dxa" w:w="10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67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UKUPNO</w:t>
            </w:r>
          </w:p>
        </w:tc>
        <w:tc>
          <w:tcPr>
            <w:tcW w:type="dxa" w:w="28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5.051.031,65</w:t>
            </w:r>
          </w:p>
        </w:tc>
        <w:tc>
          <w:tcPr>
            <w:tcW w:type="dxa" w:w="29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100,00%</w:t>
            </w:r>
          </w:p>
        </w:tc>
      </w:tr>
    </w:tbl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>U svrhu restrukturiranja poslovanja tvrtke potrebno je poduzeti sljedeće mjere:</w:t>
      </w:r>
    </w:p>
    <w:p w:rsidRDefault="009C7524" w:rsidP="009C7524" w:rsidR="009C7524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-46"/>
        <w:jc w:val="both"/>
        <w:rPr>
          <w:rFonts w:cs="Times New Roman"/>
          <w:i/>
        </w:rPr>
      </w:pPr>
      <w:r>
        <w:rPr>
          <w:rFonts w:cs="Times New Roman"/>
          <w:b/>
          <w:i/>
          <w:u w:val="single"/>
        </w:rPr>
        <w:t xml:space="preserve">Za prvu grupu vjerovnika: 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Dug prema Javnoj upravi i trgovačkim društvima u većinskom vlasništvu RH na dan 30.06.2016. godine iznosi </w:t>
      </w:r>
      <w:r>
        <w:rPr>
          <w:rFonts w:cs="Times New Roman" w:eastAsia="Times New Roman"/>
          <w:color w:val="000000"/>
          <w:lang w:eastAsia="hr-HR"/>
        </w:rPr>
        <w:t>250,00</w:t>
      </w:r>
      <w:r>
        <w:rPr>
          <w:rFonts w:cs="Times New Roman"/>
        </w:rPr>
        <w:t xml:space="preserve"> kn. Kod Ministarstva financija i drugih tijela javne uprave i trgovačkih društava u većinskom državnom vlasništvu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 Prioritetne tražbine prema državi će se izuzeti iz nagodbe i one će se prioritetno podmiriti.</w:t>
      </w:r>
    </w:p>
    <w:tbl>
      <w:tblPr>
        <w:tblW w:type="dxa" w:w="14187"/>
        <w:tblInd w:type="dxa" w:w="93"/>
        <w:tblLook w:val="04A0" w:noVBand="1" w:noHBand="0" w:lastColumn="0" w:firstColumn="1" w:lastRow="0" w:firstRow="1"/>
      </w:tblPr>
      <w:tblGrid>
        <w:gridCol w:w="639"/>
        <w:gridCol w:w="3118"/>
        <w:gridCol w:w="1316"/>
        <w:gridCol w:w="3071"/>
        <w:gridCol w:w="885"/>
        <w:gridCol w:w="935"/>
        <w:gridCol w:w="1506"/>
        <w:gridCol w:w="1506"/>
        <w:gridCol w:w="1317"/>
      </w:tblGrid>
      <w:tr w:rsidTr="009C7524" w:rsidR="009C7524">
        <w:trPr>
          <w:trHeight w:val="7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0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3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43000 Bjelovar, dr. A. Starčevića 8</w:t>
            </w:r>
          </w:p>
        </w:tc>
        <w:tc>
          <w:tcPr>
            <w:tcW w:type="dxa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175,00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75,00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1,25</w:t>
            </w:r>
          </w:p>
        </w:tc>
      </w:tr>
    </w:tbl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Za drugu grupu vjerovnika: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Dug prema financijskim institucijama na dan 30.06.2016.. godine iznosi </w:t>
      </w:r>
      <w:r>
        <w:rPr>
          <w:rFonts w:cs="Times New Roman" w:eastAsia="Times New Roman"/>
          <w:color w:val="000000"/>
          <w:lang w:eastAsia="hr-HR"/>
        </w:rPr>
        <w:t xml:space="preserve">262,08 </w:t>
      </w:r>
      <w:r>
        <w:rPr>
          <w:rFonts w:cs="Times New Roman"/>
        </w:rPr>
        <w:t xml:space="preserve">kn.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 </w:t>
      </w:r>
    </w:p>
    <w:tbl>
      <w:tblPr>
        <w:tblW w:type="dxa" w:w="14167"/>
        <w:tblInd w:type="dxa" w:w="93"/>
        <w:tblLook w:val="04A0" w:noVBand="1" w:noHBand="0" w:lastColumn="0" w:firstColumn="1" w:lastRow="0" w:firstRow="1"/>
      </w:tblPr>
      <w:tblGrid>
        <w:gridCol w:w="639"/>
        <w:gridCol w:w="3855"/>
        <w:gridCol w:w="1555"/>
        <w:gridCol w:w="2187"/>
        <w:gridCol w:w="885"/>
        <w:gridCol w:w="935"/>
        <w:gridCol w:w="1506"/>
        <w:gridCol w:w="1506"/>
        <w:gridCol w:w="1317"/>
      </w:tblGrid>
      <w:tr w:rsidTr="009C7524" w:rsidR="009C7524">
        <w:trPr>
          <w:trHeight w:val="52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1.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ERSTE&amp;STEIERMÄRKISCHE BANK d. d.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23057039320</w:t>
            </w:r>
          </w:p>
        </w:tc>
        <w:tc>
          <w:tcPr>
            <w:tcW w:type="dxa" w:w="2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Jadranski Trg 3/a, Rijeka</w:t>
            </w:r>
          </w:p>
        </w:tc>
        <w:tc>
          <w:tcPr>
            <w:tcW w:type="dxa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262,08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183,46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78,62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1,31</w:t>
            </w:r>
          </w:p>
        </w:tc>
      </w:tr>
    </w:tbl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 xml:space="preserve">Za treću grupu vjerovnika: </w:t>
      </w: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1.  Obveze prema dobavljačima i ostalim vjerovnicima</w:t>
      </w:r>
      <w:r>
        <w:rPr>
          <w:rFonts w:cs="Times New Roman"/>
          <w:i/>
        </w:rPr>
        <w:t xml:space="preserve"> : </w:t>
      </w:r>
    </w:p>
    <w:p w:rsidRDefault="009C7524" w:rsidP="009C7524" w:rsidR="009C7524">
      <w:pPr>
        <w:pStyle w:val="Standard"/>
        <w:autoSpaceDE w:val="false"/>
        <w:spacing w:lineRule="auto" w:line="360"/>
        <w:rPr>
          <w:rFonts w:cs="Times New Roman"/>
        </w:rPr>
      </w:pPr>
      <w:r>
        <w:rPr>
          <w:rFonts w:cs="Times New Roman"/>
        </w:rPr>
        <w:t xml:space="preserve">Dug prema dobavljačima i ostalim vjerovnicima na dan 30.06.2016. godine iznosi 5.050.519,57 </w:t>
      </w:r>
      <w:r>
        <w:rPr>
          <w:rFonts w:cs="Times New Roman"/>
          <w:color w:val="000000"/>
        </w:rPr>
        <w:t>kn</w:t>
      </w:r>
      <w:r>
        <w:rPr>
          <w:rFonts w:cs="Times New Roman"/>
        </w:rPr>
        <w:t xml:space="preserve">.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</w:t>
      </w:r>
    </w:p>
    <w:tbl>
      <w:tblPr>
        <w:tblW w:type="dxa" w:w="14048"/>
        <w:tblInd w:type="dxa" w:w="93"/>
        <w:tblLook w:val="04A0" w:noVBand="1" w:noHBand="0" w:lastColumn="0" w:firstColumn="1" w:lastRow="0" w:firstRow="1"/>
      </w:tblPr>
      <w:tblGrid>
        <w:gridCol w:w="635"/>
        <w:gridCol w:w="2860"/>
        <w:gridCol w:w="1543"/>
        <w:gridCol w:w="1968"/>
        <w:gridCol w:w="1300"/>
        <w:gridCol w:w="942"/>
        <w:gridCol w:w="1727"/>
        <w:gridCol w:w="1689"/>
        <w:gridCol w:w="1463"/>
      </w:tblGrid>
      <w:tr w:rsidTr="009C7524" w:rsidR="009C7524">
        <w:trPr>
          <w:trHeight w:val="7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name="_GoBack" w:id="34"/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8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bookmarkEnd w:id="34"/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JAVNI BILJEŽNIK MARIJA KUSTIĆ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26027300253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43 000 Bjelovar, Dr. Ante Starčevića 5b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3.857,50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2.700,25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1.157,25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19,29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LIDER d.o.o. 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87335161400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43 000 Bjelovar, Tome Bakača 6/A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750,00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525,00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3,75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VRT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68416812428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43 000 Bjelovar, Matice Hrvatske 4/I 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141.322,66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98.925,86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42.396,80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706,61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145.930,16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2.Obveze po pozajmicama: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Kod obveza po pozajmicama isplata duga: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</w:t>
      </w:r>
    </w:p>
    <w:tbl>
      <w:tblPr>
        <w:tblpPr w:tblpY="350" w:horzAnchor="margin" w:rightFromText="180" w:leftFromText="180"/>
        <w:tblW w:type="dxa" w:w="14127"/>
        <w:tblLook w:val="04A0" w:noVBand="1" w:noHBand="0" w:lastColumn="0" w:firstColumn="1" w:lastRow="0" w:firstRow="1"/>
      </w:tblPr>
      <w:tblGrid>
        <w:gridCol w:w="639"/>
        <w:gridCol w:w="2196"/>
        <w:gridCol w:w="1316"/>
        <w:gridCol w:w="3039"/>
        <w:gridCol w:w="1492"/>
        <w:gridCol w:w="954"/>
        <w:gridCol w:w="1506"/>
        <w:gridCol w:w="1708"/>
        <w:gridCol w:w="1317"/>
      </w:tblGrid>
      <w:tr w:rsidTr="009C7524" w:rsidR="009C7524">
        <w:trPr>
          <w:trHeight w:val="780"/>
        </w:trPr>
        <w:tc>
          <w:tcPr>
            <w:tcW w:type="dxa" w:w="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1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0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Domagoj Belošević</w:t>
            </w:r>
          </w:p>
        </w:tc>
        <w:tc>
          <w:tcPr>
            <w:tcW w:type="dxa" w:w="1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44070294656</w:t>
            </w:r>
          </w:p>
        </w:tc>
        <w:tc>
          <w:tcPr>
            <w:tcW w:type="dxa" w:w="3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230.620,76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161.434,53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69.186,23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1.153,10</w:t>
            </w:r>
          </w:p>
        </w:tc>
      </w:tr>
      <w:tr w:rsidTr="009C7524" w:rsidR="009C7524">
        <w:trPr>
          <w:trHeight w:val="300"/>
        </w:trPr>
        <w:tc>
          <w:tcPr>
            <w:tcW w:type="dxa" w:w="6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56077015541</w:t>
            </w:r>
          </w:p>
        </w:tc>
        <w:tc>
          <w:tcPr>
            <w:tcW w:type="dxa" w:w="3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281.000,00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196.700,00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84.300,00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1.405,00</w:t>
            </w:r>
          </w:p>
        </w:tc>
      </w:tr>
      <w:tr w:rsidTr="009C7524" w:rsidR="009C7524">
        <w:trPr>
          <w:trHeight w:val="300"/>
        </w:trPr>
        <w:tc>
          <w:tcPr>
            <w:tcW w:type="dxa" w:w="6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17576035505</w:t>
            </w:r>
          </w:p>
        </w:tc>
        <w:tc>
          <w:tcPr>
            <w:tcW w:type="dxa" w:w="3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4.271.499,32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2.990.049,52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1.281.449,80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21.357,50</w:t>
            </w:r>
          </w:p>
        </w:tc>
      </w:tr>
      <w:tr w:rsidTr="009C7524" w:rsidR="009C7524">
        <w:trPr>
          <w:trHeight w:val="300"/>
        </w:trPr>
        <w:tc>
          <w:tcPr>
            <w:tcW w:type="dxa" w:w="6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RATARSTVO d.o.o.</w:t>
            </w:r>
          </w:p>
        </w:tc>
        <w:tc>
          <w:tcPr>
            <w:tcW w:type="dxa" w:w="1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39141474711</w:t>
            </w:r>
          </w:p>
        </w:tc>
        <w:tc>
          <w:tcPr>
            <w:tcW w:type="dxa" w:w="3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121.469,33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85.028,53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36.440,80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607,35</w:t>
            </w:r>
          </w:p>
        </w:tc>
      </w:tr>
      <w:tr w:rsidTr="009C7524" w:rsidR="009C7524">
        <w:trPr>
          <w:trHeight w:val="300"/>
        </w:trPr>
        <w:tc>
          <w:tcPr>
            <w:tcW w:type="dxa" w:w="63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4.904.589,41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P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9C7524" w:rsidP="009C7524" w:rsidR="009C7524">
      <w:pPr>
        <w:pStyle w:val="Standard"/>
        <w:autoSpaceDE w:val="false"/>
        <w:spacing w:lineRule="auto" w:line="360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rPr>
          <w:rFonts w:cs="Times New Roman" w:eastAsia="Calibri"/>
          <w:b/>
          <w:u w:val="single"/>
          <w:shd w:fill="FFFFFF" w:color="auto" w:val="clear"/>
        </w:rPr>
      </w:pPr>
      <w:r>
        <w:rPr>
          <w:rFonts w:cs="Times New Roman" w:eastAsia="Calibri"/>
          <w:b/>
          <w:u w:val="single"/>
          <w:shd w:fill="FFFFFF" w:color="auto" w:val="clear"/>
        </w:rPr>
        <w:t>Dug prema zaposlenicima nema.</w:t>
      </w:r>
    </w:p>
    <w:p w:rsidRDefault="009C7524" w:rsidP="009C7524" w:rsidR="009C7524">
      <w:pPr>
        <w:pStyle w:val="Standard"/>
        <w:autoSpaceDE w:val="false"/>
        <w:spacing w:lineRule="auto" w:line="360" w:after="200"/>
        <w:rPr>
          <w:rFonts w:cs="Times New Roman" w:eastAsia="Calibri"/>
          <w:shd w:fill="FFFFFF" w:color="auto" w:val="clear"/>
        </w:rPr>
      </w:pPr>
    </w:p>
    <w:p w:rsidRDefault="009C7524" w:rsidP="009C7524" w:rsidR="009C7524">
      <w:pPr>
        <w:pStyle w:val="Odlomakpopisa"/>
        <w:spacing w:lineRule="auto" w:line="360"/>
        <w:rPr>
          <w:rFonts w:eastAsiaTheme="minorHAnsi"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>U nastavku se nalazi grafički prikaz strukture ukupnog duga prema vjerovnicima.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eastAsiaTheme="minorHAnsi" w:hAnsiTheme="minorHAnsi" w:asciiTheme="minorHAnsi"/>
          <w:noProof/>
          <w:sz w:val="22"/>
          <w:szCs w:val="22"/>
        </w:rPr>
        <w:lastRenderedPageBreak/>
        <w:drawing>
          <wp:inline distR="0" distL="0" distB="0" distT="0">
            <wp:extent cy="3208020" cx="5496560"/>
            <wp:effectExtent b="11430" r="27940" t="0" l="0"/>
            <wp:docPr name="Grafikon 4" id="4"/>
            <wp:cNvGraphicFramePr/>
            <a:graphic>
              <a:graphicData uri="http://schemas.openxmlformats.org/drawingml/2006/chart">
                <c:chart r:id="rId29"/>
              </a:graphicData>
            </a:graphic>
          </wp:inline>
        </w:drawing>
      </w:r>
    </w:p>
    <w:p w:rsidRDefault="009C7524" w:rsidP="009C7524" w:rsidR="009C7524">
      <w:pPr>
        <w:pStyle w:val="Odlomakpopisa"/>
        <w:spacing w:lineRule="auto" w:line="360"/>
        <w:rPr>
          <w:rFonts w:cs="Times New Roman"/>
          <w:i/>
        </w:rPr>
      </w:pPr>
      <w:r>
        <w:rPr>
          <w:rFonts w:cs="Times New Roman"/>
          <w:i/>
        </w:rPr>
        <w:t>Grafički prikaz strukture ukupnog duga prema vjerovnicima</w:t>
      </w:r>
    </w:p>
    <w:p w:rsidRDefault="009C7524" w:rsidP="009C7524" w:rsidR="009C7524">
      <w:pPr>
        <w:spacing w:lineRule="auto" w:line="360" w:after="0"/>
        <w:rPr>
          <w:rFonts w:cs="Times New Roman"/>
          <w:i/>
        </w:rPr>
        <w:sectPr w:rsidR="009C7524">
          <w:pgSz w:orient="landscape" w:h="11906" w:w="16838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61" w:id="35"/>
      <w:bookmarkStart w:name="_Toc432416058" w:id="36"/>
      <w:bookmarkStart w:name="_Toc430627156" w:id="37"/>
      <w:r>
        <w:rPr>
          <w:rFonts w:cs="Times New Roman"/>
          <w:sz w:val="24"/>
          <w:szCs w:val="24"/>
        </w:rPr>
        <w:lastRenderedPageBreak/>
        <w:t>4. OPIS MJERA OPERATIVNOG RESTRUKTURIRANJA</w:t>
      </w:r>
      <w:bookmarkEnd w:id="35"/>
      <w:bookmarkEnd w:id="36"/>
      <w:bookmarkEnd w:id="37"/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br/>
        <w:t xml:space="preserve">Društvo je već započelo s nekim operativnim mjerama </w:t>
      </w:r>
      <w:proofErr w:type="spellStart"/>
      <w:r>
        <w:rPr>
          <w:rFonts w:cs="Times New Roman"/>
        </w:rPr>
        <w:t>Vrtinvest</w:t>
      </w:r>
      <w:proofErr w:type="spellEnd"/>
      <w:r>
        <w:rPr>
          <w:rFonts w:cs="Times New Roman"/>
        </w:rPr>
        <w:t xml:space="preserve"> d.o.o. je usko vezan uz poslovanje VRT-a d.o.o. gdje su plaće posljednjih 10 mjeseci svedene na zakonom propisani minimalni iznos plaće, a s obzirom da su se plaće krenule smanjivati od rujna 2014. godine veliki broj ljudi je sporazumno raskinuo radni odnos.</w:t>
      </w:r>
    </w:p>
    <w:p w:rsidRDefault="009C7524" w:rsidP="009C7524" w:rsidR="009C7524">
      <w:pPr>
        <w:spacing w:lineRule="auto" w:line="360"/>
        <w:rPr>
          <w:rFonts w:cs="Times New Roman"/>
        </w:rPr>
      </w:pPr>
      <w:r>
        <w:rPr>
          <w:rFonts w:cs="Times New Roman"/>
        </w:rPr>
        <w:t xml:space="preserve">Tako da će nakon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postupka nastaviti sa starim mjerama te uvesti neke nove mjere dane u nastavku:</w:t>
      </w:r>
    </w:p>
    <w:p w:rsidRDefault="009C7524" w:rsidP="009C7524" w:rsidR="009C7524">
      <w:pPr>
        <w:pStyle w:val="Odlomakpopisa"/>
        <w:numPr>
          <w:ilvl w:val="0"/>
          <w:numId w:val="48"/>
        </w:numPr>
        <w:spacing w:lineRule="auto" w:line="360" w:after="200"/>
        <w:contextualSpacing/>
        <w:jc w:val="left"/>
        <w:rPr>
          <w:rFonts w:cs="Times New Roman"/>
        </w:rPr>
      </w:pPr>
      <w:r>
        <w:rPr>
          <w:rFonts w:cs="Times New Roman"/>
        </w:rPr>
        <w:t>Povećanje broja novih klijenata</w:t>
      </w:r>
    </w:p>
    <w:p w:rsidRDefault="009C7524" w:rsidP="009C7524" w:rsidR="009C7524">
      <w:pPr>
        <w:spacing w:lineRule="auto" w:line="360"/>
        <w:ind w:left="360"/>
        <w:rPr>
          <w:rFonts w:cs="Times New Roman"/>
        </w:rPr>
      </w:pPr>
      <w:r>
        <w:rPr>
          <w:rFonts w:cs="Times New Roman"/>
        </w:rPr>
        <w:t>Jedna od mjera koje su poduzeli je traženje novih klijenata te novih kanala prodaje u svrhu povećanja prihoda.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Optimizacija radnih procesa</w:t>
      </w:r>
    </w:p>
    <w:p w:rsidRDefault="009C7524" w:rsidP="009C7524" w:rsidR="009C7524">
      <w:pPr>
        <w:spacing w:lineRule="auto" w:line="360"/>
        <w:ind w:left="360"/>
        <w:rPr>
          <w:rFonts w:cs="Times New Roman"/>
        </w:rPr>
      </w:pPr>
      <w:proofErr w:type="spellStart"/>
      <w:r>
        <w:rPr>
          <w:rFonts w:cs="Times New Roman"/>
        </w:rPr>
        <w:t>Nadglednjem</w:t>
      </w:r>
      <w:proofErr w:type="spellEnd"/>
      <w:r>
        <w:rPr>
          <w:rFonts w:cs="Times New Roman"/>
        </w:rPr>
        <w:t xml:space="preserve"> rukovoditelja pojedinog centra odgovornosti – fizičkom </w:t>
      </w:r>
      <w:proofErr w:type="spellStart"/>
      <w:r>
        <w:rPr>
          <w:rFonts w:cs="Times New Roman"/>
        </w:rPr>
        <w:t>pristutnošću</w:t>
      </w:r>
      <w:proofErr w:type="spellEnd"/>
      <w:r>
        <w:rPr>
          <w:rFonts w:cs="Times New Roman"/>
        </w:rPr>
        <w:t xml:space="preserve"> ili proučavanjem evidencije rada te utrošenog vremena i dobivenog rezultata.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Smanjenje troškova </w:t>
      </w:r>
    </w:p>
    <w:p w:rsidRDefault="009C7524" w:rsidP="009C7524" w:rsidR="009C7524">
      <w:pPr>
        <w:ind w:left="360"/>
        <w:rPr>
          <w:rFonts w:cs="Times New Roman"/>
        </w:rPr>
      </w:pPr>
      <w:r>
        <w:rPr>
          <w:rFonts w:cs="Times New Roman"/>
        </w:rPr>
        <w:t>Smanjenje nabavnih cijena u korelaciji je sa slobodnim novčanim tokom. Dobavljače se i do sada biralo temeljem modela „najpovoljnija ponuda“.</w:t>
      </w:r>
    </w:p>
    <w:p w:rsidRDefault="009C7524" w:rsidP="009C7524" w:rsidR="009C7524">
      <w:pPr>
        <w:spacing w:lineRule="auto" w:line="36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Očekujemo oslobađanje novčanog toka u narednom periodu ukoliko se uspješno provede plan restrukturiranja u odnosu na postojeće vjerovnike. Naime, s obzirom da je VRT d.o.o. tvrtke sezonskog karaktera poslovanja, u prethodnom razdoblju se borila s nesolventnošću jer moguća prodaje vlastitih proizvoda ovisi o periodu u godini, a period realizacije prodaje nastupa krajem rujna. Također, oslobađanjem novčanog toka namjera je </w:t>
      </w:r>
      <w:proofErr w:type="spellStart"/>
      <w:r>
        <w:rPr>
          <w:rFonts w:cs="Times New Roman"/>
        </w:rPr>
        <w:t>povečati</w:t>
      </w:r>
      <w:proofErr w:type="spellEnd"/>
      <w:r>
        <w:rPr>
          <w:rFonts w:cs="Times New Roman"/>
        </w:rPr>
        <w:t xml:space="preserve"> koeficijent obrtaja zaliha kako bi se stvorila veća dodana vrijednost s obzirom na niske marže prisutne u trgovini.</w:t>
      </w:r>
    </w:p>
    <w:p w:rsidRDefault="009C7524" w:rsidP="009C7524" w:rsidR="009C7524">
      <w:pPr>
        <w:spacing w:lineRule="auto" w:line="360"/>
        <w:ind w:left="360"/>
        <w:jc w:val="both"/>
        <w:rPr>
          <w:rFonts w:cs="Times New Roman"/>
        </w:rPr>
      </w:pPr>
      <w:r>
        <w:rPr>
          <w:rFonts w:cs="Times New Roman"/>
        </w:rPr>
        <w:t>Troškovi redovitog poslovanja smanjuju se  tako što se troškovi struje i plina se racionaliziraju, optimiziraju se interni poslovni procesi, racionalno se pristupa nabavi , smanjuju se troškovi telefona, goriva, potrošnog materijala</w:t>
      </w:r>
    </w:p>
    <w:p w:rsidRDefault="009C7524" w:rsidP="009C7524" w:rsidR="009C7524">
      <w:pPr>
        <w:spacing w:lineRule="auto" w:line="360"/>
        <w:ind w:left="360"/>
        <w:jc w:val="both"/>
        <w:rPr>
          <w:rFonts w:cs="Times New Roman"/>
        </w:rPr>
      </w:pP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/>
        <w:contextualSpacing/>
        <w:rPr>
          <w:rFonts w:cs="Times New Roman"/>
        </w:rPr>
      </w:pPr>
      <w:r>
        <w:rPr>
          <w:rFonts w:cs="Times New Roman"/>
        </w:rPr>
        <w:t>Učinkovitija naplata potraživanja</w:t>
      </w:r>
    </w:p>
    <w:p w:rsidRDefault="009C7524" w:rsidP="009C7524" w:rsidR="009C7524">
      <w:pPr>
        <w:spacing w:lineRule="auto" w:line="360"/>
        <w:ind w:left="357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/>
        </w:rPr>
        <w:t xml:space="preserve">Planira se ubuduće tražiti avansnu naplatu potraživanja te provoditi ispitivanje solventnosti kupaca. </w:t>
      </w:r>
      <w:proofErr w:type="spellStart"/>
      <w:r>
        <w:rPr>
          <w:rFonts w:cs="Times New Roman" w:eastAsia="Times New Roman"/>
          <w:lang w:eastAsia="hr-HR" w:val="en-US"/>
        </w:rPr>
        <w:t>Kroz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suradnju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kvalitetnim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pouzdanim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kupcima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osigurala</w:t>
      </w:r>
      <w:proofErr w:type="spellEnd"/>
      <w:r>
        <w:rPr>
          <w:rFonts w:cs="Times New Roman" w:eastAsia="Times New Roman"/>
          <w:lang w:eastAsia="hr-HR" w:val="en-US"/>
        </w:rPr>
        <w:t xml:space="preserve"> bi se </w:t>
      </w:r>
      <w:proofErr w:type="spellStart"/>
      <w:r>
        <w:rPr>
          <w:rFonts w:cs="Times New Roman" w:eastAsia="Times New Roman"/>
          <w:lang w:eastAsia="hr-HR" w:val="en-US"/>
        </w:rPr>
        <w:t>potrebna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razina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naplate</w:t>
      </w:r>
      <w:proofErr w:type="spellEnd"/>
      <w:r>
        <w:rPr>
          <w:rFonts w:cs="Times New Roman" w:eastAsia="Times New Roman"/>
          <w:lang w:eastAsia="hr-HR" w:val="en-US"/>
        </w:rPr>
        <w:t xml:space="preserve">, </w:t>
      </w:r>
      <w:proofErr w:type="spellStart"/>
      <w:r>
        <w:rPr>
          <w:rFonts w:cs="Times New Roman" w:eastAsia="Times New Roman"/>
          <w:lang w:eastAsia="hr-HR" w:val="en-US"/>
        </w:rPr>
        <w:t>odnosno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smanjenje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potraživanja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kako</w:t>
      </w:r>
      <w:proofErr w:type="spellEnd"/>
      <w:r>
        <w:rPr>
          <w:rFonts w:cs="Times New Roman" w:eastAsia="Times New Roman"/>
          <w:lang w:eastAsia="hr-HR" w:val="en-US"/>
        </w:rPr>
        <w:t xml:space="preserve"> bi </w:t>
      </w:r>
      <w:proofErr w:type="spellStart"/>
      <w:r>
        <w:rPr>
          <w:rFonts w:cs="Times New Roman" w:eastAsia="Times New Roman"/>
          <w:lang w:eastAsia="hr-HR" w:val="en-US"/>
        </w:rPr>
        <w:t>Društvo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pravovremeno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moglo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zatvarati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svoje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obveze</w:t>
      </w:r>
      <w:proofErr w:type="spellEnd"/>
      <w:r>
        <w:rPr>
          <w:rFonts w:cs="Times New Roman" w:eastAsia="Times New Roman"/>
          <w:lang w:eastAsia="hr-HR" w:val="en-US"/>
        </w:rPr>
        <w:t>.</w:t>
      </w:r>
    </w:p>
    <w:p w:rsidRDefault="009C7524" w:rsidP="009C7524" w:rsidR="009C7524">
      <w:pPr>
        <w:ind w:left="360"/>
        <w:jc w:val="both"/>
        <w:rPr>
          <w:rFonts w:cs="Times New Roman" w:eastAsia="Times New Roman"/>
          <w:lang w:eastAsia="hr-HR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62" w:id="38"/>
      <w:bookmarkStart w:name="_Toc432416059" w:id="39"/>
      <w:bookmarkStart w:name="_Toc430627157" w:id="40"/>
      <w:r>
        <w:rPr>
          <w:rFonts w:cs="Times New Roman"/>
          <w:sz w:val="24"/>
          <w:szCs w:val="24"/>
        </w:rPr>
        <w:t>5. PLAN POSLOVANJA</w:t>
      </w:r>
      <w:bookmarkEnd w:id="38"/>
      <w:r>
        <w:rPr>
          <w:rFonts w:cs="Times New Roman"/>
          <w:sz w:val="24"/>
          <w:szCs w:val="24"/>
        </w:rPr>
        <w:t xml:space="preserve"> </w:t>
      </w:r>
      <w:bookmarkEnd w:id="39"/>
      <w:bookmarkEnd w:id="40"/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>Ključne pretpostavke projekcije poslovanja: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Projekcija računa dobiti i gubitka utvrđena je za 2 godine poslovanja, a podlogu za izračun čine utvrđene kategorije u Planu restrukturiranja (tržišne okolnosti, utjecaj na prodajnu i troškovnu učinkovitost, utjecaj financijskog restrukturiranja).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Default="009C7524" w:rsidP="009C7524" w:rsidR="009C7524">
      <w:pPr>
        <w:pStyle w:val="Odlomakpopisa"/>
        <w:numPr>
          <w:ilvl w:val="1"/>
          <w:numId w:val="49"/>
        </w:numPr>
        <w:tabs>
          <w:tab w:pos="851" w:val="clear"/>
        </w:tabs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 xml:space="preserve">Stabilizacija prihoda, povećanje bruto, marže i poboljšanje naplate dodatnim instrumentima osiguranja, a zasnivaju se na predviđenom utjecaju projekta restrukturiranja kao i na likvidnom poslovanju dok kojeg se došlo putem </w:t>
      </w:r>
      <w:proofErr w:type="spellStart"/>
      <w:r>
        <w:rPr>
          <w:rFonts w:cs="Times New Roman"/>
        </w:rPr>
        <w:t>resporegama</w:t>
      </w:r>
      <w:proofErr w:type="spellEnd"/>
      <w:r>
        <w:rPr>
          <w:rFonts w:cs="Times New Roman"/>
        </w:rPr>
        <w:t xml:space="preserve"> obveza.</w:t>
      </w:r>
    </w:p>
    <w:p w:rsidRDefault="009C7524" w:rsidP="009C7524" w:rsidR="009C7524">
      <w:pPr>
        <w:pStyle w:val="Odlomakpopisa"/>
        <w:numPr>
          <w:ilvl w:val="1"/>
          <w:numId w:val="49"/>
        </w:numPr>
        <w:tabs>
          <w:tab w:pos="851" w:val="clear"/>
        </w:tabs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Rast prihoda kroz povećanje kanala prodaje (novi kupci, suradnje sa postojećim kupcima, proširenje tržišta-EU)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Troškovi – projekcija troškova unutar prikazanog računa dobiti i gubitka temelji se na projiciranju svake pojedine stavke troškova, od kojih su ključni:</w:t>
      </w:r>
    </w:p>
    <w:p w:rsidRDefault="009C7524" w:rsidP="009C7524" w:rsidR="009C7524">
      <w:pPr>
        <w:pStyle w:val="Odlomakpopisa"/>
        <w:numPr>
          <w:ilvl w:val="1"/>
          <w:numId w:val="49"/>
        </w:numPr>
        <w:tabs>
          <w:tab w:pos="851" w:val="clear"/>
        </w:tabs>
        <w:spacing w:lineRule="auto" w:line="360" w:after="200" w:before="240"/>
        <w:contextualSpacing/>
        <w:rPr>
          <w:rFonts w:cs="Times New Roman"/>
        </w:rPr>
      </w:pPr>
      <w:r>
        <w:rPr>
          <w:rFonts w:cs="Times New Roman"/>
        </w:rPr>
        <w:t>Smanjenje operativnih troškova koje će se ostvariti kroz povećan opseg posla i veće marže.</w:t>
      </w:r>
    </w:p>
    <w:p w:rsidRDefault="009C7524" w:rsidP="009C7524" w:rsidR="009C7524">
      <w:pPr>
        <w:pStyle w:val="Odlomakpopisa"/>
        <w:numPr>
          <w:ilvl w:val="0"/>
          <w:numId w:val="49"/>
        </w:numPr>
        <w:spacing w:lineRule="auto" w:line="360" w:after="200" w:before="120"/>
        <w:ind w:hanging="357" w:left="714"/>
        <w:contextualSpacing/>
        <w:rPr>
          <w:rFonts w:cs="Times New Roman"/>
        </w:rPr>
      </w:pPr>
      <w:r>
        <w:rPr>
          <w:rFonts w:cs="Times New Roman"/>
        </w:rPr>
        <w:t>U nastavku prikazujemo prosječne mjesečne troškove za nesmetano poslovanje (iznosi u kn), a odnose se na osnovne troškove poslovanja društva. U navedene troškove uključeni su troškovi repromaterijala, energije, održavanja, plaće i otplate.</w:t>
      </w:r>
    </w:p>
    <w:tbl>
      <w:tblPr>
        <w:tblW w:type="dxa" w:w="9238"/>
        <w:tblInd w:type="dxa" w:w="93"/>
        <w:tblLook w:val="04A0" w:noVBand="1" w:noHBand="0" w:lastColumn="0" w:firstColumn="1" w:lastRow="0" w:firstRow="1"/>
      </w:tblPr>
      <w:tblGrid>
        <w:gridCol w:w="583"/>
        <w:gridCol w:w="7307"/>
        <w:gridCol w:w="1348"/>
      </w:tblGrid>
      <w:tr w:rsidTr="009C7524" w:rsidR="009C7524">
        <w:trPr>
          <w:trHeight w:val="330"/>
        </w:trPr>
        <w:tc>
          <w:tcPr>
            <w:tcW w:type="dxa" w:w="58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73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3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73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KONZULTANTSKE USLUGE</w:t>
            </w:r>
          </w:p>
        </w:tc>
        <w:tc>
          <w:tcPr>
            <w:tcW w:type="dxa" w:w="1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183,33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KNJIGOVODSTVENE USLUGE VOĐENJA POSLOVNIH KNJIGA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500,00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ODVJETNIČKE ,BILJEŽNIČKE I USLUGE PRAVNIH AKATA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516,67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AMORTIZACIJA GRAĐEVINA I OPREME KOJA SE KORISTI ZA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308,24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5.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TROŠKOVI PLATNOG PROMETA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125,69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ČLANARINE KOMORI (HGK ILI OBRTNIČKOJ)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42,00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TROŠKOVI ZA PRIRUČNIKE, ČASOPISE, STRUČNU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583,33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8.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/>
              </w:rPr>
              <w:t>ZATEZNE KAMATE NA POREZE, DOPRINOSE I DR. DAVANJA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0,34</w:t>
            </w:r>
          </w:p>
        </w:tc>
      </w:tr>
      <w:tr w:rsidTr="009C7524" w:rsidR="009C7524">
        <w:trPr>
          <w:trHeight w:val="330"/>
        </w:trPr>
        <w:tc>
          <w:tcPr>
            <w:tcW w:type="dxa" w:w="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7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2.259,60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Projekcija prihoda (2016.-2018.)</w:t>
      </w:r>
    </w:p>
    <w:p w:rsidRDefault="009C7524" w:rsidP="009C7524" w:rsidR="009C7524">
      <w:pPr>
        <w:jc w:val="center"/>
        <w:rPr>
          <w:rFonts w:cs="Times New Roman"/>
        </w:rPr>
      </w:pPr>
      <w:r>
        <w:rPr>
          <w:rFonts w:cs="Times New Roman"/>
        </w:rPr>
        <w:t>Tablica planiranih prihoda (iznosi u kn)</w:t>
      </w:r>
    </w:p>
    <w:p w:rsidRDefault="009C7524" w:rsidP="009C7524" w:rsidR="009C7524">
      <w:pPr>
        <w:pStyle w:val="Standard"/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     </w:t>
      </w:r>
    </w:p>
    <w:tbl>
      <w:tblPr>
        <w:tblW w:type="dxa" w:w="9096"/>
        <w:tblInd w:type="dxa" w:w="93"/>
        <w:tblLook w:val="04A0" w:noVBand="1" w:noHBand="0" w:lastColumn="0" w:firstColumn="1" w:lastRow="0" w:firstRow="1"/>
      </w:tblPr>
      <w:tblGrid>
        <w:gridCol w:w="1068"/>
        <w:gridCol w:w="2046"/>
        <w:gridCol w:w="2046"/>
        <w:gridCol w:w="1312"/>
        <w:gridCol w:w="1312"/>
        <w:gridCol w:w="1312"/>
      </w:tblGrid>
      <w:tr w:rsidTr="009C7524" w:rsidR="009C7524">
        <w:trPr>
          <w:trHeight w:val="652"/>
        </w:trPr>
        <w:tc>
          <w:tcPr>
            <w:tcW w:type="dxa" w:w="106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dxa" w:w="20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Opis</w:t>
            </w:r>
          </w:p>
        </w:tc>
        <w:tc>
          <w:tcPr>
            <w:tcW w:type="dxa" w:w="20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30.06.2016,</w:t>
            </w:r>
          </w:p>
        </w:tc>
        <w:tc>
          <w:tcPr>
            <w:tcW w:type="dxa" w:w="13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3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3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66" w:themeFill="accent3" w:fill="D6E3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9C7524" w:rsidR="009C7524">
        <w:trPr>
          <w:trHeight w:val="334"/>
        </w:trPr>
        <w:tc>
          <w:tcPr>
            <w:tcW w:type="dxa" w:w="10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Poslovni prihod</w:t>
            </w:r>
          </w:p>
        </w:tc>
        <w:tc>
          <w:tcPr>
            <w:tcW w:type="dxa" w:w="2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150.337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156.350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163.000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170.000</w:t>
            </w:r>
          </w:p>
        </w:tc>
      </w:tr>
      <w:tr w:rsidTr="009C7524" w:rsidR="009C7524">
        <w:trPr>
          <w:trHeight w:val="334"/>
        </w:trPr>
        <w:tc>
          <w:tcPr>
            <w:tcW w:type="dxa" w:w="106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Ukupni prihod</w:t>
            </w:r>
          </w:p>
        </w:tc>
        <w:tc>
          <w:tcPr>
            <w:tcW w:type="dxa" w:w="20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240.413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250.030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260.100</w:t>
            </w:r>
          </w:p>
        </w:tc>
        <w:tc>
          <w:tcPr>
            <w:tcW w:type="dxa" w:w="131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271.000</w:t>
            </w:r>
          </w:p>
        </w:tc>
      </w:tr>
    </w:tbl>
    <w:p w:rsidRDefault="009C7524" w:rsidP="009C7524" w:rsidR="009C7524">
      <w:pPr>
        <w:pStyle w:val="Standard"/>
        <w:rPr>
          <w:rFonts w:cs="Times New Roman"/>
          <w:color w:val="FF0000"/>
        </w:rPr>
      </w:pPr>
    </w:p>
    <w:p w:rsidRDefault="009C7524" w:rsidP="009C7524" w:rsidR="009C7524">
      <w:pPr>
        <w:pStyle w:val="Standard"/>
        <w:rPr>
          <w:rFonts w:cs="Times New Roman"/>
          <w:color w:val="FF0000"/>
        </w:rPr>
      </w:pPr>
      <w:r>
        <w:rPr>
          <w:rFonts w:cs="Times New Roman"/>
          <w:color w:val="FF0000"/>
        </w:rPr>
        <w:t xml:space="preserve">   </w:t>
      </w:r>
    </w:p>
    <w:p w:rsidRDefault="009C7524" w:rsidP="009C7524" w:rsidR="009C7524">
      <w:pPr>
        <w:pStyle w:val="Standard"/>
        <w:rPr>
          <w:rFonts w:cs="Times New Roman"/>
          <w:color w:val="FF0000"/>
        </w:rPr>
      </w:pPr>
    </w:p>
    <w:p w:rsidRDefault="009C7524" w:rsidP="009C7524" w:rsidR="009C7524">
      <w:pPr>
        <w:pStyle w:val="Standard"/>
        <w:rPr>
          <w:rFonts w:cs="Times New Roman"/>
          <w:color w:val="FF0000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Projekcija troškova (2016.-2018.)</w:t>
      </w: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jc w:val="center"/>
        <w:rPr>
          <w:rFonts w:cs="Times New Roman"/>
        </w:rPr>
      </w:pPr>
      <w:r>
        <w:rPr>
          <w:rFonts w:cs="Times New Roman"/>
        </w:rPr>
        <w:t>Tablica planiranih troškova (iznosi u kn)</w:t>
      </w:r>
    </w:p>
    <w:tbl>
      <w:tblPr>
        <w:tblW w:type="dxa" w:w="9171"/>
        <w:tblInd w:type="dxa" w:w="93"/>
        <w:tblLook w:val="04A0" w:noVBand="1" w:noHBand="0" w:lastColumn="0" w:firstColumn="1" w:lastRow="0" w:firstRow="1"/>
      </w:tblPr>
      <w:tblGrid>
        <w:gridCol w:w="1076"/>
        <w:gridCol w:w="2063"/>
        <w:gridCol w:w="2063"/>
        <w:gridCol w:w="1323"/>
        <w:gridCol w:w="1323"/>
        <w:gridCol w:w="1323"/>
      </w:tblGrid>
      <w:tr w:rsidTr="009C7524" w:rsidR="009C7524">
        <w:trPr>
          <w:trHeight w:val="649"/>
        </w:trPr>
        <w:tc>
          <w:tcPr>
            <w:tcW w:type="dxa" w:w="10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dxa" w:w="20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Opis</w:t>
            </w:r>
          </w:p>
        </w:tc>
        <w:tc>
          <w:tcPr>
            <w:tcW w:type="dxa" w:w="20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30.06.2016.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9C7524" w:rsidR="009C7524">
        <w:trPr>
          <w:trHeight w:val="649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19.995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21.000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21.840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23.000</w:t>
            </w:r>
          </w:p>
        </w:tc>
      </w:tr>
      <w:tr w:rsidTr="009C7524" w:rsidR="009C7524">
        <w:trPr>
          <w:trHeight w:val="332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332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Amortizacija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7.060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7.400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7.800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8.200</w:t>
            </w:r>
          </w:p>
        </w:tc>
      </w:tr>
      <w:tr w:rsidTr="009C7524" w:rsidR="009C7524">
        <w:trPr>
          <w:trHeight w:val="332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5.351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5.600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5.900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6.200</w:t>
            </w:r>
          </w:p>
        </w:tc>
      </w:tr>
      <w:tr w:rsidTr="009C7524" w:rsidR="009C7524">
        <w:trPr>
          <w:trHeight w:val="332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Ukupni rashod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233.753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244.000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254.000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265.000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  <w:r>
        <w:rPr>
          <w:rFonts w:cs="Times New Roman"/>
        </w:rPr>
        <w:t>Projekcija računa dobiti i gubitka (2016.-2018.) (iznosi u kn)</w:t>
      </w:r>
    </w:p>
    <w:tbl>
      <w:tblPr>
        <w:tblW w:type="dxa" w:w="9171"/>
        <w:tblInd w:type="dxa" w:w="93"/>
        <w:tblLook w:val="04A0" w:noVBand="1" w:noHBand="0" w:lastColumn="0" w:firstColumn="1" w:lastRow="0" w:firstRow="1"/>
      </w:tblPr>
      <w:tblGrid>
        <w:gridCol w:w="1076"/>
        <w:gridCol w:w="2063"/>
        <w:gridCol w:w="2063"/>
        <w:gridCol w:w="1323"/>
        <w:gridCol w:w="1323"/>
        <w:gridCol w:w="1323"/>
      </w:tblGrid>
      <w:tr w:rsidTr="009C7524" w:rsidR="009C7524">
        <w:trPr>
          <w:trHeight w:val="654"/>
        </w:trPr>
        <w:tc>
          <w:tcPr>
            <w:tcW w:type="dxa" w:w="107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Redni Broj</w:t>
            </w:r>
          </w:p>
        </w:tc>
        <w:tc>
          <w:tcPr>
            <w:tcW w:type="dxa" w:w="20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Opis</w:t>
            </w:r>
          </w:p>
        </w:tc>
        <w:tc>
          <w:tcPr>
            <w:tcW w:type="dxa" w:w="20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30.06.2016,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2016.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2017.</w:t>
            </w:r>
          </w:p>
        </w:tc>
        <w:tc>
          <w:tcPr>
            <w:tcW w:type="dxa" w:w="13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7E4BC" w:color="auto" w:val="clear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2018.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I.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Ukupni prihodi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240.413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250.030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260.100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271.000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II.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Rashodi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233.753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244.000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254.000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265.000</w:t>
            </w:r>
          </w:p>
        </w:tc>
      </w:tr>
      <w:tr w:rsidTr="009C7524" w:rsidR="009C7524">
        <w:trPr>
          <w:trHeight w:val="65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19.995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21.000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21.840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23.000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Amortizacija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7.060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7.400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7.800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8.200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5.351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5.600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5.900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6.200</w:t>
            </w:r>
          </w:p>
        </w:tc>
      </w:tr>
      <w:tr w:rsidTr="009C7524" w:rsidR="009C7524">
        <w:trPr>
          <w:trHeight w:val="65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III.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Dobit prije oporezivanja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6.660,00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6.029,52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6.100,00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6.000,00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IV.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Porez na dobit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1.332,00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1.205,90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1.220,00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1.200,00</w:t>
            </w:r>
          </w:p>
        </w:tc>
      </w:tr>
      <w:tr w:rsidTr="009C7524" w:rsidR="009C7524">
        <w:trPr>
          <w:trHeight w:val="334"/>
        </w:trPr>
        <w:tc>
          <w:tcPr>
            <w:tcW w:type="dxa" w:w="10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lastRenderedPageBreak/>
              <w:t>V.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Neto dobit</w:t>
            </w:r>
          </w:p>
        </w:tc>
        <w:tc>
          <w:tcPr>
            <w:tcW w:type="dxa" w:w="20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5.328,00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4.823,62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4.880,00</w:t>
            </w:r>
          </w:p>
        </w:tc>
        <w:tc>
          <w:tcPr>
            <w:tcW w:type="dxa" w:w="13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4.800,00</w:t>
            </w:r>
          </w:p>
        </w:tc>
      </w:tr>
    </w:tbl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spacing w:lineRule="auto" w:line="360" w:before="240"/>
        <w:rPr>
          <w:rFonts w:cs="Times New Roman"/>
        </w:rPr>
      </w:pPr>
      <w:proofErr w:type="spellStart"/>
      <w:r>
        <w:rPr>
          <w:rFonts w:cs="Times New Roman"/>
        </w:rPr>
        <w:t>Projecirani</w:t>
      </w:r>
      <w:proofErr w:type="spellEnd"/>
      <w:r>
        <w:rPr>
          <w:rFonts w:cs="Times New Roman"/>
        </w:rPr>
        <w:t xml:space="preserve"> račun dobiti i gubitka iskazuje održivost predloženog poslovnog modela na razini neto dobiti.</w:t>
      </w:r>
    </w:p>
    <w:p w:rsidRDefault="009C7524" w:rsidP="009C7524" w:rsidR="009C7524">
      <w:pPr>
        <w:spacing w:lineRule="auto" w:line="360" w:before="240"/>
        <w:rPr>
          <w:rFonts w:cs="Times New Roman"/>
        </w:rPr>
      </w:pPr>
      <w:r>
        <w:rPr>
          <w:rFonts w:cs="Times New Roman"/>
        </w:rPr>
        <w:t>U 2016. godini uz stabilizaciju prihoda te povećanje bruto marže i smanjenje operativnih troškova poslovanja društva će biti pozitivno.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>VRTINVEST d.o.o. 100%-</w:t>
      </w:r>
      <w:proofErr w:type="spellStart"/>
      <w:r>
        <w:rPr>
          <w:rFonts w:cs="Times New Roman"/>
        </w:rPr>
        <w:t>tni</w:t>
      </w:r>
      <w:proofErr w:type="spellEnd"/>
      <w:r>
        <w:rPr>
          <w:rFonts w:cs="Times New Roman"/>
        </w:rPr>
        <w:t xml:space="preserve"> je vlasnik društva VRT d.o.o., a temeljna pretpostavka razvoja tog društva je razvoj voćarske proizvodnje te izgradnja hladnjače kapaciteta 5.000 tona na vlastitoj nekretnini u Ždralovima kraj Bjelovara.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 xml:space="preserve">Projekt je planiran kao zajednički investicijski projekt tvrtki VRT d.o.o. (Nositelj projekta) i Voćnjak d.o.o. (Partner u projektu,  a u vlasništvu VRT-a d.o.o.) kojim je tvrtka VRT d.o.o. aplicirala na EAFRD - Mjeru 4.1.1. (Restrukturiranje, modernizacija i povećanje konkurentnosti poljoprivrednih gospodarstava) pod nazivom “Prijem, sortiranje, prerada i skladištenje voća”. 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>Svrha investicije je postizanje konkurentnije pozicije kroz povećanje učinkovitosti proizvodnje, stvaranje novih skladišnih kapaciteta, uvođenje tehnologije i razvijanje tehnoloških procesa s ciljem postizanja kvalitetnije kontrole procesa, smanjenje utroška energije i poboljšavanje energetske učinkovitosti, te stvaranja uvjeta koji omogućavaju efikasniju kontrolu nad vlastitom kvalitetom jabuke nakon čega slijedi prodaja i distribucija visoko kvalitetnog proizvoda maksimalno prilagođenog kupcu (način sortiranja i pakiranja) u trenutku kada je tržišna cijena najprihvatljivija.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 xml:space="preserve">Investicija se sastoji od izgradnje i opremanja ULO hladnjače (ULO = </w:t>
      </w:r>
      <w:proofErr w:type="spellStart"/>
      <w:r>
        <w:rPr>
          <w:rFonts w:cs="Times New Roman"/>
        </w:rPr>
        <w:t>Ultra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low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oxygen</w:t>
      </w:r>
      <w:proofErr w:type="spellEnd"/>
      <w:r>
        <w:rPr>
          <w:rFonts w:cs="Times New Roman"/>
        </w:rPr>
        <w:t>) za skladištenje jabuka i gotovih proizvoda te izgradnje i opremanja pogona za preradu voća, odnosno proizvodnju soka i ostalih gotovih proizvoda od jabuke.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 xml:space="preserve">Vrijednost investicijskog projekta iznosi 5.555.555,00 EUR, a iz EAFRD-a se očekuje povrat novčanih sredstava u iznosu 90% vrijednosti investicije, odnosno 5.000.000,00 EUR. 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 xml:space="preserve">Naime, sukladno Kriterijima odabira zahtjeva za potporu u Tipu operacije 4.1.1. navedenima u Prilogu III. Pravilnika o provedbi mjere M04 “Ulaganja u fizičku imovinu”, </w:t>
      </w:r>
      <w:proofErr w:type="spellStart"/>
      <w:r>
        <w:rPr>
          <w:rFonts w:cs="Times New Roman"/>
        </w:rPr>
        <w:lastRenderedPageBreak/>
        <w:t>podmjere</w:t>
      </w:r>
      <w:proofErr w:type="spellEnd"/>
      <w:r>
        <w:rPr>
          <w:rFonts w:cs="Times New Roman"/>
        </w:rPr>
        <w:t xml:space="preserve"> 4.1. “Potpora za ulaganja u poljoprivredna gospodarstva” iz Programa Ruralnog razvoja Republike Hrvatske za razdoblje 2014.-2020. godine”,  planirani investicijski projekt je ostvario 75 bodova od maksimalnih 100 bodova, a sukladno članku 10. Pravilnika ima preduvjete ostvarivanja 90% bespovratnih sredstava na temelju sljedećih karakteristika projekta: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> </w:t>
      </w:r>
    </w:p>
    <w:tbl>
      <w:tblPr>
        <w:tblW w:type="dxa" w:w="7160"/>
        <w:tblInd w:type="dxa" w:w="1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19"/>
        <w:gridCol w:w="2551"/>
        <w:gridCol w:w="1190"/>
      </w:tblGrid>
      <w:tr w:rsidTr="009C7524" w:rsidR="009C7524">
        <w:trPr>
          <w:trHeight w:val="252"/>
        </w:trPr>
        <w:tc>
          <w:tcPr>
            <w:tcW w:type="dxa" w:w="3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minimalan (osnovni)  povrat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2.777.778 EUR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50%</w:t>
            </w:r>
          </w:p>
        </w:tc>
      </w:tr>
      <w:tr w:rsidTr="009C7524" w:rsidR="009C7524">
        <w:trPr>
          <w:trHeight w:val="252"/>
        </w:trPr>
        <w:tc>
          <w:tcPr>
            <w:tcW w:type="dxa" w:w="3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mladi poljoprivrednik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1.111.111 EUR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20%</w:t>
            </w:r>
          </w:p>
        </w:tc>
      </w:tr>
      <w:tr w:rsidTr="009C7524" w:rsidR="009C7524">
        <w:trPr>
          <w:trHeight w:val="276"/>
        </w:trPr>
        <w:tc>
          <w:tcPr>
            <w:tcW w:type="dxa" w:w="3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zajednički projekt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1.111.111 EUR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20%</w:t>
            </w:r>
          </w:p>
        </w:tc>
      </w:tr>
      <w:tr w:rsidTr="009C7524" w:rsidR="009C7524">
        <w:trPr>
          <w:trHeight w:val="276"/>
        </w:trPr>
        <w:tc>
          <w:tcPr>
            <w:tcW w:type="dxa" w:w="3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Povrat EAFRD - GRANT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5.000.000 EUR</w:t>
            </w:r>
          </w:p>
        </w:tc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90%</w:t>
            </w:r>
          </w:p>
        </w:tc>
      </w:tr>
    </w:tbl>
    <w:p w:rsidRDefault="009C7524" w:rsidP="009C7524" w:rsidR="009C7524">
      <w:pPr>
        <w:pStyle w:val="Odlomakpopisa"/>
        <w:spacing w:lineRule="auto" w:line="360"/>
        <w:ind w:left="2136"/>
        <w:rPr>
          <w:rFonts w:cs="Times New Roman"/>
          <w:lang w:eastAsia="en-US"/>
        </w:rPr>
      </w:pPr>
      <w:r>
        <w:rPr>
          <w:rFonts w:cs="Times New Roman"/>
        </w:rPr>
        <w:t> </w:t>
      </w:r>
    </w:p>
    <w:tbl>
      <w:tblPr>
        <w:tblW w:type="dxa" w:w="7321"/>
        <w:tblInd w:type="dxa" w:w="14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135"/>
        <w:gridCol w:w="2876"/>
        <w:gridCol w:w="1310"/>
      </w:tblGrid>
      <w:tr w:rsidTr="009C7524" w:rsidR="009C7524">
        <w:trPr>
          <w:trHeight w:val="252"/>
        </w:trPr>
        <w:tc>
          <w:tcPr>
            <w:tcW w:type="dxa" w:w="3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Vrijednost investicije</w:t>
            </w:r>
          </w:p>
        </w:tc>
        <w:tc>
          <w:tcPr>
            <w:tcW w:type="dxa" w:w="2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5.555.556 EUR</w:t>
            </w:r>
          </w:p>
        </w:tc>
        <w:tc>
          <w:tcPr>
            <w:tcW w:type="dxa" w:w="1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9C7524" w:rsidR="009C7524">
            <w:pPr>
              <w:pStyle w:val="Odlomakpopisa"/>
              <w:spacing w:lineRule="auto" w:line="360"/>
              <w:rPr>
                <w:rFonts w:cs="Times New Roman"/>
                <w:lang w:eastAsia="en-US"/>
              </w:rPr>
            </w:pPr>
            <w:r>
              <w:rPr>
                <w:rFonts w:cs="Times New Roman"/>
              </w:rPr>
              <w:t>100%</w:t>
            </w:r>
          </w:p>
        </w:tc>
      </w:tr>
    </w:tbl>
    <w:p w:rsidRDefault="009C7524" w:rsidP="009C7524" w:rsidR="009C7524">
      <w:pPr>
        <w:pStyle w:val="Odlomakpopisa"/>
        <w:spacing w:lineRule="auto" w:line="360"/>
        <w:ind w:left="2136"/>
        <w:rPr>
          <w:rFonts w:cs="Times New Roman"/>
          <w:lang w:eastAsia="en-US"/>
        </w:rPr>
      </w:pPr>
      <w:r>
        <w:rPr>
          <w:rFonts w:cs="Times New Roman"/>
        </w:rPr>
        <w:t>   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  <w:r>
        <w:rPr>
          <w:rFonts w:cs="Times New Roman"/>
        </w:rPr>
        <w:t>Odluke/novci za Mjeru 4.1.1. na koju smo aplicirali još uvijek nisu nikome dane. Radi se o prvom natječaju u Mjeri 4.1.1. koji je završio 15.04.2015. za koju postoji objavljena lista odobrenih zahtjeva. Naš projekt se nalazi na 72. mjestu.</w:t>
      </w: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32416060" w:id="41"/>
      <w:bookmarkStart w:name="_Toc430627158" w:id="42"/>
      <w:bookmarkStart w:name="_Toc458593663" w:id="43"/>
      <w:r>
        <w:rPr>
          <w:rFonts w:cs="Times New Roman"/>
          <w:sz w:val="24"/>
          <w:szCs w:val="24"/>
        </w:rPr>
        <w:t xml:space="preserve">6. PLANIRANA BILANCA NA ZADNJI DAN </w:t>
      </w:r>
      <w:bookmarkEnd w:id="41"/>
      <w:bookmarkEnd w:id="42"/>
      <w:r>
        <w:rPr>
          <w:rFonts w:cs="Times New Roman"/>
          <w:sz w:val="24"/>
          <w:szCs w:val="24"/>
        </w:rPr>
        <w:t>RAZDOBLJA ZA KOJE JE SASTAVLJEN PLAN POSLOVANJA</w:t>
      </w:r>
      <w:bookmarkEnd w:id="43"/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>Poduzeće će ostvarenjem navedenog Plana operativnog i financijskog restrukturiranja biti dovedeno u stanje stabilnog, održivog i neograničenog poslovanja, sa stanjem obveza kako je prikazano u bilanci na dan 31.12.2018. godine (iznosi u kn), kao zadnjeg dana za koji je sastavljen plan:</w:t>
      </w:r>
    </w:p>
    <w:tbl>
      <w:tblPr>
        <w:tblW w:type="dxa" w:w="9070"/>
        <w:tblInd w:type="dxa" w:w="93"/>
        <w:tblLook w:val="04A0" w:noVBand="1" w:noHBand="0" w:lastColumn="0" w:firstColumn="1" w:lastRow="0" w:firstRow="1"/>
      </w:tblPr>
      <w:tblGrid>
        <w:gridCol w:w="5896"/>
        <w:gridCol w:w="1587"/>
        <w:gridCol w:w="1587"/>
      </w:tblGrid>
      <w:tr w:rsidTr="009C7524" w:rsidR="009C7524">
        <w:trPr>
          <w:trHeight w:val="330"/>
        </w:trPr>
        <w:tc>
          <w:tcPr>
            <w:tcW w:type="dxa" w:w="58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OPIS </w:t>
            </w:r>
          </w:p>
        </w:tc>
        <w:tc>
          <w:tcPr>
            <w:tcW w:type="dxa" w:w="15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30.06.2016.</w:t>
            </w:r>
          </w:p>
        </w:tc>
        <w:tc>
          <w:tcPr>
            <w:tcW w:type="dxa" w:w="15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31.12.2018.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 xml:space="preserve">                    1.        Obveze prema povezanim poduzetnicima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175.538,00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87.769,00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       Obveze za zajmove, depozite i slično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4.783.120,00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2.391.560,00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3.       Obveze prema dobavljačima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4.870,00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2.435,00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4.       Obveze za poreze, doprinose i slična davanja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250,00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125,00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ind w:firstLineChars="500" w:firstLine="1200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5.       Ostale kratkoročne obveze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87.254,00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43.627,00</w:t>
            </w:r>
          </w:p>
        </w:tc>
      </w:tr>
      <w:tr w:rsidTr="009C7524" w:rsidR="009C7524">
        <w:trPr>
          <w:trHeight w:val="330"/>
        </w:trPr>
        <w:tc>
          <w:tcPr>
            <w:tcW w:type="dxa" w:w="58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5.051.032,00</w:t>
            </w:r>
          </w:p>
        </w:tc>
        <w:tc>
          <w:tcPr>
            <w:tcW w:type="dxa" w:w="15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>
              <w:rPr>
                <w:rFonts w:cs="Times New Roman" w:eastAsia="Times New Roman"/>
                <w:color w:val="000000"/>
                <w:lang w:eastAsia="hr-HR"/>
              </w:rPr>
              <w:t>2.525.516,00</w:t>
            </w:r>
          </w:p>
        </w:tc>
      </w:tr>
    </w:tbl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Odlomakpopisa"/>
        <w:spacing w:lineRule="auto" w:line="360"/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32416061" w:id="44"/>
      <w:bookmarkStart w:name="_Toc458593664" w:id="45"/>
      <w:r>
        <w:rPr>
          <w:rFonts w:cs="Times New Roman"/>
          <w:sz w:val="24"/>
          <w:szCs w:val="24"/>
        </w:rPr>
        <w:t xml:space="preserve">7. </w:t>
      </w:r>
      <w:bookmarkEnd w:id="44"/>
      <w:r>
        <w:rPr>
          <w:rFonts w:cs="Times New Roman"/>
          <w:sz w:val="24"/>
          <w:szCs w:val="24"/>
        </w:rPr>
        <w:t>ANALIZA SVIH TRAŽBINA PREMA VISINI I VRSTI (TRAŽBINE RADNIKA I PRIJAŠNJIH DUŽNIKOVIH RADNIKA, IZLUČNA PRAVA, RAZLUČNA PRAVA, TRAŽBINE ZA KOJE SE VODI POSTUPAK, NEOSIGURANE TRAŽBINE I DRUGE TRAŽBINE)</w:t>
      </w:r>
      <w:bookmarkEnd w:id="45"/>
    </w:p>
    <w:p w:rsidRDefault="009C7524" w:rsidP="009C7524" w:rsidR="009C7524">
      <w:pPr>
        <w:spacing w:lineRule="auto" w:line="360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I)   Ova </w:t>
      </w:r>
      <w:proofErr w:type="spellStart"/>
      <w:r>
        <w:rPr>
          <w:rFonts w:cs="Times New Roman"/>
        </w:rPr>
        <w:t>predstečajna</w:t>
      </w:r>
      <w:proofErr w:type="spellEnd"/>
      <w:r>
        <w:rPr>
          <w:rFonts w:cs="Times New Roman"/>
        </w:rPr>
        <w:t xml:space="preserve"> nagodba planira se sklopiti između dužnika  VRTINVEST d.o.o. (u daljnjem testu: dužnik)  i vjerovnika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(u daljnjem tekstu vjerovnici) sa utvrđenim tražbinama kako slijedi:</w:t>
      </w:r>
    </w:p>
    <w:tbl>
      <w:tblPr>
        <w:tblW w:type="dxa" w:w="9737"/>
        <w:tblInd w:type="dxa" w:w="93"/>
        <w:tblLook w:val="04A0" w:noVBand="1" w:noHBand="0" w:lastColumn="0" w:firstColumn="1" w:lastRow="0" w:firstRow="1"/>
      </w:tblPr>
      <w:tblGrid>
        <w:gridCol w:w="681"/>
        <w:gridCol w:w="3101"/>
        <w:gridCol w:w="1332"/>
        <w:gridCol w:w="1871"/>
        <w:gridCol w:w="1280"/>
        <w:gridCol w:w="1472"/>
      </w:tblGrid>
      <w:tr w:rsidTr="009C7524" w:rsidR="009C7524">
        <w:trPr>
          <w:trHeight w:val="870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1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STRUKTURA (%)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Domagoj Belošević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44070294656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230.620,76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4,57%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ERSTE&amp;STEIERMÄRKISCHE BANK d. d.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23057039320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Jadranski Trg 3/a, Rijeka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262,08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56077015541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281.000,00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5,56%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JAVNI BILJEŽNIK MARIJA KUSTIĆ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26027300253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43 000 Bjelovar, Dr. Ante Starčevića 5b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3.857,50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0,08%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LIDER d.o.o. 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87335161400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43 000 Bjelovar, Tome Bakača 6/A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0,01%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17576035505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4.271.499,32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84,57%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43000 Bjelovar, dr. A. Starčevića 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0,00%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RATARSTVO d.o.o.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39141474711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121.469,33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2,40%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VRT d.o.o.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68416812428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 xml:space="preserve">43 000 Bjelovar, Matice Hrvatske 4/I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141.322,66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2,80%</w:t>
            </w:r>
          </w:p>
        </w:tc>
      </w:tr>
      <w:tr w:rsidTr="009C7524" w:rsidR="009C7524">
        <w:trPr>
          <w:trHeight w:val="300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5.051.031,65</w:t>
            </w:r>
          </w:p>
        </w:tc>
        <w:tc>
          <w:tcPr>
            <w:tcW w:type="dxa" w:w="1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9C7524" w:rsidP="009C7524" w:rsidR="009C7524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ind w:right="-64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II) Sklapanjem ove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nagodbe, dužnik će se obavezati na ispunjenje prioritetnih tražbina radnika.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 III) Za vjerovnike iz točke I. ovog nacrta, a sukladno Utvrđenim tražbinama, plana financijskog i operativnog restrukturiranja, otplata utvrđenih iznosa tražbina će se vršiti na slijedeći način kako slijedi: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 w:after="0"/>
        <w:rPr>
          <w:rFonts w:cs="Times New Roman"/>
        </w:rPr>
        <w:sectPr w:rsidR="009C7524">
          <w:pgSz w:h="16838" w:w="11906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uppressLineNumbers/>
        <w:tabs>
          <w:tab w:pos="340" w:val="left"/>
          <w:tab w:pos="426" w:val="center"/>
          <w:tab w:pos="720" w:val="left"/>
          <w:tab w:pos="4320" w:val="center"/>
          <w:tab w:pos="8640" w:val="right"/>
        </w:tabs>
        <w:spacing w:lineRule="auto" w:line="360"/>
        <w:ind w:right="-64" w:left="-46"/>
        <w:jc w:val="both"/>
        <w:rPr>
          <w:rFonts w:cs="Times New Roman"/>
          <w:i/>
        </w:rPr>
      </w:pPr>
      <w:r>
        <w:rPr>
          <w:rFonts w:cs="Times New Roman"/>
          <w:b/>
          <w:i/>
          <w:u w:val="single"/>
        </w:rPr>
        <w:t xml:space="preserve">Za prvu grupu vjerovnika: 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Dug prema Javnoj upravi i trgovačkim društvima u većinskom vlasništvu RH na dan 30.06.2016. godine iznosi </w:t>
      </w:r>
      <w:r>
        <w:rPr>
          <w:rFonts w:cs="Times New Roman" w:eastAsia="Times New Roman"/>
          <w:color w:val="000000"/>
          <w:lang w:eastAsia="hr-HR"/>
        </w:rPr>
        <w:t>250,00</w:t>
      </w:r>
      <w:r>
        <w:rPr>
          <w:rFonts w:cs="Times New Roman"/>
        </w:rPr>
        <w:t xml:space="preserve"> kn. Kod Ministarstva financija i drugih tijela javne uprave i trgovačkih društava u većinskom državnom vlasništvu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 Prioritetne tražbine prema državi će se izuzeti iz nagodbe i one će se prioritetno podmiriti.</w:t>
      </w:r>
    </w:p>
    <w:tbl>
      <w:tblPr>
        <w:tblW w:type="dxa" w:w="14187"/>
        <w:tblInd w:type="dxa" w:w="93"/>
        <w:tblLook w:val="04A0" w:noVBand="1" w:noHBand="0" w:lastColumn="0" w:firstColumn="1" w:lastRow="0" w:firstRow="1"/>
      </w:tblPr>
      <w:tblGrid>
        <w:gridCol w:w="639"/>
        <w:gridCol w:w="3118"/>
        <w:gridCol w:w="1316"/>
        <w:gridCol w:w="3071"/>
        <w:gridCol w:w="885"/>
        <w:gridCol w:w="935"/>
        <w:gridCol w:w="1506"/>
        <w:gridCol w:w="1506"/>
        <w:gridCol w:w="1317"/>
      </w:tblGrid>
      <w:tr w:rsidTr="009C7524" w:rsidR="009C7524">
        <w:trPr>
          <w:trHeight w:val="7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0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30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43000 Bjelovar, dr. A. Starčevića 8</w:t>
            </w:r>
          </w:p>
        </w:tc>
        <w:tc>
          <w:tcPr>
            <w:tcW w:type="dxa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250,00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175,00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75,00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1,25</w:t>
            </w:r>
          </w:p>
        </w:tc>
      </w:tr>
    </w:tbl>
    <w:p w:rsidRDefault="009C7524" w:rsidP="009C7524" w:rsidR="009C7524">
      <w:pPr>
        <w:spacing w:lineRule="auto" w:line="360"/>
        <w:jc w:val="both"/>
        <w:rPr>
          <w:rFonts w:cs="Times New Roman"/>
        </w:rPr>
      </w:pP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Za drugu grupu vjerovnika: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Dug prema financijskim institucijama na dan 30.06.2016.. godine iznosi </w:t>
      </w:r>
      <w:r>
        <w:rPr>
          <w:rFonts w:cs="Times New Roman" w:eastAsia="Times New Roman"/>
          <w:color w:val="000000"/>
          <w:lang w:eastAsia="hr-HR"/>
        </w:rPr>
        <w:t xml:space="preserve">262,08 </w:t>
      </w:r>
      <w:r>
        <w:rPr>
          <w:rFonts w:cs="Times New Roman"/>
        </w:rPr>
        <w:t xml:space="preserve">kn. Predviđen je otpis 70% ukupno utvrđene tražbine, te nakon dvije godine počeka, obročna otplata 30% ukupno utvrđene tražbine u 60 jednakih mjesečnih obroka (anuiteta) uz propisanu kamatu od 4,5% godišnje,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 </w:t>
      </w:r>
    </w:p>
    <w:tbl>
      <w:tblPr>
        <w:tblW w:type="dxa" w:w="14167"/>
        <w:tblInd w:type="dxa" w:w="93"/>
        <w:tblLook w:val="04A0" w:noVBand="1" w:noHBand="0" w:lastColumn="0" w:firstColumn="1" w:lastRow="0" w:firstRow="1"/>
      </w:tblPr>
      <w:tblGrid>
        <w:gridCol w:w="639"/>
        <w:gridCol w:w="3855"/>
        <w:gridCol w:w="1555"/>
        <w:gridCol w:w="2187"/>
        <w:gridCol w:w="885"/>
        <w:gridCol w:w="935"/>
        <w:gridCol w:w="1506"/>
        <w:gridCol w:w="1506"/>
        <w:gridCol w:w="1317"/>
      </w:tblGrid>
      <w:tr w:rsidTr="009C7524" w:rsidR="009C7524">
        <w:trPr>
          <w:trHeight w:val="525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38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2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38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ERSTE&amp;STEIERMÄRKISCHE BANK d. </w:t>
            </w: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d.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23057039320</w:t>
            </w:r>
          </w:p>
        </w:tc>
        <w:tc>
          <w:tcPr>
            <w:tcW w:type="dxa" w:w="2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Jadranski Trg 3/a, </w:t>
            </w: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Rijeka</w:t>
            </w:r>
          </w:p>
        </w:tc>
        <w:tc>
          <w:tcPr>
            <w:tcW w:type="dxa" w:w="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262,08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183,46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78,62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1,31</w:t>
            </w:r>
          </w:p>
        </w:tc>
      </w:tr>
    </w:tbl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 xml:space="preserve">Za treću grupu vjerovnika: </w:t>
      </w:r>
    </w:p>
    <w:p w:rsidRDefault="009C7524" w:rsidP="009C7524" w:rsidR="009C7524">
      <w:pPr>
        <w:spacing w:lineRule="auto" w:line="360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1.  Obveze prema dobavljačima i ostalim vjerovnicima</w:t>
      </w:r>
      <w:r>
        <w:rPr>
          <w:rFonts w:cs="Times New Roman"/>
          <w:i/>
        </w:rPr>
        <w:t xml:space="preserve"> : </w:t>
      </w:r>
    </w:p>
    <w:p w:rsidRDefault="009C7524" w:rsidP="009C7524" w:rsidR="009C7524">
      <w:pPr>
        <w:pStyle w:val="Standard"/>
        <w:autoSpaceDE w:val="false"/>
        <w:spacing w:lineRule="auto" w:line="360"/>
        <w:rPr>
          <w:rFonts w:cs="Times New Roman"/>
        </w:rPr>
      </w:pPr>
      <w:r>
        <w:rPr>
          <w:rFonts w:cs="Times New Roman"/>
        </w:rPr>
        <w:t xml:space="preserve">Dug prema dobavljačima i ostalim vjerovnicima na dan 30.06.2016. godine iznosi 5.050.519,57 </w:t>
      </w:r>
      <w:r>
        <w:rPr>
          <w:rFonts w:cs="Times New Roman"/>
          <w:color w:val="000000"/>
        </w:rPr>
        <w:t>kn</w:t>
      </w:r>
      <w:r>
        <w:rPr>
          <w:rFonts w:cs="Times New Roman"/>
        </w:rPr>
        <w:t xml:space="preserve">.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</w:t>
      </w:r>
    </w:p>
    <w:tbl>
      <w:tblPr>
        <w:tblW w:type="dxa" w:w="14048"/>
        <w:tblInd w:type="dxa" w:w="93"/>
        <w:tblLook w:val="04A0" w:noVBand="1" w:noHBand="0" w:lastColumn="0" w:firstColumn="1" w:lastRow="0" w:firstRow="1"/>
      </w:tblPr>
      <w:tblGrid>
        <w:gridCol w:w="635"/>
        <w:gridCol w:w="2860"/>
        <w:gridCol w:w="1543"/>
        <w:gridCol w:w="1968"/>
        <w:gridCol w:w="1300"/>
        <w:gridCol w:w="942"/>
        <w:gridCol w:w="1727"/>
        <w:gridCol w:w="1689"/>
        <w:gridCol w:w="1463"/>
      </w:tblGrid>
      <w:tr w:rsidTr="009C7524" w:rsidR="009C7524">
        <w:trPr>
          <w:trHeight w:val="7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8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7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JAVNI BILJEŽNIK MARIJA KUSTIĆ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26027300253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43 000 Bjelovar, Dr. Ante Starčevića 5b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3.857,50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2.700,25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1.157,25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19,29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LIDER d.o.o. 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87335161400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43 000 Bjelovar, Tome Bakača 6/A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750,00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525,00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225,00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3,75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VRT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68416812428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43 000 Bjelovar, Matice Hrvatske 4/I 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141.322,66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98.925,86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42.396,80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706,61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145.930,16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2.Obveze po pozajmicama:</w:t>
      </w:r>
    </w:p>
    <w:p w:rsidRDefault="009C7524" w:rsidP="009C7524" w:rsidR="009C7524">
      <w:pPr>
        <w:spacing w:lineRule="auto" w:line="360"/>
        <w:jc w:val="both"/>
        <w:rPr>
          <w:rFonts w:cs="Times New Roman"/>
        </w:rPr>
      </w:pPr>
      <w:r>
        <w:rPr>
          <w:rFonts w:cs="Times New Roman"/>
        </w:rPr>
        <w:t xml:space="preserve">Kod obveza po pozajmicama isplata duga: Predviđen je otpis 70% ukupno utvrđene tražbine, te nakon dvije godine počeka, obročna otplata 30% ukupno utvrđene tražbine u 60 jednakih mjesečnih obroka (anuiteta) beskamatno, a sve počevši od dana pravomoćnosti Rješenja o sklopljenoj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pred Trgovačkim sudom.</w:t>
      </w:r>
    </w:p>
    <w:tbl>
      <w:tblPr>
        <w:tblW w:type="dxa" w:w="14084"/>
        <w:tblInd w:type="dxa" w:w="93"/>
        <w:tblLook w:val="04A0" w:noVBand="1" w:noHBand="0" w:lastColumn="0" w:firstColumn="1" w:lastRow="0" w:firstRow="1"/>
      </w:tblPr>
      <w:tblGrid>
        <w:gridCol w:w="637"/>
        <w:gridCol w:w="2196"/>
        <w:gridCol w:w="1307"/>
        <w:gridCol w:w="3039"/>
        <w:gridCol w:w="1482"/>
        <w:gridCol w:w="954"/>
        <w:gridCol w:w="1496"/>
        <w:gridCol w:w="1708"/>
        <w:gridCol w:w="1308"/>
      </w:tblGrid>
      <w:tr w:rsidTr="009C7524" w:rsidR="009C7524">
        <w:trPr>
          <w:trHeight w:val="78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7E4BC" w:color="auto" w:val="clear"/>
            <w:noWrap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type="dxa" w:w="22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3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type="dxa" w:w="14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7E4BC" w:color="auto" w:val="clear"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</w:t>
            </w:r>
          </w:p>
        </w:tc>
        <w:tc>
          <w:tcPr>
            <w:tcW w:type="dxa" w:w="2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Domagoj Belošević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44070294656</w:t>
            </w:r>
          </w:p>
        </w:tc>
        <w:tc>
          <w:tcPr>
            <w:tcW w:type="dxa" w:w="3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230.620,76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161.434,53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69.186,23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1.153,10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</w:t>
            </w:r>
          </w:p>
        </w:tc>
        <w:tc>
          <w:tcPr>
            <w:tcW w:type="dxa" w:w="2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Gabrijela Belošević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56077015541</w:t>
            </w:r>
          </w:p>
        </w:tc>
        <w:tc>
          <w:tcPr>
            <w:tcW w:type="dxa" w:w="3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281.000,00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196.700,00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84.300,00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1.405,00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3.</w:t>
            </w:r>
          </w:p>
        </w:tc>
        <w:tc>
          <w:tcPr>
            <w:tcW w:type="dxa" w:w="2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Marijana Belošević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17576035505</w:t>
            </w:r>
          </w:p>
        </w:tc>
        <w:tc>
          <w:tcPr>
            <w:tcW w:type="dxa" w:w="3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Krste Frankopana 70, BJELOVAR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4.271.499,32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2.990.049,52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1.281.449,80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21.357,50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</w:t>
            </w:r>
          </w:p>
        </w:tc>
        <w:tc>
          <w:tcPr>
            <w:tcW w:type="dxa" w:w="2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RATARSTVO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39141474711</w:t>
            </w:r>
          </w:p>
        </w:tc>
        <w:tc>
          <w:tcPr>
            <w:tcW w:type="dxa" w:w="3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  <w:t>Matice Hrvatske 4/I, BJELOVAR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121.469,33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70,00%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85.028,53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36.440,80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607,35</w:t>
            </w:r>
          </w:p>
        </w:tc>
      </w:tr>
      <w:tr w:rsidTr="009C7524" w:rsidR="009C7524">
        <w:trPr>
          <w:trHeight w:val="30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2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4.904.589,41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4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C7524" w:rsidR="009C7524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:rsidRDefault="009C7524" w:rsidP="009C7524" w:rsidR="009C7524">
      <w:pPr>
        <w:pStyle w:val="Standard"/>
        <w:autoSpaceDE w:val="false"/>
        <w:spacing w:lineRule="auto" w:line="360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jc w:val="both"/>
        <w:rPr>
          <w:rFonts w:cs="Times New Roman"/>
        </w:rPr>
      </w:pPr>
    </w:p>
    <w:p w:rsidRDefault="009C7524" w:rsidP="009C7524" w:rsidR="009C7524">
      <w:pPr>
        <w:pStyle w:val="Standard"/>
        <w:autoSpaceDE w:val="false"/>
        <w:spacing w:lineRule="auto" w:line="360" w:after="200"/>
        <w:rPr>
          <w:rFonts w:cs="Times New Roman" w:eastAsia="Calibri"/>
          <w:b/>
          <w:u w:val="single"/>
          <w:shd w:fill="FFFFFF" w:color="auto" w:val="clear"/>
        </w:rPr>
      </w:pPr>
      <w:r>
        <w:rPr>
          <w:rFonts w:cs="Times New Roman" w:eastAsia="Calibri"/>
          <w:b/>
          <w:u w:val="single"/>
          <w:shd w:fill="FFFFFF" w:color="auto" w:val="clear"/>
        </w:rPr>
        <w:lastRenderedPageBreak/>
        <w:t>Dug prema zaposlenicima nema.</w:t>
      </w:r>
    </w:p>
    <w:p w:rsidRDefault="009C7524" w:rsidP="009C7524" w:rsidR="009C7524">
      <w:pPr>
        <w:spacing w:after="0"/>
        <w:rPr>
          <w:rFonts w:cs="Times New Roman"/>
        </w:rPr>
        <w:sectPr w:rsidR="009C7524">
          <w:pgSz w:orient="landscape" w:h="11906" w:w="16838"/>
          <w:pgMar w:gutter="0" w:footer="708" w:header="708" w:left="1417" w:bottom="1417" w:right="1417" w:top="1417"/>
          <w:cols w:space="720"/>
        </w:sectPr>
      </w:pPr>
    </w:p>
    <w:p w:rsidRDefault="009C7524" w:rsidP="009C7524" w:rsidR="009C7524">
      <w:pPr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65" w:id="46"/>
      <w:bookmarkStart w:name="_Toc432416062" w:id="47"/>
      <w:bookmarkStart w:name="_Toc430627160" w:id="48"/>
      <w:r>
        <w:rPr>
          <w:rFonts w:cs="Times New Roman"/>
          <w:sz w:val="24"/>
          <w:szCs w:val="24"/>
        </w:rPr>
        <w:t>8. IZRAČUN TROŠKOVA RESTRUKTURIRANJA</w:t>
      </w:r>
      <w:bookmarkEnd w:id="46"/>
      <w:bookmarkEnd w:id="47"/>
      <w:bookmarkEnd w:id="48"/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 xml:space="preserve"> Troškove restrukturiranja, uključujući i troškove pravnih i poslovnih savjetnika, troškova postupka, i sl. procjenjujemo na </w:t>
      </w:r>
      <w:proofErr w:type="spellStart"/>
      <w:r>
        <w:rPr>
          <w:rFonts w:cs="Times New Roman"/>
        </w:rPr>
        <w:t>cca</w:t>
      </w:r>
      <w:proofErr w:type="spellEnd"/>
      <w:r>
        <w:rPr>
          <w:rFonts w:cs="Times New Roman"/>
        </w:rPr>
        <w:t xml:space="preserve"> 40.000,00 kn.</w:t>
      </w: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pStyle w:val="Naslov1"/>
        <w:rPr>
          <w:rFonts w:cs="Times New Roman"/>
          <w:sz w:val="24"/>
          <w:szCs w:val="24"/>
        </w:rPr>
      </w:pPr>
      <w:bookmarkStart w:name="_Toc458593666" w:id="49"/>
      <w:bookmarkStart w:name="_Toc432416063" w:id="50"/>
      <w:bookmarkStart w:name="_Toc430627161" w:id="51"/>
      <w:r>
        <w:rPr>
          <w:rFonts w:cs="Times New Roman"/>
          <w:sz w:val="24"/>
          <w:szCs w:val="24"/>
        </w:rPr>
        <w:t>9. USPOREDBA S OČEKIVANIM NAMIRENJEM U SLUČAJU STEČAJA</w:t>
      </w:r>
      <w:bookmarkEnd w:id="49"/>
      <w:bookmarkEnd w:id="50"/>
      <w:bookmarkEnd w:id="51"/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proofErr w:type="spellStart"/>
      <w:r>
        <w:rPr>
          <w:rFonts w:cs="Times New Roman"/>
        </w:rPr>
        <w:t>naa</w:t>
      </w:r>
      <w:proofErr w:type="spellEnd"/>
      <w:r>
        <w:rPr>
          <w:rFonts w:cs="Times New Roman"/>
        </w:rPr>
        <w:t xml:space="preserve"> kvalitetan način i u kratkom roku kao što je moguće provesti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nagodbe.</w:t>
      </w: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>Na djelomično namirenje morao bi računati tek dio vjerovnika u prvom redu.</w:t>
      </w: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  <w:r>
        <w:rPr>
          <w:rFonts w:cs="Times New Roman"/>
        </w:rPr>
        <w:t xml:space="preserve">Slijedom gore navedenog, društvo povećava broj zaposlenih sukladno planu restrukturiranja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</w:t>
      </w: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24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  <w:r>
        <w:rPr>
          <w:rFonts w:cs="Times New Roman"/>
        </w:rPr>
        <w:t>Plan financijskog i operativnog restrukturiranja društva VRTINVEST d.o.o. za 2016.-2018. godinu usvojio je i odobrio direktor društva dana 04.08.2016. godine.</w:t>
      </w: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Direktor</w:t>
      </w: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</w:p>
    <w:p w:rsidRDefault="009C7524" w:rsidP="009C7524" w:rsidR="009C7524">
      <w:pPr>
        <w:spacing w:lineRule="auto" w:line="360" w:before="12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_________________________</w:t>
      </w:r>
    </w:p>
    <w:p w:rsidRDefault="009C7524" w:rsidP="009C7524" w:rsidR="009C7524">
      <w:pPr>
        <w:spacing w:before="240"/>
        <w:rPr>
          <w:rFonts w:cs="Times New Roman"/>
        </w:rPr>
      </w:pPr>
    </w:p>
    <w:p w:rsidRDefault="009C7524" w:rsidP="009C7524" w:rsidR="009C7524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C75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3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920AD0"/>
    <w:multiLevelType w:val="hybridMultilevel"/>
    <w:tmpl w:val="BEA0A9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8D2DEE"/>
    <w:multiLevelType w:val="hybridMultilevel"/>
    <w:tmpl w:val="743EFBF0"/>
    <w:lvl w:tplc="4A122A5C" w:ilvl="0">
      <w:start w:val="1"/>
      <w:numFmt w:val="decimal"/>
      <w:pStyle w:val="Naslov4"/>
      <w:lvlText w:val="1.2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74B6CBE"/>
    <w:multiLevelType w:val="hybridMultilevel"/>
    <w:tmpl w:val="207CA22E"/>
    <w:lvl w:tplc="A5B46808" w:ilvl="0">
      <w:start w:val="1"/>
      <w:numFmt w:val="decimal"/>
      <w:pStyle w:val="Naslov3"/>
      <w:lvlText w:val="1.1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BFF69FD"/>
    <w:multiLevelType w:val="hybridMultilevel"/>
    <w:tmpl w:val="DA12A2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9020A0C"/>
    <w:multiLevelType w:val="hybridMultilevel"/>
    <w:tmpl w:val="64AA51AE"/>
    <w:lvl w:tplc="7E9EFDA6" w:ilvl="0">
      <w:start w:val="1"/>
      <w:numFmt w:val="decimal"/>
      <w:pStyle w:val="Naslov2"/>
      <w:lvlText w:val="1.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B3D7E17"/>
    <w:multiLevelType w:val="hybridMultilevel"/>
    <w:tmpl w:val="E5C095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3"/>
  </w:num>
  <w:num w:numId="3">
    <w:abstractNumId w:val="17"/>
  </w:num>
  <w:num w:numId="4">
    <w:abstractNumId w:val="45"/>
  </w:num>
  <w:num w:numId="5">
    <w:abstractNumId w:val="47"/>
  </w:num>
  <w:num w:numId="6">
    <w:abstractNumId w:val="19"/>
  </w:num>
  <w:num w:numId="7">
    <w:abstractNumId w:val="21"/>
  </w:num>
  <w:num w:numId="8">
    <w:abstractNumId w:val="32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3"/>
  </w:num>
  <w:num w:numId="14">
    <w:abstractNumId w:val="28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2"/>
  </w:num>
  <w:num w:numId="19">
    <w:abstractNumId w:val="16"/>
  </w:num>
  <w:num w:numId="20">
    <w:abstractNumId w:val="22"/>
  </w:num>
  <w:num w:numId="21">
    <w:abstractNumId w:val="23"/>
  </w:num>
  <w:num w:numId="22">
    <w:abstractNumId w:val="37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1"/>
  </w:num>
  <w:num w:numId="33">
    <w:abstractNumId w:val="31"/>
  </w:num>
  <w:num w:numId="34">
    <w:abstractNumId w:val="27"/>
  </w:num>
  <w:num w:numId="35">
    <w:abstractNumId w:val="11"/>
  </w:num>
  <w:num w:numId="36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4"/>
  </w:num>
  <w:num w:numId="41">
    <w:abstractNumId w:val="48"/>
  </w:num>
  <w:num w:numId="42">
    <w:abstractNumId w:val="12"/>
  </w:num>
  <w:num w:numId="43">
    <w:abstractNumId w:val="46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52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1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  <w:lsdException w:qFormat="true" w:uiPriority="39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roredaChar" w:type="character">
    <w:name w:val="Bez proreda Char"/>
    <w:basedOn w:val="Zadanifontodlomka"/>
    <w:link w:val="Bezproreda"/>
    <w:uiPriority w:val="1"/>
    <w:locked/>
    <w:rsid w:val="009C7524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Standard" w:type="paragraph">
    <w:name w:val="Standard"/>
    <w:uiPriority w:val="99"/>
    <w:rsid w:val="009C7524"/>
    <w:pPr>
      <w:widowControl w:val="false"/>
      <w:suppressAutoHyphens/>
      <w:autoSpaceDN w:val="false"/>
      <w:spacing w:lineRule="auto" w:line="240" w:after="0"/>
    </w:pPr>
    <w:rPr>
      <w:rFonts w:cs="Mangal" w:eastAsia="SimSun" w:hAnsi="Times New Roman" w:ascii="Times New Roman"/>
      <w:kern w:val="3"/>
      <w:sz w:val="24"/>
      <w:szCs w:val="24"/>
      <w:lang w:eastAsia="hr-HR" w:val="hr-HR"/>
    </w:rPr>
  </w:style>
  <w:style w:customStyle="true" w:styleId="t-9-8" w:type="paragraph">
    <w:name w:val="t-9-8"/>
    <w:basedOn w:val="Normal"/>
    <w:uiPriority w:val="99"/>
    <w:rsid w:val="009C7524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tyle10" w:type="paragraph">
    <w:name w:val="Style 1"/>
    <w:uiPriority w:val="99"/>
    <w:rsid w:val="009C7524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1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  <w:lsdException w:name="TOC Heading" w:qFormat="1" w:uiPriority="39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3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9C7524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Standard" w:type="paragraph">
    <w:name w:val="Standard"/>
    <w:uiPriority w:val="99"/>
    <w:rsid w:val="009C7524"/>
    <w:pPr>
      <w:widowControl w:val="0"/>
      <w:suppressAutoHyphens/>
      <w:autoSpaceDN w:val="0"/>
      <w:spacing w:after="0" w:line="240" w:lineRule="auto"/>
    </w:pPr>
    <w:rPr>
      <w:rFonts w:ascii="Times New Roman" w:cs="Mangal" w:eastAsia="SimSun" w:hAnsi="Times New Roman"/>
      <w:kern w:val="3"/>
      <w:sz w:val="24"/>
      <w:szCs w:val="24"/>
      <w:lang w:eastAsia="hr-HR" w:val="hr-HR"/>
    </w:rPr>
  </w:style>
  <w:style w:customStyle="1" w:styleId="t-9-8" w:type="paragraph">
    <w:name w:val="t-9-8"/>
    <w:basedOn w:val="Normal"/>
    <w:uiPriority w:val="99"/>
    <w:rsid w:val="009C7524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tyle10" w:type="paragraph">
    <w:name w:val="Style 1"/>
    <w:uiPriority w:val="99"/>
    <w:rsid w:val="009C7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7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F:\PSN_VRTINVEST\VRTINVEST%20%20d.o.o.docx" TargetMode="External"/><Relationship Id="rId18" Type="http://schemas.openxmlformats.org/officeDocument/2006/relationships/hyperlink" Target="file:///F:\PSN_VRTINVEST\VRTINVEST%20%20d.o.o.docx" TargetMode="External"/><Relationship Id="rId26" Type="http://schemas.openxmlformats.org/officeDocument/2006/relationships/hyperlink" Target="file:///F:\PSN_VRTINVEST\VRTINVEST%20%20d.o.o.docx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F:\PSN_VRTINVEST\VRTINVEST%20%20d.o.o.docx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F:\PSN_VRTINVEST\VRTINVEST%20%20d.o.o.docx" TargetMode="External"/><Relationship Id="rId17" Type="http://schemas.openxmlformats.org/officeDocument/2006/relationships/hyperlink" Target="file:///F:\PSN_VRTINVEST\VRTINVEST%20%20d.o.o.docx" TargetMode="External"/><Relationship Id="rId25" Type="http://schemas.openxmlformats.org/officeDocument/2006/relationships/hyperlink" Target="file:///F:\PSN_VRTINVEST\VRTINVEST%20%20d.o.o.doc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F:\PSN_VRTINVEST\VRTINVEST%20%20d.o.o.docx" TargetMode="External"/><Relationship Id="rId20" Type="http://schemas.openxmlformats.org/officeDocument/2006/relationships/hyperlink" Target="file:///F:\PSN_VRTINVEST\VRTINVEST%20%20d.o.o.docx" TargetMode="External"/><Relationship Id="rId29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F:\PSN_VRTINVEST\VRTINVEST%20%20d.o.o.docx" TargetMode="External"/><Relationship Id="rId24" Type="http://schemas.openxmlformats.org/officeDocument/2006/relationships/hyperlink" Target="file:///F:\PSN_VRTINVEST\VRTINVEST%20%20d.o.o.docx" TargetMode="Externa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file:///F:\PSN_VRTINVEST\VRTINVEST%20%20d.o.o.docx" TargetMode="External"/><Relationship Id="rId23" Type="http://schemas.openxmlformats.org/officeDocument/2006/relationships/hyperlink" Target="file:///F:\PSN_VRTINVEST\VRTINVEST%20%20d.o.o.docx" TargetMode="External"/><Relationship Id="rId28" Type="http://schemas.openxmlformats.org/officeDocument/2006/relationships/chart" Target="charts/chart2.xml"/><Relationship Id="rId10" Type="http://schemas.openxmlformats.org/officeDocument/2006/relationships/hyperlink" Target="file:///F:\PSN_VRTINVEST\VRTINVEST%20%20d.o.o.docx" TargetMode="External"/><Relationship Id="rId19" Type="http://schemas.openxmlformats.org/officeDocument/2006/relationships/hyperlink" Target="file:///F:\PSN_VRTINVEST\VRTINVEST%20%20d.o.o.docx" TargetMode="External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F:\PSN_VRTINVEST\VRTINVEST%20%20d.o.o.docx" TargetMode="External"/><Relationship Id="rId22" Type="http://schemas.openxmlformats.org/officeDocument/2006/relationships/hyperlink" Target="file:///F:\PSN_VRTINVEST\VRTINVEST%20%20d.o.o.docx" TargetMode="External"/><Relationship Id="rId27" Type="http://schemas.openxmlformats.org/officeDocument/2006/relationships/chart" Target="charts/chart1.xml"/><Relationship Id="rId30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layout/>
      <c:overlay val="false"/>
    </c:title>
    <c:autoTitleDeleted val="false"/>
    <c:view3D>
      <c:rotX val="30"/>
      <c:rotY val="0"/>
      <c:rAngAx val="false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extLst>
              <c:ext uri="{CE6537A1-D6FC-4f65-9D91-7224C49458BB}">
                <c15:layout xmlns:c15="http://schemas.microsoft.com/office/drawing/2012/chart"/>
              </c:ext>
            </c:extLst>
          </c:dLbls>
          <c:cat>
            <c:strRef>
              <c:f>Sheet1!$A$2</c:f>
              <c:strCache>
                <c:ptCount val="1"/>
                <c:pt idx="0">
                  <c:v>VRTINVEST d.o.o.</c:v>
                </c:pt>
              </c:strCache>
            </c:strRef>
          </c:cat>
          <c:val>
            <c:numRef>
              <c:f>Sheet1!$B$2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false"/>
          <c:showVal val="false"/>
          <c:showCatName val="true"/>
          <c:showSerName val="false"/>
          <c:showPercent val="true"/>
          <c:showBubbleSize val="false"/>
          <c:showLeaderLines val="true"/>
        </c:dLbls>
      </c:pie3DChart>
    </c:plotArea>
    <c:plotVisOnly val="true"/>
    <c:dispBlanksAs val="zero"/>
    <c:showDLblsOverMax val="false"/>
  </c:chart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autoTitleDeleted val="false"/>
    <c:view3D>
      <c:rotX val="15"/>
      <c:rotY val="20"/>
      <c:rAngAx val="true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false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434900</c:v>
                </c:pt>
                <c:pt idx="1">
                  <c:v>478400</c:v>
                </c:pt>
                <c:pt idx="2">
                  <c:v>41700</c:v>
                </c:pt>
                <c:pt idx="3">
                  <c:v>240400</c:v>
                </c:pt>
                <c:pt idx="4">
                  <c:v>240400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32400</c:v>
                </c:pt>
                <c:pt idx="1">
                  <c:v>42800</c:v>
                </c:pt>
                <c:pt idx="2">
                  <c:v>30300</c:v>
                </c:pt>
                <c:pt idx="3">
                  <c:v>233800</c:v>
                </c:pt>
                <c:pt idx="4">
                  <c:v>233800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-20800</c:v>
                </c:pt>
                <c:pt idx="1">
                  <c:v>-14900</c:v>
                </c:pt>
                <c:pt idx="2">
                  <c:v>-28800</c:v>
                </c:pt>
                <c:pt idx="3">
                  <c:v>6900</c:v>
                </c:pt>
                <c:pt idx="4">
                  <c:v>6900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Sheet1!$E$2:$E$6</c:f>
              <c:numCache>
                <c:formatCode>#,##0</c:formatCode>
                <c:ptCount val="5"/>
                <c:pt idx="0">
                  <c:v>402500</c:v>
                </c:pt>
                <c:pt idx="1">
                  <c:v>435600</c:v>
                </c:pt>
                <c:pt idx="2">
                  <c:v>11400</c:v>
                </c:pt>
                <c:pt idx="3">
                  <c:v>6700</c:v>
                </c:pt>
                <c:pt idx="4">
                  <c:v>6700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invertIfNegative val="false"/>
          <c:cat>
            <c:strRef>
              <c:f>Sheet1!$A$2:$A$6</c:f>
              <c:strCache>
                <c:ptCount val="5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30.06.2016.</c:v>
                </c:pt>
              </c:strCache>
            </c:strRef>
          </c:cat>
          <c:val>
            <c:numRef>
              <c:f>Sheet1!$F$2:$F$6</c:f>
              <c:numCache>
                <c:formatCode>#,##0</c:formatCode>
                <c:ptCount val="5"/>
                <c:pt idx="0">
                  <c:v>322900</c:v>
                </c:pt>
                <c:pt idx="1">
                  <c:v>348500</c:v>
                </c:pt>
                <c:pt idx="2">
                  <c:v>8500</c:v>
                </c:pt>
                <c:pt idx="3">
                  <c:v>5000</c:v>
                </c:pt>
                <c:pt idx="4">
                  <c:v>5000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shape val="cylinder"/>
        <c:axId val="142964608"/>
        <c:axId val="146046976"/>
        <c:axId val="0"/>
      </c:bar3DChart>
      <c:catAx>
        <c:axId val="142964608"/>
        <c:scaling>
          <c:orientation val="minMax"/>
        </c:scaling>
        <c:delete val="false"/>
        <c:axPos val="b"/>
        <c:numFmt sourceLinked="false" formatCode="General"/>
        <c:majorTickMark val="out"/>
        <c:minorTickMark val="none"/>
        <c:tickLblPos val="nextTo"/>
        <c:crossAx val="146046976"/>
        <c:crosses val="autoZero"/>
        <c:auto val="true"/>
        <c:lblAlgn val="ctr"/>
        <c:lblOffset val="100"/>
        <c:noMultiLvlLbl val="false"/>
      </c:catAx>
      <c:valAx>
        <c:axId val="146046976"/>
        <c:scaling>
          <c:orientation val="minMax"/>
        </c:scaling>
        <c:delete val="false"/>
        <c:axPos val="l"/>
        <c:majorGridlines/>
        <c:numFmt sourceLinked="true" formatCode="#,##0"/>
        <c:majorTickMark val="out"/>
        <c:minorTickMark val="none"/>
        <c:tickLblPos val="nextTo"/>
        <c:crossAx val="142964608"/>
        <c:crosses val="autoZero"/>
        <c:crossBetween val="between"/>
      </c:valAx>
    </c:plotArea>
    <c:legend>
      <c:legendPos val="r"/>
      <c:layout/>
      <c:overlay val="false"/>
    </c:legend>
    <c:plotVisOnly val="true"/>
    <c:dispBlanksAs val="gap"/>
    <c:showDLblsOverMax val="false"/>
  </c:chart>
  <c:externalData r:id="rId1">
    <c:autoUpdate val="false"/>
  </c:externalData>
</c:chartSpace>
</file>

<file path=word/charts/chart3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/>
          <a:lstStyle/>
          <a:p>
            <a:pPr>
              <a:defRPr/>
            </a:pPr>
            <a:r>
              <a:rPr lang="en-US"/>
              <a:t>St</a:t>
            </a:r>
            <a:r>
              <a:rPr lang="hr-HR"/>
              <a:t>r</a:t>
            </a:r>
            <a:r>
              <a:rPr lang="en-US"/>
              <a:t>uktura duga</a:t>
            </a:r>
          </a:p>
        </c:rich>
      </c:tx>
      <c:layout/>
      <c:overlay val="false"/>
    </c:title>
    <c:autoTitleDeleted val="false"/>
    <c:view3D>
      <c:rotX val="30"/>
      <c:rotY val="0"/>
      <c:rAngAx val="false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true"/>
        <c:ser>
          <c:idx val="0"/>
          <c:order val="0"/>
          <c:tx>
            <c:strRef>
              <c:f>Sheet1!$B$1</c:f>
              <c:strCache>
                <c:ptCount val="1"/>
                <c:pt idx="0">
                  <c:v>Stuktura duga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>
                <c15:layout xmlns:c15="http://schemas.microsoft.com/office/drawing/2012/chart"/>
              </c:ext>
            </c:extLst>
          </c:dLbls>
          <c:cat>
            <c:strRef>
              <c:f>Sheet1!$A$2:$A$5</c:f>
              <c:strCache>
                <c:ptCount val="4"/>
                <c:pt idx="0">
                  <c:v>Javna uprava i trgovačka društva u većinskom vlasništvu RH</c:v>
                </c:pt>
                <c:pt idx="1">
                  <c:v>Financijske institucije</c:v>
                </c:pt>
                <c:pt idx="2">
                  <c:v>Ostali vjerovnici</c:v>
                </c:pt>
                <c:pt idx="3">
                  <c:v>Zaposlenici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</c:v>
                </c:pt>
                <c:pt idx="1">
                  <c:v>1.0000000000000022E-4</c:v>
                </c:pt>
                <c:pt idx="2">
                  <c:v>0.99990000000000001</c:v>
                </c:pt>
                <c:pt idx="3">
                  <c:v>0</c:v>
                </c:pt>
              </c:numCache>
            </c:numRef>
          </c:val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</c:pie3DChart>
    </c:plotArea>
    <c:legend>
      <c:legendPos val="r"/>
      <c:layout/>
      <c:overlay val="false"/>
    </c:legend>
    <c:plotVisOnly val="true"/>
    <c:dispBlanksAs val="zero"/>
    <c:showDLblsOverMax val="false"/>
  </c:chart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St-1320/2016-8</izvorni_sadrzaj>
    <derivirana_varijabla naziv="DomainObject.Oznaka_1">St-1320/2016-8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30</izvorni_sadrzaj>
    <derivirana_varijabla naziv="DomainObject.BrojStranica_1">30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St-1320/2016-8</izvorni_sadrzaj>
    <derivirana_varijabla naziv="DomainObject.PoslovniBrojDokumenta_1">St-1320/2016-8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</izvorni_sadrzaj>
    <derivirana_varijabla naziv="DomainObject.Predmet.SudioniciListNaziv_1">
      <item>VRTINVEST društvo s ograničenom odgovornošću za trgovinu i usluge</item>
      <item>Pavao Mrkonjić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Ante Topić Mimare 24,10000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A2D80-1EC1-4CA3-80F8-2F2162C85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38</properties:Pages>
  <properties:Words>5271</properties:Words>
  <properties:Characters>32070</properties:Characters>
  <properties:Lines>2204</properties:Lines>
  <properties:Paragraphs>1228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2016-09-16T08:21:00Z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38</vt:i4>
  </prop:property>
  <prop:property name="Naslov" pid="5" fmtid="{D5CDD505-2E9C-101B-9397-08002B2CF9AE}">
    <vt:lpwstr>St-1320/2016-8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