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78d8f" w14:paraId="f378d8f" w:rsidRDefault="00476AF5" w:rsidP="00910611" w:rsidR="00476AF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76AF5" w:rsidP="00910611" w:rsidR="00476AF5">
      <w:r>
        <w:rPr>
          <w:rFonts w:eastAsia="MS Mincho"/>
        </w:rPr>
        <w:t xml:space="preserve">   REPUBLIKA HRVATSKA</w:t>
      </w:r>
    </w:p>
    <w:p w:rsidRDefault="00476AF5" w:rsidP="00910611" w:rsidR="00476AF5">
      <w:r>
        <w:rPr>
          <w:rFonts w:eastAsia="MS Mincho"/>
        </w:rPr>
        <w:t>TRGOVAČKI SUD U RIJECI</w:t>
      </w:r>
    </w:p>
    <w:p w:rsidRDefault="00476AF5" w:rsidP="0011553C" w:rsidR="0008168B" w:rsidRPr="00476AF5">
      <w:pPr>
        <w:rPr>
          <w:rFonts w:eastAsia="MS Mincho"/>
        </w:rPr>
      </w:pPr>
      <w:r>
        <w:rPr>
          <w:rFonts w:eastAsia="MS Mincho"/>
        </w:rPr>
        <w:t xml:space="preserve">       Rijeka, Zadarska 1 i 3</w:t>
      </w:r>
      <w:r w:rsidR="00732A0D">
        <w:tab/>
      </w:r>
      <w:r w:rsidR="0011553C">
        <w:rPr>
          <w:rFonts w:eastAsia="MS Mincho"/>
        </w:rPr>
        <w:tab/>
      </w:r>
      <w:r w:rsidR="0011553C">
        <w:rPr>
          <w:rFonts w:eastAsia="MS Mincho"/>
        </w:rPr>
        <w:tab/>
      </w:r>
      <w:r w:rsidR="00732A0D">
        <w:rPr>
          <w:rFonts w:eastAsia="MS Mincho"/>
        </w:rPr>
        <w:tab/>
      </w:r>
      <w:r w:rsidR="00732A0D">
        <w:rPr>
          <w:rFonts w:eastAsia="MS Mincho"/>
        </w:rPr>
        <w:tab/>
      </w:r>
      <w:r w:rsidR="0011553C">
        <w:rPr>
          <w:rFonts w:eastAsia="MS Mincho"/>
        </w:rPr>
        <w:t>P</w:t>
      </w:r>
      <w:r w:rsidR="00465B74">
        <w:rPr>
          <w:noProof/>
        </w:rPr>
        <w:t>oslovni broj</w:t>
      </w:r>
      <w:r w:rsidR="003A52DA">
        <w:rPr>
          <w:noProof/>
        </w:rPr>
        <w:t xml:space="preserve"> 15 St-190/14-184</w:t>
      </w:r>
    </w:p>
    <w:p w:rsidRDefault="0008168B" w:rsidP="00543B99" w:rsidR="0008168B" w:rsidRPr="003A52DA">
      <w:pPr>
        <w:jc w:val="center"/>
        <w:rPr>
          <w:noProof/>
        </w:rPr>
      </w:pPr>
    </w:p>
    <w:p w:rsidRDefault="00543B99" w:rsidP="00543B99" w:rsidR="00543B99" w:rsidRPr="003A52DA">
      <w:pPr>
        <w:ind w:right="512"/>
        <w:jc w:val="center"/>
      </w:pPr>
      <w:r w:rsidRPr="003A52DA">
        <w:t xml:space="preserve">        R E P U B L I K A  H R V A T S K A</w:t>
      </w:r>
    </w:p>
    <w:p w:rsidRDefault="00543B99" w:rsidP="00543B99" w:rsidR="00543B99" w:rsidRPr="003A52DA">
      <w:pPr>
        <w:ind w:right="512"/>
        <w:jc w:val="center"/>
      </w:pPr>
    </w:p>
    <w:p w:rsidRDefault="00543B99" w:rsidP="00543B99" w:rsidR="00543B99" w:rsidRPr="003A52DA">
      <w:pPr>
        <w:ind w:right="512"/>
        <w:jc w:val="center"/>
      </w:pPr>
      <w:r w:rsidRPr="003A52DA">
        <w:t xml:space="preserve">      R J E Š E N J E</w:t>
      </w:r>
    </w:p>
    <w:p w:rsidRDefault="00543B99" w:rsidP="00543B99" w:rsidR="00543B99" w:rsidRPr="00DE354B">
      <w:pPr>
        <w:jc w:val="center"/>
        <w:rPr>
          <w:b/>
        </w:rPr>
      </w:pPr>
    </w:p>
    <w:p w:rsidRDefault="003A52DA" w:rsidP="00543B99" w:rsidR="00543B99" w:rsidRPr="006C5385">
      <w:pPr>
        <w:ind w:firstLine="708"/>
        <w:jc w:val="both"/>
      </w:pPr>
      <w:r>
        <w:t xml:space="preserve">Trgovački sud u Rijeci, OIB 88785964957 po stečajnom sucu ovog suda Danieli Korlević, u stečajnom postupku nad dužnikom </w:t>
      </w:r>
      <w:r>
        <w:rPr>
          <w:b/>
        </w:rPr>
        <w:t>GLAS ISTRE TRGOVINA d.o.o. Pula, Trg I. istarske brigade 10, OIB 17540613938, o</w:t>
      </w:r>
      <w:r>
        <w:t>dlučujući o zahtjevu stečajnog upravitelja za nagradu</w:t>
      </w:r>
      <w:r w:rsidR="00543B99" w:rsidRPr="00732A0D">
        <w:rPr>
          <w:b/>
        </w:rPr>
        <w:t xml:space="preserve">, </w:t>
      </w:r>
      <w:r w:rsidR="00543B99" w:rsidRPr="0011553C">
        <w:t xml:space="preserve">dana </w:t>
      </w:r>
      <w:r>
        <w:t>12. ožujka 2018.</w:t>
      </w:r>
      <w:r w:rsidR="00543B99" w:rsidRPr="006C5385">
        <w:t xml:space="preserve"> </w:t>
      </w:r>
    </w:p>
    <w:p w:rsidRDefault="00543B99" w:rsidP="00543B99" w:rsidR="00543B99" w:rsidRPr="006C5385">
      <w:pPr>
        <w:ind w:firstLine="708"/>
        <w:jc w:val="both"/>
      </w:pPr>
    </w:p>
    <w:p w:rsidRDefault="00543B99" w:rsidP="00543B99" w:rsidR="00543B99" w:rsidRPr="003A52DA">
      <w:pPr>
        <w:jc w:val="center"/>
      </w:pPr>
      <w:r w:rsidRPr="003A52DA">
        <w:t>r i j e š i o  j e</w:t>
      </w:r>
    </w:p>
    <w:p w:rsidRDefault="00543B99" w:rsidP="00543B99" w:rsidR="00543B99" w:rsidRPr="003A52DA"/>
    <w:p w:rsidRDefault="003A52DA" w:rsidP="003A52DA" w:rsidR="003A52DA">
      <w:pPr>
        <w:jc w:val="both"/>
      </w:pPr>
      <w:r>
        <w:t xml:space="preserve">I. </w:t>
      </w:r>
      <w:r>
        <w:tab/>
        <w:t xml:space="preserve">Stečajnom upravitelju </w:t>
      </w:r>
      <w:r w:rsidRPr="00E36B55">
        <w:t>Zdravk</w:t>
      </w:r>
      <w:r>
        <w:t>u</w:t>
      </w:r>
      <w:r w:rsidRPr="00E36B55">
        <w:t xml:space="preserve"> Ružić iz Čavli, </w:t>
      </w:r>
      <w:r>
        <w:t xml:space="preserve">Vrh </w:t>
      </w:r>
      <w:proofErr w:type="spellStart"/>
      <w:r>
        <w:t>Čavje</w:t>
      </w:r>
      <w:proofErr w:type="spellEnd"/>
      <w:r>
        <w:t xml:space="preserve"> 9</w:t>
      </w:r>
      <w:r w:rsidRPr="00E36B55">
        <w:t xml:space="preserve">, </w:t>
      </w:r>
      <w:r>
        <w:t>OIB 78501117495  određuje se konačna nagrada za rad u stečajnom postupku do 10. listopada 2015. u iznosu od 34.035,02 kn neto.</w:t>
      </w:r>
    </w:p>
    <w:p w:rsidRDefault="003A52DA" w:rsidP="003A52DA" w:rsidR="003A52DA">
      <w:pPr>
        <w:jc w:val="both"/>
      </w:pPr>
    </w:p>
    <w:p w:rsidRDefault="003A52DA" w:rsidP="003A52DA" w:rsidR="003A52DA">
      <w:pPr>
        <w:jc w:val="both"/>
      </w:pPr>
      <w:r>
        <w:t xml:space="preserve">II. </w:t>
      </w:r>
      <w:r>
        <w:tab/>
        <w:t xml:space="preserve">Stečajnom upravitelju </w:t>
      </w:r>
      <w:r w:rsidRPr="00E36B55">
        <w:t>Zdravk</w:t>
      </w:r>
      <w:r>
        <w:t>u</w:t>
      </w:r>
      <w:r w:rsidRPr="00E36B55">
        <w:t xml:space="preserve"> Ružić iz Čavli, </w:t>
      </w:r>
      <w:r>
        <w:t xml:space="preserve">Vrh </w:t>
      </w:r>
      <w:proofErr w:type="spellStart"/>
      <w:r>
        <w:t>Čavje</w:t>
      </w:r>
      <w:proofErr w:type="spellEnd"/>
      <w:r>
        <w:t xml:space="preserve"> 9</w:t>
      </w:r>
      <w:r w:rsidRPr="00E36B55">
        <w:t xml:space="preserve">, </w:t>
      </w:r>
      <w:r>
        <w:t>OIB 78501117495  određuje se konačna nagrada za rad u stečajnom postupku od 10. listopada 2015. u iznosu od 207.458,39 kn bruto.</w:t>
      </w:r>
    </w:p>
    <w:p w:rsidRDefault="003A52DA" w:rsidP="003A52DA" w:rsidR="003A52DA"/>
    <w:p w:rsidRDefault="003A52DA" w:rsidP="003A52DA" w:rsidR="003A52DA" w:rsidRPr="000508A5">
      <w:pPr>
        <w:jc w:val="center"/>
      </w:pPr>
      <w:r w:rsidRPr="000508A5">
        <w:t>Obrazloženje</w:t>
      </w:r>
    </w:p>
    <w:p w:rsidRDefault="003A52DA" w:rsidP="003A52DA" w:rsidR="003A52DA"/>
    <w:p w:rsidRDefault="003A52DA" w:rsidP="003A52DA" w:rsidR="003A52DA">
      <w:pPr>
        <w:jc w:val="both"/>
      </w:pPr>
      <w:r>
        <w:tab/>
        <w:t xml:space="preserve">Prema odredbi članka 94. u vezi sa čl.441. st.2. Stečajnog zakona (Narodne novine br. 71/15, dalje: SZ-a) stečajni upravitelj ima pravo na nagradu za svoj rad i naknadu stvarnih troškova koje rješenjem određuje sud prema Uredbi kojom Vlada Republike Hrvatske utvrđuje kriterije i način obračuna i plaćanja nagrade stečajnim upraviteljima. </w:t>
      </w:r>
    </w:p>
    <w:p w:rsidRDefault="003A52DA" w:rsidP="003A52DA" w:rsidR="003A52DA">
      <w:pPr>
        <w:jc w:val="both"/>
      </w:pPr>
      <w:r>
        <w:tab/>
        <w:t xml:space="preserve">Prema odredbi čl.16. st.2. Uredbe o kriterijima i načinu obračuna i plaćanja nagrada stečajnim upraviteljima (Narodne novine, br. 105/15, dalje: Uredba) za rad stečajnom upravitelju koji je obavljen do stupanja na snagu ove Uredbe obračunat će se nagrada po pravilima Uredbe o kriterijima i načinu obračuna i plaćanja nagrada stečajnim upraviteljima (Narodne novine, br. 189/03), pri čemu je sud dužan utvrditi postotan nagrade koja stečajnom upravitelju pripada prema pravilima te Uredbe. </w:t>
      </w:r>
    </w:p>
    <w:p w:rsidRDefault="003A52DA" w:rsidP="003A52DA" w:rsidR="003A52DA">
      <w:pPr>
        <w:jc w:val="both"/>
      </w:pPr>
      <w:r>
        <w:tab/>
        <w:t xml:space="preserve">Prema stavku 3. istog članka za poslove obavljene nakon stupanja na snagu Uredbe, nagrada će se odrediti po njenim pravilima, vodeći računa o postotku namirenja. </w:t>
      </w:r>
    </w:p>
    <w:p w:rsidRDefault="003A52DA" w:rsidP="003A52DA" w:rsidR="003A52DA">
      <w:pPr>
        <w:jc w:val="both"/>
      </w:pPr>
      <w:r>
        <w:tab/>
        <w:t>Za razdoblje do stupanja na snagu Uredbe, 10. listopada 2015. godine, stečajnom upravitelju određuje se nagrada prema odredbama Uredbe (Narodne novine br. 189/03), a za kasnije razdoblje prema odredbama U</w:t>
      </w:r>
      <w:r>
        <w:rPr>
          <w:bCs w:val="false"/>
          <w:color w:val="000000"/>
        </w:rPr>
        <w:t>redbe o kriterijima i načinu obračuna i plaćanja nagrade stečajnim upraviteljima (Narodne novine, br. 105/15).</w:t>
      </w:r>
    </w:p>
    <w:p w:rsidRDefault="003A52DA" w:rsidP="003A52DA" w:rsidR="003A52DA">
      <w:pPr>
        <w:jc w:val="both"/>
      </w:pPr>
      <w:r>
        <w:tab/>
        <w:t xml:space="preserve">U konkretnom slučaju, stečajni sudac utvrdio je da je imovina stečajnog dužnika u razdoblju do 10. listopada 2015. unovčena u vrijednosti od </w:t>
      </w:r>
      <w:r>
        <w:rPr>
          <w:bCs w:val="false"/>
        </w:rPr>
        <w:t xml:space="preserve"> 425.437,77</w:t>
      </w:r>
      <w:r>
        <w:rPr>
          <w:b/>
          <w:bCs w:val="false"/>
        </w:rPr>
        <w:t xml:space="preserve"> </w:t>
      </w:r>
      <w:r>
        <w:t>kn, pa je na temelju čl.</w:t>
      </w:r>
      <w:smartTag w:element="metricconverter" w:uri="urn:schemas-microsoft-com:office:smarttags">
        <w:smartTagPr>
          <w:attr w:val="4. st" w:name="ProductID"/>
        </w:smartTagPr>
        <w:r>
          <w:t>4. st</w:t>
        </w:r>
      </w:smartTag>
      <w:r>
        <w:t xml:space="preserve">.1. Uredbe o kriterijima i načinu obračuna i plaćanja nagrada stečajnim upraviteljima (Narodne novine, br. 189/03), stečajnom upravitelju odredio nagradu u iznosu od 34.035,02 kn neto, koji iznos predstavlja 8% vrijednosti unovčene stečajne mase. </w:t>
      </w:r>
    </w:p>
    <w:p w:rsidRDefault="003A52DA" w:rsidP="003A52DA" w:rsidR="003A52DA">
      <w:pPr>
        <w:jc w:val="both"/>
      </w:pPr>
      <w:r>
        <w:lastRenderedPageBreak/>
        <w:tab/>
        <w:t xml:space="preserve">Nadalje, imovina stečajnog dužnika u razdoblju nakon 10. listopada 2015. unovčena je u vrijednosti od 2.535.120,33 kn, pa je na temelju čl.7. Uredbe o kriterijima i načinu obračuna i plaćanja nagrada stečajnim upraviteljima (Narodne novine, br. </w:t>
      </w:r>
      <w:r>
        <w:rPr>
          <w:bCs w:val="false"/>
          <w:color w:val="000000"/>
        </w:rPr>
        <w:t>105/15</w:t>
      </w:r>
      <w:r>
        <w:t>), stečajnom upravitelju odredio nagradu u iznosu od 207.458,39 kn bruto, na način kako slijedi:</w:t>
      </w: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959"/>
        <w:gridCol w:w="6292"/>
        <w:gridCol w:w="2071"/>
      </w:tblGrid>
      <w:tr w:rsidTr="003A52DA" w:rsidR="003A52DA">
        <w:trPr>
          <w:trHeight w:val="699"/>
        </w:trPr>
        <w:tc>
          <w:tcPr>
            <w:tcW w:type="dxa" w:w="959"/>
            <w:tcBorders>
              <w:top w:space="0" w:sz="4" w:color="auto" w:val="single"/>
              <w:left w:space="0" w:sz="4" w:color="auto" w:val="single"/>
              <w:bottom w:space="0" w:sz="4" w:color="auto" w:val="single"/>
              <w:right w:space="0" w:sz="4" w:color="auto" w:val="single"/>
            </w:tcBorders>
          </w:tcPr>
          <w:p w:rsidRDefault="003A52DA" w:rsidR="003A52DA">
            <w:pPr>
              <w:jc w:val="center"/>
              <w:rPr>
                <w:rFonts w:eastAsia="Arial Unicode MS"/>
              </w:rPr>
            </w:pPr>
          </w:p>
          <w:p w:rsidRDefault="003A52DA" w:rsidR="003A52DA">
            <w:pPr>
              <w:jc w:val="center"/>
              <w:rPr>
                <w:rFonts w:eastAsia="Arial Unicode MS"/>
              </w:rPr>
            </w:pPr>
            <w:proofErr w:type="spellStart"/>
            <w:r>
              <w:rPr>
                <w:rFonts w:eastAsia="Arial Unicode MS"/>
                <w:bCs w:val="false"/>
              </w:rPr>
              <w:t>Rbr</w:t>
            </w:r>
            <w:proofErr w:type="spellEnd"/>
            <w:r>
              <w:rPr>
                <w:rFonts w:eastAsia="Arial Unicode MS"/>
                <w:bCs w:val="false"/>
              </w:rPr>
              <w:t>.</w:t>
            </w:r>
          </w:p>
        </w:tc>
        <w:tc>
          <w:tcPr>
            <w:tcW w:type="dxa" w:w="6292"/>
            <w:tcBorders>
              <w:top w:space="0" w:sz="4" w:color="auto" w:val="single"/>
              <w:left w:space="0" w:sz="4" w:color="auto" w:val="single"/>
              <w:bottom w:space="0" w:sz="4" w:color="auto" w:val="single"/>
              <w:right w:space="0" w:sz="4" w:color="auto" w:val="single"/>
            </w:tcBorders>
          </w:tcPr>
          <w:p w:rsidRDefault="003A52DA" w:rsidR="003A52DA">
            <w:pPr>
              <w:jc w:val="center"/>
              <w:rPr>
                <w:rFonts w:eastAsia="Arial Unicode MS"/>
              </w:rPr>
            </w:pPr>
          </w:p>
          <w:p w:rsidRDefault="003A52DA" w:rsidR="003A52DA">
            <w:pPr>
              <w:jc w:val="center"/>
              <w:rPr>
                <w:rFonts w:eastAsia="Arial Unicode MS"/>
              </w:rPr>
            </w:pPr>
            <w:r>
              <w:rPr>
                <w:rFonts w:eastAsia="Arial Unicode MS"/>
                <w:bCs w:val="false"/>
              </w:rPr>
              <w:t>Obračun nagrade u postotku unovčene imovine</w:t>
            </w:r>
          </w:p>
        </w:tc>
        <w:tc>
          <w:tcPr>
            <w:tcW w:type="dxa" w:w="2071"/>
            <w:tcBorders>
              <w:top w:space="0" w:sz="4" w:color="auto" w:val="single"/>
              <w:left w:space="0" w:sz="4" w:color="auto" w:val="single"/>
              <w:bottom w:space="0" w:sz="4" w:color="auto" w:val="single"/>
              <w:right w:space="0" w:sz="4" w:color="auto" w:val="single"/>
            </w:tcBorders>
          </w:tcPr>
          <w:p w:rsidRDefault="003A52DA" w:rsidR="003A52DA">
            <w:pPr>
              <w:jc w:val="center"/>
              <w:rPr>
                <w:rFonts w:eastAsia="Arial Unicode MS"/>
              </w:rPr>
            </w:pPr>
          </w:p>
          <w:p w:rsidRDefault="003A52DA" w:rsidR="003A52DA">
            <w:pPr>
              <w:jc w:val="center"/>
              <w:rPr>
                <w:rFonts w:eastAsia="Arial Unicode MS"/>
              </w:rPr>
            </w:pPr>
            <w:r>
              <w:rPr>
                <w:rFonts w:eastAsia="Arial Unicode MS"/>
                <w:bCs w:val="false"/>
              </w:rPr>
              <w:t>Iznos nagrade</w:t>
            </w:r>
          </w:p>
        </w:tc>
      </w:tr>
      <w:tr w:rsidTr="003A52DA" w:rsidR="003A52DA">
        <w:tc>
          <w:tcPr>
            <w:tcW w:type="dxa" w:w="959"/>
            <w:tcBorders>
              <w:top w:space="0" w:sz="4" w:color="auto" w:val="single"/>
              <w:left w:space="0" w:sz="4" w:color="auto" w:val="single"/>
              <w:bottom w:space="0" w:sz="4" w:color="auto" w:val="single"/>
              <w:right w:space="0" w:sz="4" w:color="auto" w:val="single"/>
            </w:tcBorders>
            <w:hideMark/>
          </w:tcPr>
          <w:p w:rsidRDefault="003A52DA" w:rsidR="003A52DA">
            <w:pPr>
              <w:jc w:val="center"/>
              <w:rPr>
                <w:color w:val="000000"/>
              </w:rPr>
            </w:pPr>
            <w:r>
              <w:rPr>
                <w:color w:val="000000"/>
              </w:rPr>
              <w:t>1.</w:t>
            </w:r>
          </w:p>
        </w:tc>
        <w:tc>
          <w:tcPr>
            <w:tcW w:type="dxa" w:w="6292"/>
            <w:tcBorders>
              <w:top w:space="0" w:sz="4" w:color="auto" w:val="single"/>
              <w:left w:space="0" w:sz="4" w:color="auto" w:val="single"/>
              <w:bottom w:space="0" w:sz="4" w:color="auto" w:val="single"/>
              <w:right w:space="0" w:sz="4" w:color="auto" w:val="single"/>
            </w:tcBorders>
            <w:hideMark/>
          </w:tcPr>
          <w:p w:rsidRDefault="003A52DA" w:rsidR="003A52DA">
            <w:pPr>
              <w:tabs>
                <w:tab w:pos="2862" w:val="center"/>
              </w:tabs>
              <w:jc w:val="center"/>
              <w:rPr>
                <w:color w:val="000000"/>
              </w:rPr>
            </w:pPr>
            <w:r>
              <w:rPr>
                <w:color w:val="000000"/>
              </w:rPr>
              <w:t>od 1 kn do 100.000,00 kn, nagrada od 16%</w:t>
            </w:r>
          </w:p>
        </w:tc>
        <w:tc>
          <w:tcPr>
            <w:tcW w:type="dxa" w:w="2071"/>
            <w:tcBorders>
              <w:top w:space="0" w:sz="4" w:color="auto" w:val="single"/>
              <w:left w:space="0" w:sz="4" w:color="auto" w:val="single"/>
              <w:bottom w:space="0" w:sz="4" w:color="auto" w:val="single"/>
              <w:right w:space="0" w:sz="4" w:color="auto" w:val="single"/>
            </w:tcBorders>
            <w:hideMark/>
          </w:tcPr>
          <w:p w:rsidRDefault="003A52DA" w:rsidR="003A52DA">
            <w:pPr>
              <w:jc w:val="center"/>
              <w:rPr>
                <w:color w:val="000000"/>
              </w:rPr>
            </w:pPr>
            <w:r>
              <w:rPr>
                <w:color w:val="000000"/>
              </w:rPr>
              <w:t>16.000,00</w:t>
            </w:r>
          </w:p>
        </w:tc>
      </w:tr>
      <w:tr w:rsidTr="003A52DA" w:rsidR="003A52DA">
        <w:tc>
          <w:tcPr>
            <w:tcW w:type="dxa" w:w="959"/>
            <w:tcBorders>
              <w:top w:space="0" w:sz="4" w:color="auto" w:val="single"/>
              <w:left w:space="0" w:sz="4" w:color="auto" w:val="single"/>
              <w:bottom w:space="0" w:sz="4" w:color="auto" w:val="single"/>
              <w:right w:space="0" w:sz="4" w:color="auto" w:val="single"/>
            </w:tcBorders>
            <w:hideMark/>
          </w:tcPr>
          <w:p w:rsidRDefault="003A52DA" w:rsidR="003A52DA">
            <w:pPr>
              <w:jc w:val="center"/>
              <w:rPr>
                <w:color w:val="000000"/>
              </w:rPr>
            </w:pPr>
            <w:r>
              <w:rPr>
                <w:color w:val="000000"/>
              </w:rPr>
              <w:t>2.</w:t>
            </w:r>
          </w:p>
        </w:tc>
        <w:tc>
          <w:tcPr>
            <w:tcW w:type="dxa" w:w="6292"/>
            <w:tcBorders>
              <w:top w:space="0" w:sz="4" w:color="auto" w:val="single"/>
              <w:left w:space="0" w:sz="4" w:color="auto" w:val="single"/>
              <w:bottom w:space="0" w:sz="4" w:color="auto" w:val="single"/>
              <w:right w:space="0" w:sz="4" w:color="auto" w:val="single"/>
            </w:tcBorders>
            <w:hideMark/>
          </w:tcPr>
          <w:p w:rsidRDefault="003A52DA" w:rsidR="003A52DA">
            <w:pPr>
              <w:tabs>
                <w:tab w:pos="2862" w:val="center"/>
              </w:tabs>
              <w:jc w:val="center"/>
              <w:rPr>
                <w:rFonts w:eastAsia="Arial Unicode MS"/>
                <w:color w:val="000000"/>
              </w:rPr>
            </w:pPr>
            <w:r>
              <w:rPr>
                <w:rFonts w:eastAsia="Arial Unicode MS"/>
                <w:color w:val="000000"/>
              </w:rPr>
              <w:t>od 100.000,01 kn,  do 300.000,00 kn, nagrada od 12%</w:t>
            </w:r>
          </w:p>
        </w:tc>
        <w:tc>
          <w:tcPr>
            <w:tcW w:type="dxa" w:w="2071"/>
            <w:tcBorders>
              <w:top w:space="0" w:sz="4" w:color="auto" w:val="single"/>
              <w:left w:space="0" w:sz="4" w:color="auto" w:val="single"/>
              <w:bottom w:space="0" w:sz="4" w:color="auto" w:val="single"/>
              <w:right w:space="0" w:sz="4" w:color="auto" w:val="single"/>
            </w:tcBorders>
            <w:hideMark/>
          </w:tcPr>
          <w:p w:rsidRDefault="003A52DA" w:rsidR="003A52DA">
            <w:pPr>
              <w:jc w:val="center"/>
              <w:rPr>
                <w:color w:val="000000"/>
              </w:rPr>
            </w:pPr>
            <w:r>
              <w:rPr>
                <w:color w:val="000000"/>
              </w:rPr>
              <w:t>23.999,99</w:t>
            </w:r>
          </w:p>
        </w:tc>
      </w:tr>
      <w:tr w:rsidTr="003A52DA" w:rsidR="003A52DA">
        <w:tc>
          <w:tcPr>
            <w:tcW w:type="dxa" w:w="959"/>
            <w:tcBorders>
              <w:top w:space="0" w:sz="4" w:color="auto" w:val="single"/>
              <w:left w:space="0" w:sz="4" w:color="auto" w:val="single"/>
              <w:bottom w:space="0" w:sz="4" w:color="auto" w:val="single"/>
              <w:right w:space="0" w:sz="4" w:color="auto" w:val="single"/>
            </w:tcBorders>
            <w:hideMark/>
          </w:tcPr>
          <w:p w:rsidRDefault="003A52DA" w:rsidR="003A52DA">
            <w:pPr>
              <w:jc w:val="center"/>
            </w:pPr>
            <w:r>
              <w:t>3.</w:t>
            </w:r>
          </w:p>
        </w:tc>
        <w:tc>
          <w:tcPr>
            <w:tcW w:type="dxa" w:w="6292"/>
            <w:tcBorders>
              <w:top w:space="0" w:sz="4" w:color="auto" w:val="single"/>
              <w:left w:space="0" w:sz="4" w:color="auto" w:val="single"/>
              <w:bottom w:space="0" w:sz="4" w:color="auto" w:val="single"/>
              <w:right w:space="0" w:sz="4" w:color="auto" w:val="single"/>
            </w:tcBorders>
            <w:hideMark/>
          </w:tcPr>
          <w:p w:rsidRDefault="003A52DA" w:rsidR="003A52DA">
            <w:pPr>
              <w:jc w:val="center"/>
            </w:pPr>
            <w:r>
              <w:t>od 300.000,01 kn, do 500.000,00 kn, nagrada od 10%</w:t>
            </w:r>
          </w:p>
        </w:tc>
        <w:tc>
          <w:tcPr>
            <w:tcW w:type="dxa" w:w="2071"/>
            <w:tcBorders>
              <w:top w:space="0" w:sz="4" w:color="auto" w:val="single"/>
              <w:left w:space="0" w:sz="4" w:color="auto" w:val="single"/>
              <w:bottom w:space="0" w:sz="4" w:color="auto" w:val="single"/>
              <w:right w:space="0" w:sz="4" w:color="auto" w:val="single"/>
            </w:tcBorders>
            <w:hideMark/>
          </w:tcPr>
          <w:p w:rsidRDefault="003A52DA" w:rsidR="003A52DA">
            <w:pPr>
              <w:jc w:val="center"/>
            </w:pPr>
            <w:r>
              <w:t>19.999,99</w:t>
            </w:r>
          </w:p>
        </w:tc>
      </w:tr>
      <w:tr w:rsidTr="003A52DA" w:rsidR="003A52DA">
        <w:tc>
          <w:tcPr>
            <w:tcW w:type="dxa" w:w="959"/>
            <w:tcBorders>
              <w:top w:space="0" w:sz="4" w:color="auto" w:val="single"/>
              <w:left w:space="0" w:sz="4" w:color="auto" w:val="single"/>
              <w:bottom w:space="0" w:sz="4" w:color="auto" w:val="single"/>
              <w:right w:space="0" w:sz="4" w:color="auto" w:val="single"/>
            </w:tcBorders>
            <w:hideMark/>
          </w:tcPr>
          <w:p w:rsidRDefault="003A52DA" w:rsidR="003A52DA">
            <w:pPr>
              <w:jc w:val="center"/>
            </w:pPr>
            <w:r>
              <w:t>4.</w:t>
            </w:r>
          </w:p>
        </w:tc>
        <w:tc>
          <w:tcPr>
            <w:tcW w:type="dxa" w:w="6292"/>
            <w:tcBorders>
              <w:top w:space="0" w:sz="4" w:color="auto" w:val="single"/>
              <w:left w:space="0" w:sz="4" w:color="auto" w:val="single"/>
              <w:bottom w:space="0" w:sz="4" w:color="auto" w:val="single"/>
              <w:right w:space="0" w:sz="4" w:color="auto" w:val="single"/>
            </w:tcBorders>
            <w:hideMark/>
          </w:tcPr>
          <w:p w:rsidRDefault="003A52DA" w:rsidR="003A52DA">
            <w:pPr>
              <w:jc w:val="center"/>
            </w:pPr>
            <w:r>
              <w:t>od 500.000,01 kn, do 1.000.000,00 kn, nagrada od 8%</w:t>
            </w:r>
          </w:p>
        </w:tc>
        <w:tc>
          <w:tcPr>
            <w:tcW w:type="dxa" w:w="2071"/>
            <w:tcBorders>
              <w:top w:space="0" w:sz="4" w:color="auto" w:val="single"/>
              <w:left w:space="0" w:sz="4" w:color="auto" w:val="single"/>
              <w:bottom w:space="0" w:sz="4" w:color="auto" w:val="single"/>
              <w:right w:space="0" w:sz="4" w:color="auto" w:val="single"/>
            </w:tcBorders>
            <w:hideMark/>
          </w:tcPr>
          <w:p w:rsidRDefault="003A52DA" w:rsidR="003A52DA">
            <w:pPr>
              <w:jc w:val="center"/>
            </w:pPr>
            <w:r>
              <w:t>39.999,99</w:t>
            </w:r>
          </w:p>
        </w:tc>
      </w:tr>
      <w:tr w:rsidTr="003A52DA" w:rsidR="003A52DA">
        <w:tc>
          <w:tcPr>
            <w:tcW w:type="dxa" w:w="959"/>
            <w:tcBorders>
              <w:top w:space="0" w:sz="4" w:color="auto" w:val="single"/>
              <w:left w:space="0" w:sz="4" w:color="auto" w:val="single"/>
              <w:bottom w:space="0" w:sz="4" w:color="auto" w:val="single"/>
              <w:right w:space="0" w:sz="4" w:color="auto" w:val="single"/>
            </w:tcBorders>
            <w:hideMark/>
          </w:tcPr>
          <w:p w:rsidRDefault="003A52DA" w:rsidR="003A52DA">
            <w:pPr>
              <w:jc w:val="center"/>
            </w:pPr>
            <w:r>
              <w:t>5.</w:t>
            </w:r>
          </w:p>
        </w:tc>
        <w:tc>
          <w:tcPr>
            <w:tcW w:type="dxa" w:w="6292"/>
            <w:tcBorders>
              <w:top w:space="0" w:sz="4" w:color="auto" w:val="single"/>
              <w:left w:space="0" w:sz="4" w:color="auto" w:val="single"/>
              <w:bottom w:space="0" w:sz="4" w:color="auto" w:val="single"/>
              <w:right w:space="0" w:sz="4" w:color="auto" w:val="single"/>
            </w:tcBorders>
            <w:hideMark/>
          </w:tcPr>
          <w:p w:rsidRDefault="003A52DA" w:rsidR="003A52DA">
            <w:pPr>
              <w:jc w:val="center"/>
            </w:pPr>
            <w:r>
              <w:t>od 1.000.000,01 kn, do 5.000.000,00 kn, nagrada od 7%</w:t>
            </w:r>
          </w:p>
        </w:tc>
        <w:tc>
          <w:tcPr>
            <w:tcW w:type="dxa" w:w="2071"/>
            <w:tcBorders>
              <w:top w:space="0" w:sz="4" w:color="auto" w:val="single"/>
              <w:left w:space="0" w:sz="4" w:color="auto" w:val="single"/>
              <w:bottom w:space="0" w:sz="4" w:color="auto" w:val="single"/>
              <w:right w:space="0" w:sz="4" w:color="auto" w:val="single"/>
            </w:tcBorders>
            <w:hideMark/>
          </w:tcPr>
          <w:p w:rsidRDefault="003A52DA" w:rsidR="003A52DA">
            <w:pPr>
              <w:jc w:val="center"/>
            </w:pPr>
            <w:r>
              <w:t>107.458,42</w:t>
            </w:r>
          </w:p>
        </w:tc>
      </w:tr>
      <w:tr w:rsidTr="003A52DA" w:rsidR="003A52DA">
        <w:tc>
          <w:tcPr>
            <w:tcW w:type="dxa" w:w="959"/>
            <w:tcBorders>
              <w:top w:space="0" w:sz="4" w:color="auto" w:val="single"/>
              <w:left w:space="0" w:sz="4" w:color="auto" w:val="single"/>
              <w:bottom w:space="0" w:sz="4" w:color="auto" w:val="single"/>
              <w:right w:space="0" w:sz="4" w:color="auto" w:val="single"/>
            </w:tcBorders>
          </w:tcPr>
          <w:p w:rsidRDefault="003A52DA" w:rsidR="003A52DA">
            <w:pPr>
              <w:jc w:val="center"/>
            </w:pPr>
          </w:p>
        </w:tc>
        <w:tc>
          <w:tcPr>
            <w:tcW w:type="dxa" w:w="6292"/>
            <w:tcBorders>
              <w:top w:space="0" w:sz="4" w:color="auto" w:val="single"/>
              <w:left w:space="0" w:sz="4" w:color="auto" w:val="single"/>
              <w:bottom w:space="0" w:sz="4" w:color="auto" w:val="single"/>
              <w:right w:space="0" w:sz="4" w:color="auto" w:val="single"/>
            </w:tcBorders>
            <w:hideMark/>
          </w:tcPr>
          <w:p w:rsidRDefault="003A52DA" w:rsidR="003A52DA">
            <w:pPr>
              <w:jc w:val="center"/>
            </w:pPr>
            <w:r>
              <w:t>Ukupno</w:t>
            </w:r>
          </w:p>
        </w:tc>
        <w:tc>
          <w:tcPr>
            <w:tcW w:type="dxa" w:w="2071"/>
            <w:tcBorders>
              <w:top w:space="0" w:sz="4" w:color="auto" w:val="single"/>
              <w:left w:space="0" w:sz="4" w:color="auto" w:val="single"/>
              <w:bottom w:space="0" w:sz="4" w:color="auto" w:val="single"/>
              <w:right w:space="0" w:sz="4" w:color="auto" w:val="single"/>
            </w:tcBorders>
            <w:hideMark/>
          </w:tcPr>
          <w:p w:rsidRDefault="003A52DA" w:rsidR="003A52DA">
            <w:pPr>
              <w:jc w:val="center"/>
            </w:pPr>
            <w:r>
              <w:t>207.458,39</w:t>
            </w:r>
          </w:p>
        </w:tc>
      </w:tr>
    </w:tbl>
    <w:p w:rsidRDefault="003A52DA" w:rsidP="003A52DA" w:rsidR="003A52DA">
      <w:pPr>
        <w:jc w:val="both"/>
      </w:pPr>
      <w:r>
        <w:tab/>
        <w:t>Prilikom određivanja konačne nagrade za rad stečajnom upravitelju, stečajni sudac je ocijenio obujam i složenost poslova koje je obavio, pa je temeljem navedenog odlučeno kao u točkama I. i II. izreke ovog rješenja.</w:t>
      </w:r>
    </w:p>
    <w:p w:rsidRDefault="003A52DA" w:rsidP="003A52DA" w:rsidR="003A52DA">
      <w:pPr>
        <w:jc w:val="both"/>
      </w:pPr>
      <w:r>
        <w:tab/>
      </w:r>
      <w:r>
        <w:tab/>
        <w:t xml:space="preserve"> </w:t>
      </w:r>
    </w:p>
    <w:p w:rsidRDefault="003A52DA" w:rsidP="003A52DA" w:rsidR="003A52DA">
      <w:pPr>
        <w:jc w:val="center"/>
      </w:pPr>
      <w:r>
        <w:t>U Rijeci, 12. ožujka 2018.</w:t>
      </w:r>
    </w:p>
    <w:p w:rsidRDefault="003A52DA" w:rsidP="003A52DA" w:rsidR="003A52DA">
      <w:pPr>
        <w:jc w:val="right"/>
      </w:pPr>
      <w:r>
        <w:t xml:space="preserve">       </w:t>
      </w:r>
      <w:r>
        <w:tab/>
      </w:r>
      <w:r>
        <w:tab/>
      </w:r>
      <w:r>
        <w:tab/>
      </w:r>
      <w:r>
        <w:tab/>
      </w:r>
      <w:r>
        <w:tab/>
      </w:r>
      <w:r>
        <w:tab/>
      </w:r>
      <w:r>
        <w:tab/>
      </w:r>
      <w:r>
        <w:tab/>
      </w:r>
    </w:p>
    <w:p w:rsidRDefault="003A52DA" w:rsidP="003A52DA" w:rsidR="003A52DA">
      <w:pPr>
        <w:jc w:val="center"/>
      </w:pPr>
      <w:r>
        <w:tab/>
      </w:r>
      <w:r>
        <w:tab/>
      </w:r>
      <w:r>
        <w:tab/>
      </w:r>
      <w:r>
        <w:tab/>
      </w:r>
      <w:r>
        <w:tab/>
      </w:r>
      <w:r>
        <w:tab/>
      </w:r>
      <w:r>
        <w:tab/>
      </w:r>
      <w:r>
        <w:tab/>
      </w:r>
      <w:r>
        <w:tab/>
        <w:t>Stečajni sudac</w:t>
      </w:r>
    </w:p>
    <w:p w:rsidRDefault="003A52DA" w:rsidP="003A52DA" w:rsidR="003A52DA">
      <w:pPr>
        <w:jc w:val="center"/>
      </w:pPr>
      <w:r>
        <w:tab/>
      </w:r>
      <w:r>
        <w:tab/>
      </w:r>
      <w:r>
        <w:tab/>
      </w:r>
      <w:r>
        <w:tab/>
      </w:r>
      <w:r>
        <w:tab/>
      </w:r>
      <w:r>
        <w:tab/>
      </w:r>
      <w:r>
        <w:tab/>
      </w:r>
      <w:r>
        <w:tab/>
      </w:r>
      <w:r>
        <w:tab/>
        <w:t>Daniela Korlević</w:t>
      </w:r>
    </w:p>
    <w:p w:rsidRDefault="003A52DA" w:rsidP="003A52DA" w:rsidR="003A52DA"/>
    <w:p w:rsidRDefault="003A52DA" w:rsidP="003A52DA" w:rsidR="003A52DA">
      <w:pPr>
        <w:rPr>
          <w:b/>
        </w:rPr>
      </w:pPr>
    </w:p>
    <w:p w:rsidRDefault="003A52DA" w:rsidP="003A52DA" w:rsidR="003A52DA">
      <w:pPr>
        <w:rPr>
          <w:b/>
        </w:rPr>
      </w:pPr>
    </w:p>
    <w:p w:rsidRDefault="003A52DA" w:rsidP="003A52DA" w:rsidR="003A52DA" w:rsidRPr="003E4068">
      <w:r w:rsidRPr="003E4068">
        <w:t>UPUTA O PRAVNOM LIJEKU</w:t>
      </w:r>
    </w:p>
    <w:p w:rsidRDefault="003A52DA" w:rsidP="003A52DA" w:rsidR="003A52DA">
      <w:pPr>
        <w:jc w:val="both"/>
      </w:pPr>
      <w:r>
        <w:tab/>
        <w:t xml:space="preserve">Protiv ovog rješenja pravo na žalbu imaju stečajni upravitelj, dužnik pojedinac i svaki stečajni vjerovnik.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441D9F" w:rsidP="00441D9F" w:rsidR="00441D9F">
      <w:pPr>
        <w:jc w:val="both"/>
      </w:pPr>
    </w:p>
    <w:p w:rsidRDefault="00441D9F" w:rsidP="00441D9F" w:rsidR="00441D9F">
      <w:pPr>
        <w:jc w:val="both"/>
      </w:pPr>
    </w:p>
    <w:p w:rsidRDefault="00441D9F" w:rsidP="00441D9F" w:rsidR="00441D9F" w:rsidRPr="006C5385">
      <w:pPr>
        <w:jc w:val="both"/>
      </w:pPr>
    </w:p>
    <w:p w:rsidRDefault="000F18BB" w:rsidR="000F18BB" w:rsidRPr="00441D9F">
      <w:pPr>
        <w:rPr>
          <w:sz w:val="20"/>
        </w:rPr>
      </w:pPr>
    </w:p>
    <w:sectPr w:rsidSect="00465B74" w:rsidR="000F18BB" w:rsidRPr="00441D9F">
      <w:headerReference w:type="even" r:id="rId10"/>
      <w:headerReference w:type="default" r:id="rId11"/>
      <w:footerReference w:type="even" r:id="rId12"/>
      <w:footerReference w:type="default" r:id="rId13"/>
      <w:foot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75E5" w:rsidR="00356A1C">
      <w:r>
        <w:separator/>
      </w:r>
    </w:p>
  </w:endnote>
  <w:endnote w:id="0" w:type="continuationSeparator">
    <w:p w:rsidRDefault="00C175E5" w:rsidR="00356A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5B74" w:rsidP="00465B74" w:rsidR="00465B74">
    <w:pPr>
      <w:pStyle w:val="Podnoje"/>
      <w:jc w:val="center"/>
    </w:pPr>
    <w:r>
      <w:t>2</w:t>
    </w: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7692019"/>
      <w:docPartObj>
        <w:docPartGallery w:val="Page Numbers (Bottom of Page)"/>
        <w:docPartUnique/>
      </w:docPartObj>
    </w:sdtPr>
    <w:sdtEndPr/>
    <w:sdtContent>
      <w:p w:rsidRDefault="00465B74" w:rsidR="00465B74">
        <w:pPr>
          <w:pStyle w:val="Podnoje"/>
          <w:jc w:val="center"/>
        </w:pPr>
        <w:r>
          <w:fldChar w:fldCharType="begin"/>
        </w:r>
        <w:r>
          <w:instrText>PAGE   \* MERGEFORMAT</w:instrText>
        </w:r>
        <w:r>
          <w:fldChar w:fldCharType="separate"/>
        </w:r>
        <w:r>
          <w:rPr>
            <w:noProof/>
          </w:rPr>
          <w:t>2</w:t>
        </w:r>
        <w:r>
          <w:fldChar w:fldCharType="end"/>
        </w:r>
      </w:p>
    </w:sdtContent>
  </w:sdt>
  <w:p w:rsidRDefault="0008168B" w:rsidR="0008168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5B74" w:rsidP="00465B74" w:rsidR="00465B74">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75E5" w:rsidR="00356A1C">
      <w:r>
        <w:separator/>
      </w:r>
    </w:p>
  </w:footnote>
  <w:footnote w:id="0" w:type="continuationSeparator">
    <w:p w:rsidRDefault="00C175E5" w:rsidR="00356A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5B74" w:rsidP="00465B74" w:rsidR="00543B99">
    <w:pPr>
      <w:jc w:val="right"/>
      <w:rPr>
        <w:noProof/>
      </w:rPr>
    </w:pPr>
    <w:r>
      <w:rPr>
        <w:rFonts w:eastAsia="MS Mincho"/>
      </w:rPr>
      <w:t>P</w:t>
    </w:r>
    <w:r>
      <w:rPr>
        <w:noProof/>
      </w:rPr>
      <w:t>oslovni broj 15 St-190/14-184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5B74" w:rsidP="00465B74" w:rsidR="00543B99">
    <w:pPr>
      <w:jc w:val="right"/>
      <w:rPr>
        <w:noProof/>
      </w:rPr>
    </w:pPr>
    <w:r>
      <w:rPr>
        <w:rFonts w:eastAsia="MS Mincho"/>
      </w:rPr>
      <w:t>P</w:t>
    </w:r>
    <w:r>
      <w:rPr>
        <w:noProof/>
      </w:rPr>
      <w:t>oslovni broj 15 St-190/14-184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FF307F"/>
    <w:multiLevelType w:val="hybridMultilevel"/>
    <w:tmpl w:val="F48665E0"/>
    <w:lvl w:tplc="662E502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3B99"/>
    <w:rsid w:val="000508A5"/>
    <w:rsid w:val="0008168B"/>
    <w:rsid w:val="000F18BB"/>
    <w:rsid w:val="0011553C"/>
    <w:rsid w:val="001C0EE0"/>
    <w:rsid w:val="003076FE"/>
    <w:rsid w:val="00356A1C"/>
    <w:rsid w:val="003A52DA"/>
    <w:rsid w:val="003E4068"/>
    <w:rsid w:val="00441D9F"/>
    <w:rsid w:val="00465B74"/>
    <w:rsid w:val="00476AF5"/>
    <w:rsid w:val="004A7AFF"/>
    <w:rsid w:val="00543B99"/>
    <w:rsid w:val="006A41F9"/>
    <w:rsid w:val="007122FF"/>
    <w:rsid w:val="007204B3"/>
    <w:rsid w:val="007234AB"/>
    <w:rsid w:val="00732A0D"/>
    <w:rsid w:val="007652BE"/>
    <w:rsid w:val="009B6322"/>
    <w:rsid w:val="00A94D21"/>
    <w:rsid w:val="00A95074"/>
    <w:rsid w:val="00A96465"/>
    <w:rsid w:val="00BA3C2B"/>
    <w:rsid w:val="00C175E5"/>
    <w:rsid w:val="00DA3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3B99"/>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08168B"/>
    <w:pPr>
      <w:jc w:val="right"/>
    </w:pPr>
    <w:rPr>
      <w:sz w:val="24"/>
      <w:szCs w:val="22"/>
      <w:lang w:eastAsia="en-US"/>
    </w:rPr>
  </w:style>
  <w:style w:styleId="Zaglavlje" w:type="paragraph">
    <w:name w:val="header"/>
    <w:basedOn w:val="Normal"/>
    <w:link w:val="ZaglavljeChar"/>
    <w:uiPriority w:val="99"/>
    <w:rsid w:val="00543B99"/>
    <w:pPr>
      <w:tabs>
        <w:tab w:pos="4536" w:val="center"/>
        <w:tab w:pos="9072" w:val="right"/>
      </w:tabs>
    </w:pPr>
  </w:style>
  <w:style w:customStyle="true" w:styleId="ZaglavljeChar" w:type="character">
    <w:name w:val="Zaglavlje Char"/>
    <w:link w:val="Zaglavlje"/>
    <w:uiPriority w:val="99"/>
    <w:rsid w:val="00543B99"/>
    <w:rPr>
      <w:rFonts w:cs="Times New Roman" w:eastAsia="Times New Roman"/>
      <w:bCs/>
      <w:szCs w:val="24"/>
      <w:lang w:eastAsia="hr-HR"/>
    </w:rPr>
  </w:style>
  <w:style w:styleId="Brojstranice" w:type="character">
    <w:name w:val="page number"/>
    <w:basedOn w:val="Zadanifontodlomka"/>
    <w:rsid w:val="00543B99"/>
  </w:style>
  <w:style w:styleId="Tekstbalonia" w:type="paragraph">
    <w:name w:val="Balloon Text"/>
    <w:basedOn w:val="Normal"/>
    <w:link w:val="TekstbaloniaChar"/>
    <w:uiPriority w:val="99"/>
    <w:semiHidden/>
    <w:unhideWhenUsed/>
    <w:rsid w:val="00543B99"/>
    <w:rPr>
      <w:rFonts w:cs="Tahoma" w:hAnsi="Tahoma" w:ascii="Tahoma"/>
      <w:sz w:val="16"/>
      <w:szCs w:val="16"/>
    </w:rPr>
  </w:style>
  <w:style w:customStyle="true" w:styleId="TekstbaloniaChar" w:type="character">
    <w:name w:val="Tekst balončića Char"/>
    <w:link w:val="Tekstbalonia"/>
    <w:uiPriority w:val="99"/>
    <w:semiHidden/>
    <w:rsid w:val="00543B99"/>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08168B"/>
    <w:pPr>
      <w:tabs>
        <w:tab w:pos="4536" w:val="center"/>
        <w:tab w:pos="9072" w:val="right"/>
      </w:tabs>
    </w:pPr>
  </w:style>
  <w:style w:customStyle="true" w:styleId="PodnojeChar" w:type="character">
    <w:name w:val="Podnožje Char"/>
    <w:link w:val="Podnoje"/>
    <w:uiPriority w:val="99"/>
    <w:rsid w:val="0008168B"/>
    <w:rPr>
      <w:bCs/>
      <w:sz w:val="24"/>
      <w:szCs w:val="24"/>
    </w:rPr>
  </w:style>
  <w:style w:styleId="Odlomakpopisa" w:type="paragraph">
    <w:name w:val="List Paragraph"/>
    <w:basedOn w:val="Normal"/>
    <w:uiPriority w:val="34"/>
    <w:qFormat/>
    <w:rsid w:val="006A41F9"/>
    <w:pPr>
      <w:ind w:left="720"/>
      <w:contextualSpacing/>
    </w:pPr>
  </w:style>
  <w:style w:styleId="Tekstrezerviranogmjesta" w:type="character">
    <w:name w:val="Placeholder Text"/>
    <w:basedOn w:val="Zadanifontodlomka"/>
    <w:uiPriority w:val="99"/>
    <w:semiHidden/>
    <w:rsid w:val="00476AF5"/>
    <w:rPr>
      <w:color w:val="808080"/>
      <w:bdr w:space="0" w:sz="0" w:color="auto" w:val="none"/>
      <w:shd w:fill="auto" w:color="auto" w:val="clear"/>
    </w:rPr>
  </w:style>
  <w:style w:customStyle="true" w:styleId="eSPISCCParagraphDefaultFont" w:type="character">
    <w:name w:val="eSPIS_CC_Paragraph Default Font"/>
    <w:basedOn w:val="Zadanifontodlomka"/>
    <w:rsid w:val="00476A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6AF5"/>
    <w:rPr>
      <w:bdr w:space="0" w:sz="0" w:color="auto" w:val="none"/>
      <w:shd w:fill="FFFFCC" w:color="auto" w:val="clear"/>
      <w:lang w:val="hr-HR"/>
    </w:rPr>
  </w:style>
  <w:style w:customStyle="true" w:styleId="PozadinaSvijetloCrvena" w:type="character">
    <w:name w:val="Pozadina_SvijetloCrvena"/>
    <w:basedOn w:val="eSPISCCParagraphDefaultFont"/>
    <w:rsid w:val="00476A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6A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3B99"/>
    <w:rPr>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08168B"/>
    <w:pPr>
      <w:jc w:val="right"/>
    </w:pPr>
    <w:rPr>
      <w:sz w:val="24"/>
      <w:szCs w:val="22"/>
      <w:lang w:eastAsia="en-US"/>
    </w:rPr>
  </w:style>
  <w:style w:styleId="Zaglavlje" w:type="paragraph">
    <w:name w:val="header"/>
    <w:basedOn w:val="Normal"/>
    <w:link w:val="ZaglavljeChar"/>
    <w:uiPriority w:val="99"/>
    <w:rsid w:val="00543B99"/>
    <w:pPr>
      <w:tabs>
        <w:tab w:pos="4536" w:val="center"/>
        <w:tab w:pos="9072" w:val="right"/>
      </w:tabs>
    </w:pPr>
  </w:style>
  <w:style w:customStyle="1" w:styleId="ZaglavljeChar" w:type="character">
    <w:name w:val="Zaglavlje Char"/>
    <w:link w:val="Zaglavlje"/>
    <w:uiPriority w:val="99"/>
    <w:rsid w:val="00543B99"/>
    <w:rPr>
      <w:rFonts w:cs="Times New Roman" w:eastAsia="Times New Roman"/>
      <w:bCs/>
      <w:szCs w:val="24"/>
      <w:lang w:eastAsia="hr-HR"/>
    </w:rPr>
  </w:style>
  <w:style w:styleId="Brojstranice" w:type="character">
    <w:name w:val="page number"/>
    <w:basedOn w:val="Zadanifontodlomka"/>
    <w:rsid w:val="00543B99"/>
  </w:style>
  <w:style w:styleId="Tekstbalonia" w:type="paragraph">
    <w:name w:val="Balloon Text"/>
    <w:basedOn w:val="Normal"/>
    <w:link w:val="TekstbaloniaChar"/>
    <w:uiPriority w:val="99"/>
    <w:semiHidden/>
    <w:unhideWhenUsed/>
    <w:rsid w:val="00543B99"/>
    <w:rPr>
      <w:rFonts w:ascii="Tahoma" w:cs="Tahoma" w:hAnsi="Tahoma"/>
      <w:sz w:val="16"/>
      <w:szCs w:val="16"/>
    </w:rPr>
  </w:style>
  <w:style w:customStyle="1" w:styleId="TekstbaloniaChar" w:type="character">
    <w:name w:val="Tekst balončića Char"/>
    <w:link w:val="Tekstbalonia"/>
    <w:uiPriority w:val="99"/>
    <w:semiHidden/>
    <w:rsid w:val="00543B99"/>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08168B"/>
    <w:pPr>
      <w:tabs>
        <w:tab w:pos="4536" w:val="center"/>
        <w:tab w:pos="9072" w:val="right"/>
      </w:tabs>
    </w:pPr>
  </w:style>
  <w:style w:customStyle="1" w:styleId="PodnojeChar" w:type="character">
    <w:name w:val="Podnožje Char"/>
    <w:link w:val="Podnoje"/>
    <w:uiPriority w:val="99"/>
    <w:rsid w:val="0008168B"/>
    <w:rPr>
      <w:bCs/>
      <w:sz w:val="24"/>
      <w:szCs w:val="24"/>
    </w:rPr>
  </w:style>
  <w:style w:styleId="Odlomakpopisa" w:type="paragraph">
    <w:name w:val="List Paragraph"/>
    <w:basedOn w:val="Normal"/>
    <w:uiPriority w:val="34"/>
    <w:qFormat/>
    <w:rsid w:val="006A41F9"/>
    <w:pPr>
      <w:ind w:left="720"/>
      <w:contextualSpacing/>
    </w:pPr>
  </w:style>
  <w:style w:styleId="Tekstrezerviranogmjesta" w:type="character">
    <w:name w:val="Placeholder Text"/>
    <w:basedOn w:val="Zadanifontodlomka"/>
    <w:uiPriority w:val="99"/>
    <w:semiHidden/>
    <w:rsid w:val="00476AF5"/>
    <w:rPr>
      <w:color w:val="808080"/>
      <w:bdr w:color="auto" w:space="0" w:sz="0" w:val="none"/>
      <w:shd w:color="auto" w:fill="auto" w:val="clear"/>
    </w:rPr>
  </w:style>
  <w:style w:customStyle="1" w:styleId="eSPISCCParagraphDefaultFont" w:type="character">
    <w:name w:val="eSPIS_CC_Paragraph Default Font"/>
    <w:basedOn w:val="Zadanifontodlomka"/>
    <w:rsid w:val="00476A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6AF5"/>
    <w:rPr>
      <w:bdr w:color="auto" w:space="0" w:sz="0" w:val="none"/>
      <w:shd w:color="auto" w:fill="FFFFCC" w:val="clear"/>
      <w:lang w:val="hr-HR"/>
    </w:rPr>
  </w:style>
  <w:style w:customStyle="1" w:styleId="PozadinaSvijetloCrvena" w:type="character">
    <w:name w:val="Pozadina_SvijetloCrvena"/>
    <w:basedOn w:val="eSPISCCParagraphDefaultFont"/>
    <w:rsid w:val="00476A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6A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58713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konačna nagrada</izvorni_sadrzaj>
    <derivirana_varijabla naziv="DomainObject.Primjedba_1">konačna nagrada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St-190/2014</izvorni_sadrzaj>
    <derivirana_varijabla naziv="DomainObject.Predmet.OznakaBroj_1">St-190/2014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GLAS ISTRE TRGOVINA d.o.o.  Pula</izvorni_sadrzaj>
    <derivirana_varijabla naziv="DomainObject.Predmet.ProtustrankaFormated_1">  GLAS ISTRE TRGOVINA d.o.o.  Pula</derivirana_varijabla>
  </DomainObject.Predmet.ProtustrankaFormated>
  <DomainObject.Predmet.ProtustrankaFormatedOIB>
    <izvorni_sadrzaj>  GLAS ISTRE TRGOVINA d.o.o.  Pula, OIB 17540613938</izvorni_sadrzaj>
    <derivirana_varijabla naziv="DomainObject.Predmet.ProtustrankaFormatedOIB_1">  GLAS ISTRE TRGOVINA d.o.o.  Pula, OIB 17540613938</derivirana_varijabla>
  </DomainObject.Predmet.ProtustrankaFormatedOIB>
  <DomainObject.Predmet.ProtustrankaFormatedWithAdress>
    <izvorni_sadrzaj> GLAS ISTRE TRGOVINA d.o.o.  Pula, Trg 1. Istarske brigade 10, 52100 Pula</izvorni_sadrzaj>
    <derivirana_varijabla naziv="DomainObject.Predmet.ProtustrankaFormatedWithAdress_1"> GLAS ISTRE TRGOVINA d.o.o.  Pula, Trg 1. Istarske brigade 10, 52100 Pula</derivirana_varijabla>
  </DomainObject.Predmet.ProtustrankaFormatedWithAdress>
  <DomainObject.Predmet.ProtustrankaFormatedWithAdressOIB>
    <izvorni_sadrzaj> GLAS ISTRE TRGOVINA d.o.o.  Pula, OIB 17540613938, Trg 1. Istarske brigade 10, 52100 Pula</izvorni_sadrzaj>
    <derivirana_varijabla naziv="DomainObject.Predmet.ProtustrankaFormatedWithAdressOIB_1"> GLAS ISTRE TRGOVINA d.o.o.  Pula, OIB 17540613938, Trg 1. Istarske brigade 10, 52100 Pula</derivirana_varijabla>
  </DomainObject.Predmet.ProtustrankaFormatedWithAdressOIB>
  <DomainObject.Predmet.ProtustrankaWithAdress>
    <izvorni_sadrzaj>GLAS ISTRE TRGOVINA d.o.o.  Pula Trg 1. Istarske brigade 10, 52100 Pula</izvorni_sadrzaj>
    <derivirana_varijabla naziv="DomainObject.Predmet.ProtustrankaWithAdress_1">GLAS ISTRE TRGOVINA d.o.o.  Pula Trg 1. Istarske brigade 10, 52100 Pula</derivirana_varijabla>
  </DomainObject.Predmet.ProtustrankaWithAdress>
  <DomainObject.Predmet.ProtustrankaWithAdressOIB>
    <izvorni_sadrzaj>GLAS ISTRE TRGOVINA d.o.o.  Pula, OIB 17540613938, Trg 1. Istarske brigade 10, 52100 Pula</izvorni_sadrzaj>
    <derivirana_varijabla naziv="DomainObject.Predmet.ProtustrankaWithAdressOIB_1">GLAS ISTRE TRGOVINA d.o.o.  Pula, OIB 17540613938, Trg 1. Istarske brigade 10, 52100 Pula</derivirana_varijabla>
  </DomainObject.Predmet.ProtustrankaWithAdressOIB>
  <DomainObject.Predmet.ProtustrankaNazivFormated>
    <izvorni_sadrzaj>GLAS ISTRE TRGOVINA d.o.o.  Pula</izvorni_sadrzaj>
    <derivirana_varijabla naziv="DomainObject.Predmet.ProtustrankaNazivFormated_1">GLAS ISTRE TRGOVINA d.o.o.  Pula</derivirana_varijabla>
  </DomainObject.Predmet.ProtustrankaNazivFormated>
  <DomainObject.Predmet.ProtustrankaNazivFormatedOIB>
    <izvorni_sadrzaj>GLAS ISTRE TRGOVINA d.o.o.  Pula, OIB 17540613938</izvorni_sadrzaj>
    <derivirana_varijabla naziv="DomainObject.Predmet.ProtustrankaNazivFormatedOIB_1">GLAS ISTRE TRGOVINA d.o.o.  Pula, OIB 17540613938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izvorni_sadrzaj>
    <derivirana_varijabla naziv="DomainObject.Predmet.StrankaFormated_1">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derivirana_varijabla>
  </DomainObject.Predmet.StrankaFormated>
  <DomainObject.Predmet.StrankaFormatedOIB>
    <izvorni_sadrzaj>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izvorni_sadrzaj>
    <derivirana_varijabla naziv="DomainObject.Predmet.StrankaFormatedOIB_1">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derivirana_varijabla>
  </DomainObject.Predmet.StrankaFormatedOIB>
  <DomainObject.Predmet.StrankaFormatedWithAdress>
    <izvorni_sadrzaj>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izvorni_sadrzaj>
    <derivirana_varijabla naziv="DomainObject.Predmet.StrankaFormatedWithAdress_1">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derivirana_varijabla>
  </DomainObject.Predmet.StrankaFormatedWithAdress>
  <DomainObject.Predmet.StrankaFormatedWithAdressOIB>
    <izvorni_sadrzaj>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izvorni_sadrzaj>
    <derivirana_varijabla naziv="DomainObject.Predmet.StrankaFormatedWithAdressOIB_1">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derivirana_varijabla>
  </DomainObject.Predmet.StrankaFormatedWithAdressOIB>
  <DomainObject.Predmet.StrankaWithAdress>
    <izvorni_sadrzaj>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izvorni_sadrzaj>
    <derivirana_varijabla naziv="DomainObject.Predmet.StrankaWithAdress_1">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derivirana_varijabla>
  </DomainObject.Predmet.StrankaWithAdress>
  <DomainObject.Predmet.StrankaWithAdressOIB>
    <izvorni_sadrzaj>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izvorni_sadrzaj>
    <derivirana_varijabla naziv="DomainObject.Predmet.StrankaWithAdressOIB_1">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derivirana_varijabla>
  </DomainObject.Predmet.StrankaWithAdressOIB>
  <DomainObject.Predmet.StrankaNazivFormated>
    <izvorni_sadrzaj>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izvorni_sadrzaj>
    <derivirana_varijabla naziv="DomainObject.Predmet.StrankaNazivFormated_1">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derivirana_varijabla>
  </DomainObject.Predmet.StrankaNazivFormated>
  <DomainObject.Predmet.StrankaNazivFormatedOIB>
    <izvorni_sadrzaj>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izvorni_sadrzaj>
    <derivirana_varijabla naziv="DomainObject.Predmet.StrankaNazivFormatedOIB_1">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Formated>
  <DomainObject.Predmet.StrankaList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FormatedOIB>
  <DomainObject.Predmet.StrankaListFormatedWithAdress>
    <izvorni_sadrzaj>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izvorni_sadrzaj>
    <derivirana_varijabla naziv="DomainObject.Predmet.StrankaListFormatedWithAdress_1">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derivirana_varijabla>
  </DomainObject.Predmet.StrankaListFormatedWithAdress>
  <DomainObject.Predmet.StrankaListFormatedWithAdressOIB>
    <izvorni_sadrzaj>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izvorni_sadrzaj>
    <derivirana_varijabla naziv="DomainObject.Predmet.StrankaListFormatedWithAdressOIB_1">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derivirana_varijabla>
  </DomainObject.Predmet.StrankaListFormatedWithAdressOIB>
  <DomainObject.Predmet.StrankaListNaziv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Naziv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NazivFormated>
  <DomainObject.Predmet.StrankaListNaziv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Naziv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NazivFormatedOIB>
  <DomainObject.Predmet.ProtuStrankaListFormated>
    <izvorni_sadrzaj>
      <item>GLAS ISTRE TRGOVINA d.o.o.  Pula</item>
    </izvorni_sadrzaj>
    <derivirana_varijabla naziv="DomainObject.Predmet.ProtuStrankaListFormated_1">
      <item>GLAS ISTRE TRGOVINA d.o.o.  Pula</item>
    </derivirana_varijabla>
  </DomainObject.Predmet.ProtuStrankaListFormated>
  <DomainObject.Predmet.ProtuStrankaListFormatedOIB>
    <izvorni_sadrzaj>
      <item>GLAS ISTRE TRGOVINA d.o.o.  Pula, OIB 17540613938</item>
    </izvorni_sadrzaj>
    <derivirana_varijabla naziv="DomainObject.Predmet.ProtuStrankaListFormatedOIB_1">
      <item>GLAS ISTRE TRGOVINA d.o.o.  Pula, OIB 17540613938</item>
    </derivirana_varijabla>
  </DomainObject.Predmet.ProtuStrankaListFormatedOIB>
  <DomainObject.Predmet.ProtuStrankaListFormatedWithAdress>
    <izvorni_sadrzaj>
      <item>GLAS ISTRE TRGOVINA d.o.o.  Pula, Trg 1. Istarske brigade 10, 52100 Pula</item>
    </izvorni_sadrzaj>
    <derivirana_varijabla naziv="DomainObject.Predmet.ProtuStrankaListFormatedWithAdress_1">
      <item>GLAS ISTRE TRGOVINA d.o.o.  Pula, Trg 1. Istarske brigade 10, 52100 Pula</item>
    </derivirana_varijabla>
  </DomainObject.Predmet.ProtuStrankaListFormatedWithAdress>
  <DomainObject.Predmet.ProtuStrankaListFormatedWithAdressOIB>
    <izvorni_sadrzaj>
      <item>GLAS ISTRE TRGOVINA d.o.o.  Pula, OIB 17540613938, Trg 1. Istarske brigade 10, 52100 Pula</item>
    </izvorni_sadrzaj>
    <derivirana_varijabla naziv="DomainObject.Predmet.ProtuStrankaListFormatedWithAdressOIB_1">
      <item>GLAS ISTRE TRGOVINA d.o.o.  Pula, OIB 17540613938, Trg 1. Istarske brigade 10, 52100 Pula</item>
    </derivirana_varijabla>
  </DomainObject.Predmet.ProtuStrankaListFormatedWithAdressOIB>
  <DomainObject.Predmet.ProtuStrankaListNazivFormated>
    <izvorni_sadrzaj>
      <item>GLAS ISTRE TRGOVINA d.o.o.  Pula</item>
    </izvorni_sadrzaj>
    <derivirana_varijabla naziv="DomainObject.Predmet.ProtuStrankaListNazivFormated_1">
      <item>GLAS ISTRE TRGOVINA d.o.o.  Pula</item>
    </derivirana_varijabla>
  </DomainObject.Predmet.ProtuStrankaListNazivFormated>
  <DomainObject.Predmet.ProtuStrankaListNazivFormatedOIB>
    <izvorni_sadrzaj>
      <item>GLAS ISTRE TRGOVINA d.o.o.  Pula, OIB 17540613938</item>
    </izvorni_sadrzaj>
    <derivirana_varijabla naziv="DomainObject.Predmet.ProtuStrankaListNazivFormatedOIB_1">
      <item>GLAS ISTRE TRGOVINA d.o.o.  Pula, OIB 17540613938</item>
    </derivirana_varijabla>
  </DomainObject.Predmet.ProtuStrankaListNazivFormatedOIB>
  <DomainObject.Predmet.OstaliList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zvorni_sadrzaj>
    <derivirana_varijabla naziv="DomainObject.Predmet.OstaliList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derivirana_varijabla>
  </DomainObject.Predmet.OstaliListFormated>
  <DomainObject.Predmet.OstaliList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izvorni_sadrzaj>
    <derivirana_varijabla naziv="DomainObject.Predmet.OstaliList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derivirana_varijabla>
  </DomainObject.Predmet.OstaliListFormatedOIB>
  <DomainObject.Predmet.OstaliListFormatedWithAdress>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item>ANA Holjar</item>
    </izvorni_sadrzaj>
    <derivirana_varijabla naziv="DomainObject.Predmet.OstaliListFormatedWithAdress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item>ANA Holjar</item>
    </derivirana_varijabla>
  </DomainObject.Predmet.OstaliListFormatedWithAdress>
  <DomainObject.Predmet.OstaliListFormatedWithAdress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item>ANA Holjar</item>
    </izvorni_sadrzaj>
    <derivirana_varijabla naziv="DomainObject.Predmet.OstaliListFormatedWithAdress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item>ANA Holjar</item>
    </derivirana_varijabla>
  </DomainObject.Predmet.OstaliListFormatedWithAdressOIB>
  <DomainObject.Predmet.OstaliListNaziv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zvorni_sadrzaj>
    <derivirana_varijabla naziv="DomainObject.Predmet.OstaliListNaziv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derivirana_varijabla>
  </DomainObject.Predmet.OstaliListNazivFormated>
  <DomainObject.Predmet.OstaliListNaziv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izvorni_sadrzaj>
    <derivirana_varijabla naziv="DomainObject.Predmet.OstaliListNaziv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
    <derivirana_varijabla naziv="DomainObject.PoslovniBrojDokumenta_1"/>
  </DomainObject.PoslovniBrojDokumenta>
  <DomainObject.Predmet.StrankaIDrugi>
    <izvorni_sadrzaj>MIRA ANTIĆ  Pula i dr.</izvorni_sadrzaj>
    <derivirana_varijabla naziv="DomainObject.Predmet.StrankaIDrugi_1">MIRA ANTIĆ  Pula i dr.</derivirana_varijabla>
  </DomainObject.Predmet.StrankaIDrugi>
  <DomainObject.Predmet.ProtustrankaIDrugi>
    <izvorni_sadrzaj>GLAS ISTRE TRGOVINA d.o.o.  Pula</izvorni_sadrzaj>
    <derivirana_varijabla naziv="DomainObject.Predmet.ProtustrankaIDrugi_1">GLAS ISTRE TRGOVINA d.o.o.  Pula</derivirana_varijabla>
  </DomainObject.Predmet.ProtustrankaIDrugi>
  <DomainObject.Predmet.StrankaIDrugiAdressOIB>
    <izvorni_sadrzaj>MIRA ANTIĆ  Pula, OIB 50580102148, Zadarska 30, 52100 Pula i dr.</izvorni_sadrzaj>
    <derivirana_varijabla naziv="DomainObject.Predmet.StrankaIDrugiAdressOIB_1">MIRA ANTIĆ  Pula, OIB 50580102148, Zadarska 30, 52100 Pula i dr.</derivirana_varijabla>
  </DomainObject.Predmet.StrankaIDrugiAdressOIB>
  <DomainObject.Predmet.ProtustrankaIDrugiAdressOIB>
    <izvorni_sadrzaj>GLAS ISTRE TRGOVINA d.o.o.  Pula, OIB 17540613938, Trg 1. Istarske brigade 10, 52100 Pula</izvorni_sadrzaj>
    <derivirana_varijabla naziv="DomainObject.Predmet.ProtustrankaIDrugiAdressOIB_1">GLAS ISTRE TRGOVINA d.o.o.  Pula, OIB 17540613938, Trg 1.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zvorni_sadrzaj>
    <derivirana_varijabla naziv="DomainObject.Predmet.SudioniciListNaziv_1">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derivirana_varijabla>
  </DomainObject.Predmet.SudioniciListNaziv>
  <DomainObject.Predmet.SudioniciListAdressOIB>
    <izvorni_sadrzaj>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item>ANA Holjar</item>
    </izvorni_sadrzaj>
    <derivirana_varijabla naziv="DomainObject.Predmet.SudioniciListAdressOIB_1">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item>ANA Holjar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item>, OIB null</item>
    </izvorni_sadrzaj>
    <derivirana_varijabla naziv="DomainObject.Predmet.SudioniciListNazivOIB_1">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625</properties:Words>
  <properties:Characters>3360</properties:Characters>
  <properties:Lines>95</properties:Lines>
  <properties:Paragraphs>42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2018-03-12T09:32:00Z</dcterms:created>
  <dc:creator>korisnik</dc:creator>
  <cp:lastModifiedBy>Jasna Radulović</cp:lastModifiedBy>
  <cp:lastPrinted>2016-11-21T08:30:00Z</cp:lastPrinted>
  <dcterms:modified xmlns:xsi="http://www.w3.org/2001/XMLSchema-instance" xsi:type="dcterms:W3CDTF">2018-03-12T09:46:00Z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(190-14 konačna nagrada Z. Ružić.docx)</vt:lpwstr>
  </prop:property>
  <prop:property name="CC_coloring" pid="4" fmtid="{D5CDD505-2E9C-101B-9397-08002B2CF9AE}">
    <vt:bool>false</vt:bool>
  </prop:property>
  <prop:property name="BrojStranica" pid="5" fmtid="{D5CDD505-2E9C-101B-9397-08002B2CF9AE}">
    <vt:i4>2</vt:i4>
  </prop:property>
</prop:Properties>
</file>