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16625" w14:paraId="4c16625" w:rsidRDefault="00737FE1" w:rsidR="00737FE1">
      <w:pPr>
        <w15:collapsed w:val="false"/>
        <w:rPr>
          <w:b/>
          <w:bCs/>
        </w:rPr>
      </w:pPr>
      <w:bookmarkStart w:name="_GoBack" w:id="0"/>
      <w:bookmarkEnd w:id="0"/>
    </w:p>
    <w:p w:rsidRDefault="00737FE1" w:rsidR="00737FE1">
      <w:pPr>
        <w:rPr>
          <w:b/>
          <w:bCs/>
        </w:rPr>
      </w:pPr>
    </w:p>
    <w:p w:rsidRDefault="00737FE1" w:rsidR="00737FE1">
      <w:pPr>
        <w:rPr>
          <w:b/>
          <w:bCs/>
        </w:rPr>
      </w:pPr>
      <w:r>
        <w:t>Poslovni broj:</w:t>
      </w:r>
      <w:r>
        <w:rPr>
          <w:b/>
          <w:bCs/>
        </w:rPr>
        <w:t xml:space="preserve"> 10. St-611/2018-3</w:t>
      </w:r>
    </w:p>
    <w:p w:rsidRDefault="00737FE1" w:rsidR="00737FE1">
      <w:pPr>
        <w:rPr>
          <w:b/>
          <w:bCs/>
          <w:sz w:val="26"/>
        </w:rPr>
      </w:pPr>
    </w:p>
    <w:p w:rsidRDefault="00737FE1" w:rsidR="00737FE1">
      <w:pPr>
        <w:rPr>
          <w:b/>
          <w:bCs/>
          <w:sz w:val="26"/>
        </w:rPr>
      </w:pPr>
    </w:p>
    <w:p w:rsidRDefault="00737FE1" w:rsidR="00737FE1">
      <w:pPr>
        <w:jc w:val="center"/>
        <w:rPr>
          <w:b/>
          <w:bCs/>
          <w:sz w:val="28"/>
          <w:szCs w:val="28"/>
        </w:rPr>
      </w:pPr>
      <w:r>
        <w:rPr>
          <w:b/>
          <w:bCs/>
          <w:sz w:val="28"/>
          <w:szCs w:val="28"/>
        </w:rPr>
        <w:t>TRGOVAČKI SUD U OSIJEKU</w:t>
      </w:r>
    </w:p>
    <w:p w:rsidRDefault="00737FE1" w:rsidR="00737FE1"/>
    <w:p w:rsidRDefault="00737FE1" w:rsidR="00737FE1"/>
    <w:p w:rsidRDefault="00737FE1" w:rsidR="00737FE1"/>
    <w:p w:rsidRDefault="00737FE1" w:rsidR="00737FE1">
      <w:pPr>
        <w:spacing w:lineRule="auto" w:line="360"/>
      </w:pPr>
    </w:p>
    <w:p w:rsidRDefault="00737FE1" w:rsidR="00737FE1">
      <w:pPr>
        <w:spacing w:lineRule="auto" w:line="360"/>
      </w:pPr>
    </w:p>
    <w:p w:rsidRDefault="00737FE1" w:rsidR="00737FE1">
      <w:pPr>
        <w:spacing w:lineRule="auto" w:line="360"/>
      </w:pPr>
      <w:r>
        <w:t>Dužnik:</w:t>
      </w:r>
      <w:r>
        <w:tab/>
        <w:t xml:space="preserve">CENTRAL MONTAŽA  jednostavno društvo s ograničenom odgovornošću za </w:t>
      </w:r>
      <w:r>
        <w:tab/>
      </w:r>
      <w:r>
        <w:tab/>
      </w:r>
      <w:r>
        <w:tab/>
        <w:t>graditeljstvo i usluge</w:t>
      </w:r>
    </w:p>
    <w:p w:rsidRDefault="00737FE1" w:rsidR="00737FE1">
      <w:pPr>
        <w:spacing w:lineRule="auto" w:line="360"/>
        <w:rPr>
          <w:b/>
          <w:bCs/>
        </w:rPr>
      </w:pPr>
      <w:r>
        <w:rPr>
          <w:b/>
          <w:bCs/>
        </w:rPr>
        <w:tab/>
      </w:r>
      <w:r>
        <w:rPr>
          <w:b/>
          <w:bCs/>
        </w:rPr>
        <w:tab/>
        <w:t>Sušobreg – dio (Donji Sušobreg) (Općina Konjšćina) Sušobreg 9B</w:t>
      </w:r>
    </w:p>
    <w:p w:rsidRDefault="00737FE1" w:rsidR="00737FE1">
      <w:pPr>
        <w:spacing w:lineRule="auto" w:line="360"/>
      </w:pPr>
      <w:r>
        <w:tab/>
      </w:r>
      <w:r>
        <w:tab/>
        <w:t>(MBS 080923510 – OIB 27381432658)</w:t>
      </w:r>
    </w:p>
    <w:p w:rsidRDefault="00737FE1" w:rsidR="00737FE1">
      <w:pPr>
        <w:spacing w:lineRule="auto" w:line="360"/>
      </w:pPr>
    </w:p>
    <w:p w:rsidRDefault="00737FE1" w:rsidR="00737FE1">
      <w:pPr>
        <w:spacing w:lineRule="auto" w:line="360"/>
      </w:pPr>
    </w:p>
    <w:p w:rsidRDefault="00737FE1" w:rsidR="00737FE1">
      <w:pPr>
        <w:spacing w:lineRule="auto" w:line="360"/>
        <w:jc w:val="center"/>
        <w:rPr>
          <w:b/>
          <w:bCs/>
          <w:sz w:val="28"/>
          <w:szCs w:val="28"/>
        </w:rPr>
      </w:pPr>
      <w:r>
        <w:rPr>
          <w:b/>
          <w:bCs/>
          <w:sz w:val="28"/>
          <w:szCs w:val="28"/>
        </w:rPr>
        <w:t>IZVJEŠĆE PRIVREMENOG STEČAJNOG UPRAVITELJA</w:t>
      </w:r>
    </w:p>
    <w:p w:rsidRDefault="00737FE1" w:rsidR="00737FE1">
      <w:pPr>
        <w:spacing w:lineRule="auto" w:line="360"/>
      </w:pPr>
    </w:p>
    <w:p w:rsidRDefault="00737FE1" w:rsidR="00737FE1">
      <w:pPr>
        <w:spacing w:lineRule="auto" w:line="360"/>
        <w:jc w:val="both"/>
      </w:pPr>
      <w:r>
        <w:tab/>
        <w:t>Rješenjem Trgovačkog suda u Osijeku, poslovni broj 10.St-611/2018-3 od 07. kolovoza 2018. godine pokrenut je prethodni postupak radi utvrđivanja uvjeta za otvaranje stečajnog postupka nad dužnikom  CENTRAL MONTAŽA  jednostavno društvo s ograničenom odgovornošću za graditeljstvo i usluge, Sušobreg – dio (Donji Sušobreg) (Općina Konjšćina) Sušobreg 9B (MBS 080923510 – OIB 27381432658).</w:t>
      </w:r>
    </w:p>
    <w:p w:rsidRDefault="00737FE1" w:rsidR="00737FE1">
      <w:pPr>
        <w:spacing w:lineRule="auto" w:line="360"/>
        <w:jc w:val="both"/>
      </w:pPr>
      <w:r>
        <w:tab/>
        <w:t xml:space="preserve">Navedenim rješenjem imenovan sam privremenim stečajnim upraviteljem dužnika. </w:t>
      </w:r>
    </w:p>
    <w:p w:rsidRDefault="00737FE1" w:rsidR="00737FE1">
      <w:pPr>
        <w:spacing w:lineRule="auto" w:line="360"/>
        <w:jc w:val="both"/>
      </w:pPr>
      <w:r>
        <w:tab/>
        <w:t xml:space="preserve">Prijedlog za otvaranje stečajnoga postupka nad dužnikom CENTRAL MONTAŽA  jednostavno društvo s ograničenom odgovornošću za graditeljstvo i usluge, Sušobreg – dio (Donji Sušobreg) (Općina Konjšćina) Sušobreg 9B (MBS 080923510 – OIB 27381432658), podnio je predlagatelj FINA RC Zagreb Podružnica Zagreb, Trg svibanjskih žrtava 1995. br. 1. U prijedlogu za otvaranje stečajnog postupka, FINA navodi da dužnik na dan 27. studenog 2017. u Očevidniku redoslijeda osnova za plaćanje ima neizvršene osnove za plaćanje u neprekinutom razdoblju od 497 dana u ukupnom iznosu od 45.448,74 kn u koji iznos je uračunata kamata i naknada FINE za provedbu ovrhe na novčanim sredstvima te da dužnik ima 1 zaposlenika.    </w:t>
      </w:r>
    </w:p>
    <w:p w:rsidRDefault="00737FE1" w:rsidR="00737FE1">
      <w:pPr>
        <w:spacing w:lineRule="auto" w:line="360"/>
        <w:jc w:val="both"/>
      </w:pPr>
      <w:r>
        <w:tab/>
        <w:t xml:space="preserve">Uvidom u portal </w:t>
      </w:r>
      <w:hyperlink r:id="rId8" w:history="true">
        <w:r>
          <w:rPr>
            <w:rStyle w:val="Hiperveza"/>
          </w:rPr>
          <w:t>www.fininfo.hr</w:t>
        </w:r>
      </w:hyperlink>
      <w:r>
        <w:t xml:space="preserve">  blokada računa i novčanih sredstava na dan 27.rujna 2018.g. traje 800 dana neprekidne blokade, od 19.07.2016.g.. Utvrđeno je da  na računima i novčanim sredstvima  dužnika na dan 27. rujna 2018.g.  evidentirano 800 dana neprekidne blokade </w:t>
      </w:r>
      <w:r>
        <w:lastRenderedPageBreak/>
        <w:t xml:space="preserve">odnosno ukupno 180 dana blokade  u prethodnih 6 mjeseci zbog nepodmirenih osnova za plaćanje evidentiranih u Očevidniku redoslijeda osnova za plaćanje. </w:t>
      </w:r>
    </w:p>
    <w:p w:rsidRDefault="00737FE1" w:rsidR="00737FE1">
      <w:pPr>
        <w:spacing w:lineRule="auto" w:line="360"/>
        <w:jc w:val="both"/>
      </w:pPr>
      <w:r>
        <w:tab/>
        <w:t>Sud je slijedom navedenoga u skladu s člankom  115. Stečajnog zakona (NN br. 71/15)  donio rješenje o pokretanju prethodnog postupka radi donošenja odluke postoje li okolnosti za otvaranje i vođenje stečajnog postupka nad dužnikom.</w:t>
      </w:r>
    </w:p>
    <w:p w:rsidRDefault="00737FE1" w:rsidR="00737FE1">
      <w:pPr>
        <w:spacing w:lineRule="auto" w:line="360"/>
        <w:jc w:val="both"/>
      </w:pPr>
      <w:r>
        <w:tab/>
        <w:t xml:space="preserve">Uvidom u sudski registar Trgovačkog suda u Zagrebu utvrđeno je kako je dužnik ustrojen kao jednostavno društvo s ograničenom odgovornošću za graditeljstvo i usluge, s temeljnim kapitalom od 10,00 kuna. Sjedište društva je Sušobreg – dio (Donji Sušobreg) (Općina Konjšćina) Sušobreg 9B. Osnivač društva je Ivica Orešec OIB: 63400223927, Sušobreg – dio (Donji Sušobreg)  Sušobreg 9B. </w:t>
      </w:r>
    </w:p>
    <w:p w:rsidRDefault="00737FE1" w:rsidR="00737FE1">
      <w:pPr>
        <w:spacing w:lineRule="auto" w:line="360"/>
        <w:jc w:val="both"/>
      </w:pPr>
      <w:r>
        <w:tab/>
        <w:t>Osobe ovlaštene za zastupanje su Ivica Orešec OIB: 63400223927, Sušobreg – dio (Donji Sušobreg)  Sušobreg 9B.  Zastupa društvo  samostalno i neograničeno.</w:t>
      </w:r>
    </w:p>
    <w:p w:rsidRDefault="00737FE1" w:rsidR="00737FE1">
      <w:pPr>
        <w:spacing w:lineRule="auto" w:line="360"/>
        <w:jc w:val="both"/>
      </w:pPr>
    </w:p>
    <w:p w:rsidRDefault="00737FE1" w:rsidR="00737FE1">
      <w:pPr>
        <w:spacing w:lineRule="auto" w:line="360"/>
        <w:jc w:val="both"/>
      </w:pPr>
      <w:r>
        <w:t>Predmet poslovanja dužnika:</w:t>
      </w:r>
    </w:p>
    <w:p w:rsidRDefault="00737FE1" w:rsidR="00737FE1">
      <w:pPr>
        <w:spacing w:lineRule="auto" w:line="360"/>
        <w:jc w:val="both"/>
      </w:pPr>
      <w:r>
        <w:t xml:space="preserve">* </w:t>
      </w:r>
      <w:r>
        <w:tab/>
        <w:t>projektiranje i građenje građevina te stručni nadzor građenja,</w:t>
      </w:r>
    </w:p>
    <w:p w:rsidRDefault="00737FE1" w:rsidR="00737FE1">
      <w:pPr>
        <w:spacing w:lineRule="auto" w:line="360"/>
        <w:jc w:val="both"/>
      </w:pPr>
      <w:r>
        <w:t xml:space="preserve">* </w:t>
      </w:r>
      <w:r>
        <w:tab/>
        <w:t>proizvodnja proizvoda od tekstila,</w:t>
      </w:r>
    </w:p>
    <w:p w:rsidRDefault="00737FE1" w:rsidR="00737FE1">
      <w:pPr>
        <w:spacing w:lineRule="auto" w:line="360"/>
        <w:jc w:val="both"/>
      </w:pPr>
      <w:r>
        <w:t>*</w:t>
      </w:r>
      <w:r>
        <w:tab/>
        <w:t>iznajmljivanje vjenčanica i ostale opreme za vjenčanje,</w:t>
      </w:r>
    </w:p>
    <w:p w:rsidRDefault="00737FE1" w:rsidR="00737FE1">
      <w:pPr>
        <w:spacing w:lineRule="auto" w:line="360"/>
        <w:jc w:val="both"/>
      </w:pPr>
      <w:r>
        <w:t>*</w:t>
      </w:r>
      <w:r>
        <w:tab/>
        <w:t>djelatnosti za njegu i održavanje tijela,</w:t>
      </w:r>
    </w:p>
    <w:p w:rsidRDefault="00737FE1" w:rsidR="00737FE1">
      <w:pPr>
        <w:spacing w:lineRule="auto" w:line="360"/>
        <w:jc w:val="both"/>
      </w:pPr>
      <w:r>
        <w:t>*</w:t>
      </w:r>
      <w:r>
        <w:tab/>
        <w:t>frizerski saloni i saloni za uljepšavanje,</w:t>
      </w:r>
    </w:p>
    <w:p w:rsidRDefault="00737FE1" w:rsidR="00737FE1">
      <w:pPr>
        <w:spacing w:lineRule="auto" w:line="360"/>
        <w:jc w:val="both"/>
      </w:pPr>
      <w:r>
        <w:t>*</w:t>
      </w:r>
      <w:r>
        <w:tab/>
        <w:t>kupnja i prodaja robe,</w:t>
      </w:r>
    </w:p>
    <w:p w:rsidRDefault="00737FE1" w:rsidR="00737FE1">
      <w:pPr>
        <w:spacing w:lineRule="auto" w:line="360"/>
        <w:jc w:val="both"/>
      </w:pPr>
      <w:r>
        <w:t>*</w:t>
      </w:r>
      <w:r>
        <w:tab/>
        <w:t>pružanje usluga u trgovini,</w:t>
      </w:r>
    </w:p>
    <w:p w:rsidRDefault="00737FE1" w:rsidR="00737FE1">
      <w:pPr>
        <w:spacing w:lineRule="auto" w:line="360"/>
        <w:jc w:val="both"/>
      </w:pPr>
      <w:r>
        <w:t>*</w:t>
      </w:r>
      <w:r>
        <w:tab/>
        <w:t>obavljanje trgovačkog posredovanja na domaćem i inozemnom tržištu,</w:t>
      </w:r>
    </w:p>
    <w:p w:rsidRDefault="00737FE1" w:rsidR="00737FE1">
      <w:pPr>
        <w:spacing w:lineRule="auto" w:line="360"/>
        <w:jc w:val="both"/>
      </w:pPr>
      <w:r>
        <w:t>*</w:t>
      </w:r>
      <w:r>
        <w:tab/>
        <w:t>zastupanje inozemnih tvrtki,</w:t>
      </w:r>
    </w:p>
    <w:p w:rsidRDefault="00737FE1" w:rsidR="00737FE1">
      <w:pPr>
        <w:spacing w:lineRule="auto" w:line="360"/>
        <w:jc w:val="both"/>
      </w:pPr>
      <w:r>
        <w:t>*</w:t>
      </w:r>
      <w:r>
        <w:tab/>
        <w:t>usluge informacijskog društva,</w:t>
      </w:r>
    </w:p>
    <w:p w:rsidRDefault="00737FE1" w:rsidR="00737FE1">
      <w:pPr>
        <w:spacing w:lineRule="auto" w:line="360"/>
        <w:jc w:val="both"/>
      </w:pPr>
      <w:r>
        <w:t>*</w:t>
      </w:r>
      <w:r>
        <w:tab/>
        <w:t>računovodstveni poslovi,</w:t>
      </w:r>
    </w:p>
    <w:p w:rsidRDefault="00737FE1" w:rsidR="00737FE1">
      <w:pPr>
        <w:spacing w:lineRule="auto" w:line="360"/>
        <w:jc w:val="both"/>
      </w:pPr>
      <w:r>
        <w:t>*</w:t>
      </w:r>
      <w:r>
        <w:tab/>
        <w:t>računalne i srodne djelatnosti,</w:t>
      </w:r>
    </w:p>
    <w:p w:rsidRDefault="00737FE1" w:rsidR="00737FE1">
      <w:pPr>
        <w:spacing w:lineRule="auto" w:line="360"/>
        <w:jc w:val="both"/>
      </w:pPr>
      <w:r>
        <w:t>*</w:t>
      </w:r>
      <w:r>
        <w:tab/>
        <w:t>posredovanje u prometu nekretnina,</w:t>
      </w:r>
    </w:p>
    <w:p w:rsidRDefault="00737FE1" w:rsidR="00737FE1">
      <w:pPr>
        <w:spacing w:lineRule="auto" w:line="360"/>
        <w:jc w:val="both"/>
      </w:pPr>
      <w:r>
        <w:t>*</w:t>
      </w:r>
      <w:r>
        <w:tab/>
        <w:t>poslovanje nekretninama,</w:t>
      </w:r>
    </w:p>
    <w:p w:rsidRDefault="00737FE1" w:rsidR="00737FE1">
      <w:pPr>
        <w:spacing w:lineRule="auto" w:line="360"/>
        <w:jc w:val="both"/>
      </w:pPr>
      <w:r>
        <w:t>*</w:t>
      </w:r>
      <w:r>
        <w:tab/>
        <w:t xml:space="preserve">djelatnost javnog cestovnog prijevoza putnika ili tereta u unutarnjem cestovnom </w:t>
      </w:r>
      <w:r>
        <w:tab/>
        <w:t>prometu,</w:t>
      </w:r>
    </w:p>
    <w:p w:rsidRDefault="00737FE1" w:rsidR="00737FE1">
      <w:pPr>
        <w:spacing w:lineRule="auto" w:line="360"/>
        <w:jc w:val="both"/>
      </w:pPr>
      <w:r>
        <w:t>*</w:t>
      </w:r>
      <w:r>
        <w:tab/>
        <w:t>prijevoz putnika u unutarnjem cestovnom prometu,</w:t>
      </w:r>
    </w:p>
    <w:p w:rsidRDefault="00737FE1" w:rsidR="00737FE1">
      <w:pPr>
        <w:spacing w:lineRule="auto" w:line="360"/>
        <w:jc w:val="both"/>
      </w:pPr>
      <w:r>
        <w:t>*</w:t>
      </w:r>
      <w:r>
        <w:tab/>
        <w:t>prijevoz tereta u unutarnjem i međunarodnom cestovnom prometu,</w:t>
      </w:r>
    </w:p>
    <w:p w:rsidRDefault="00737FE1" w:rsidR="00737FE1">
      <w:pPr>
        <w:spacing w:lineRule="auto" w:line="360"/>
        <w:jc w:val="both"/>
      </w:pPr>
      <w:r>
        <w:t>*</w:t>
      </w:r>
      <w:r>
        <w:tab/>
        <w:t>prijevoz za vlastite potrebe,</w:t>
      </w:r>
    </w:p>
    <w:p w:rsidRDefault="00737FE1" w:rsidR="00737FE1">
      <w:pPr>
        <w:spacing w:lineRule="auto" w:line="360"/>
        <w:jc w:val="both"/>
      </w:pPr>
      <w:r>
        <w:t>*</w:t>
      </w:r>
      <w:r>
        <w:tab/>
        <w:t>pripremanje hrane i pružanje usluga prehrane,</w:t>
      </w:r>
    </w:p>
    <w:p w:rsidRDefault="00737FE1" w:rsidR="00737FE1">
      <w:pPr>
        <w:spacing w:lineRule="auto" w:line="360"/>
        <w:jc w:val="both"/>
      </w:pPr>
      <w:r>
        <w:t>*</w:t>
      </w:r>
      <w:r>
        <w:tab/>
        <w:t>pripremanje i usluživanje pića i napitaka.</w:t>
      </w:r>
    </w:p>
    <w:p w:rsidRDefault="00737FE1" w:rsidR="00737FE1">
      <w:pPr>
        <w:spacing w:lineRule="auto" w:line="360"/>
        <w:jc w:val="both"/>
      </w:pPr>
      <w:r>
        <w:lastRenderedPageBreak/>
        <w:t>*</w:t>
      </w:r>
      <w:r>
        <w:tab/>
        <w:t>pružanje usluga smještaja,</w:t>
      </w:r>
    </w:p>
    <w:p w:rsidRDefault="00737FE1" w:rsidR="00737FE1">
      <w:pPr>
        <w:spacing w:lineRule="auto" w:line="360"/>
        <w:jc w:val="both"/>
      </w:pPr>
      <w:r>
        <w:t>*</w:t>
      </w:r>
      <w:r>
        <w:tab/>
        <w:t xml:space="preserve">pripremanje hrane za potrošnju na drugom mjestu sa ili bez usluživanja </w:t>
      </w:r>
      <w:r>
        <w:tab/>
      </w:r>
      <w:r>
        <w:tab/>
        <w:t>( u prijevoznom sredstvu, na priredbama i sl.) i opskrba tom hranom (catering),</w:t>
      </w:r>
    </w:p>
    <w:p w:rsidRDefault="00737FE1" w:rsidR="00737FE1">
      <w:pPr>
        <w:spacing w:lineRule="auto" w:line="360"/>
        <w:jc w:val="both"/>
      </w:pPr>
      <w:r>
        <w:t>*</w:t>
      </w:r>
      <w:r>
        <w:tab/>
        <w:t>poljoprivredna djelatnost,</w:t>
      </w:r>
    </w:p>
    <w:p w:rsidRDefault="00737FE1" w:rsidR="00737FE1">
      <w:pPr>
        <w:spacing w:lineRule="auto" w:line="360"/>
        <w:jc w:val="both"/>
      </w:pPr>
      <w:r>
        <w:t>*</w:t>
      </w:r>
      <w:r>
        <w:tab/>
        <w:t>integrirana proizvodnja poljoprivrednih proizvoda,</w:t>
      </w:r>
    </w:p>
    <w:p w:rsidRDefault="00737FE1" w:rsidR="00737FE1">
      <w:pPr>
        <w:spacing w:lineRule="auto" w:line="360"/>
        <w:jc w:val="both"/>
      </w:pPr>
      <w:r>
        <w:t>*</w:t>
      </w:r>
      <w:r>
        <w:tab/>
        <w:t>proizvodnja i uzgoj uzgojno valjanih životinja,</w:t>
      </w:r>
    </w:p>
    <w:p w:rsidRDefault="00737FE1" w:rsidR="00737FE1">
      <w:pPr>
        <w:spacing w:lineRule="auto" w:line="360"/>
        <w:jc w:val="both"/>
      </w:pPr>
      <w:r>
        <w:t>*</w:t>
      </w:r>
      <w:r>
        <w:tab/>
        <w:t>oplođivanje domaćih životinja,</w:t>
      </w:r>
    </w:p>
    <w:p w:rsidRDefault="00737FE1" w:rsidR="00737FE1">
      <w:pPr>
        <w:spacing w:lineRule="auto" w:line="360"/>
        <w:jc w:val="both"/>
      </w:pPr>
      <w:r>
        <w:t>*</w:t>
      </w:r>
      <w:r>
        <w:tab/>
        <w:t>trgovina uzgojno valjanim životinjama i genetskim materijalom,</w:t>
      </w:r>
    </w:p>
    <w:p w:rsidRDefault="00737FE1" w:rsidR="00737FE1">
      <w:pPr>
        <w:spacing w:lineRule="auto" w:line="360"/>
        <w:jc w:val="both"/>
      </w:pPr>
      <w:r>
        <w:t>*</w:t>
      </w:r>
      <w:r>
        <w:tab/>
        <w:t>gospodarenje šumama,</w:t>
      </w:r>
    </w:p>
    <w:p w:rsidRDefault="00737FE1" w:rsidR="00737FE1">
      <w:pPr>
        <w:spacing w:lineRule="auto" w:line="360"/>
        <w:jc w:val="both"/>
      </w:pPr>
      <w:r>
        <w:tab/>
        <w:t>Dužnik u trenutku podnošenja prijedloga za pokretanje prethodnog postupka  po izvješću FINE ima jednog zaposlenika.</w:t>
      </w:r>
    </w:p>
    <w:p w:rsidRDefault="00737FE1" w:rsidR="00737FE1">
      <w:pPr>
        <w:spacing w:lineRule="auto" w:line="360"/>
        <w:jc w:val="both"/>
      </w:pPr>
      <w:r>
        <w:tab/>
        <w:t>Rješenjem je naloženo privremenom stečajnom upravitelju da dostavi izvješće o financijsko gospodarskom stanju stečajnog dužnika, te mogućnostima provođenja stečajnog postupka nad njegovom imovinom.</w:t>
      </w:r>
    </w:p>
    <w:p w:rsidRDefault="00737FE1" w:rsidR="00737FE1">
      <w:pPr>
        <w:spacing w:lineRule="auto" w:line="360"/>
        <w:jc w:val="both"/>
      </w:pPr>
      <w:r>
        <w:tab/>
        <w:t>U postupku utvrđivanja relevantnih činjenica o postojanju pretpostavki za otvaranjem stečajnoga postupka i mogućnosti namirenja troškova stečajnoga postupka iz imovine dužnika sa zakonskim zastupnikom nije se moglo stupiti u direktan kontakt.</w:t>
      </w:r>
    </w:p>
    <w:p w:rsidRDefault="00737FE1" w:rsidR="00737FE1">
      <w:pPr>
        <w:spacing w:lineRule="auto" w:line="360"/>
        <w:jc w:val="both"/>
      </w:pPr>
      <w:r>
        <w:t xml:space="preserve">Broj telefona koji je dobiven od Porezne uprave Područni ured Krapina Ispostava Zlatar nije u funkciji odnosno iskopčan je. </w:t>
      </w:r>
    </w:p>
    <w:p w:rsidRDefault="00737FE1" w:rsidR="00737FE1">
      <w:pPr>
        <w:spacing w:lineRule="auto" w:line="360"/>
        <w:jc w:val="both"/>
      </w:pPr>
      <w:r>
        <w:tab/>
        <w:t xml:space="preserve">Predstečajni upravitelj je izvršio uvid u financijska izvješća objavljena na stranicama FINA-e RGFI javna objava financijskih izvješća na dan 31. kolovoz 2018. godine i utvrdio da po predanim izvješćima stečajni dužnik u 2017. godini nije obavljao djelatnost- nije uredno vodio poslovne knjige, jer nema niti prihoda niti rashoda za period poslovanja od 01.01.2017. do 31.12.2017.g., a tako je stečajni dužnik i pobliže objasnio u predanim bilješkama za pojedine pozicije računa dobiti i gubitka. Bilanca stanja na dan 31.12.2017.g. je jednaka bilanci stanja na dan 31.12.2016. g., što također ukazuje da stečajni dužnik nije vodio uredno  poslovne knjige za 2017. godinu. Predlagatelj FINA RC Zagreb podružnica Zagreb  u svom prijedlogu je naveo da stečajni dužnik ima jednog zaposlenog. Kad društvo ima prijavljene  zaposlenike  potrebno je predavati propisane  obrasce na Poreznu upravu (JIPPD) bez obzira da li sredstava na računu ima ili nema,  što odgovorna osoba stečajnog dužnika nije podnosila. </w:t>
      </w:r>
    </w:p>
    <w:p w:rsidRDefault="00737FE1" w:rsidR="00737FE1">
      <w:pPr>
        <w:spacing w:lineRule="auto" w:line="360"/>
        <w:jc w:val="both"/>
      </w:pPr>
      <w:r>
        <w:tab/>
        <w:t>Od Porezne uprave Područni ured Krapina Ispostava Zlatar, zatražen je podatak o dugovanju za sve poreze, doprinose i javna davanja s kojima raspolaže Porezna uprava, međutim do dana pisanja izvješća podatak nije dostavljen stečajnom upravitelju s obrazloženjem da nemaju točne podatke jer stečajni dužnik nije dostavljao dokumentaciju.</w:t>
      </w:r>
    </w:p>
    <w:p w:rsidRDefault="00737FE1" w:rsidR="00737FE1">
      <w:pPr>
        <w:spacing w:lineRule="auto" w:line="360"/>
        <w:jc w:val="both"/>
      </w:pPr>
      <w:r>
        <w:lastRenderedPageBreak/>
        <w:tab/>
        <w:t xml:space="preserve">Uvidom u javno objavljene podatke na stranicama Financijske agencije RGFI javna objava, a i uvidom u sudski registar dužnik je zadnja financijska izvješća  predao za 2017. godinu da zadovolji formu.  </w:t>
      </w:r>
    </w:p>
    <w:p w:rsidRDefault="00737FE1" w:rsidR="00737FE1">
      <w:pPr>
        <w:spacing w:lineRule="auto" w:line="360"/>
        <w:jc w:val="both"/>
      </w:pPr>
      <w:r>
        <w:tab/>
        <w:t>Uvidom javno objavljenja  financijska izvješća – bilanca stanja na dan 31.12.2017. g., i na dan 31.12.2016.g.  je ista. Iz izvješća je vidljivo da dužnik nema dugotrajne imovine, a kratkotrajna imovina u iznosi  55.499,00 kuna.</w:t>
      </w:r>
    </w:p>
    <w:p w:rsidRDefault="00737FE1" w:rsidR="00737FE1">
      <w:pPr>
        <w:spacing w:lineRule="auto" w:line="360"/>
        <w:jc w:val="both"/>
      </w:pPr>
    </w:p>
    <w:p w:rsidRDefault="00737FE1" w:rsidR="00737FE1">
      <w:pPr>
        <w:spacing w:lineRule="auto" w:line="360"/>
        <w:jc w:val="center"/>
      </w:pPr>
      <w:r>
        <w:t>BILANCA STANJA NA DAN 31.12.2017.g.</w:t>
      </w:r>
    </w:p>
    <w:p w:rsidRDefault="00737FE1" w:rsidR="00737FE1">
      <w:pPr>
        <w:spacing w:lineRule="auto" w:line="360"/>
        <w:jc w:val="both"/>
      </w:pPr>
      <w:r>
        <w:t>AKTIVA</w:t>
      </w:r>
      <w:r>
        <w:tab/>
      </w:r>
      <w:r>
        <w:tab/>
      </w:r>
      <w:r>
        <w:tab/>
      </w:r>
      <w:r>
        <w:tab/>
      </w:r>
      <w:r>
        <w:tab/>
      </w:r>
      <w:r>
        <w:tab/>
      </w:r>
      <w:r>
        <w:tab/>
        <w:t xml:space="preserve">      iznosi u kunama</w:t>
      </w: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3013"/>
        <w:gridCol w:w="1158"/>
        <w:gridCol w:w="1739"/>
        <w:gridCol w:w="1740"/>
      </w:tblGrid>
      <w:tr w:rsidR="00737FE1">
        <w:tc>
          <w:tcPr>
            <w:tcW w:type="dxa" w:w="3013"/>
            <w:tcBorders>
              <w:top w:space="0" w:sz="1" w:color="000000" w:val="single"/>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POZICIJA</w:t>
            </w:r>
          </w:p>
        </w:tc>
        <w:tc>
          <w:tcPr>
            <w:tcW w:type="dxa" w:w="1158"/>
            <w:tcBorders>
              <w:top w:space="0" w:sz="1" w:color="000000" w:val="single"/>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31.12.2015</w:t>
            </w:r>
          </w:p>
        </w:tc>
        <w:tc>
          <w:tcPr>
            <w:tcW w:type="dxa" w:w="1739"/>
            <w:tcBorders>
              <w:top w:space="0" w:sz="1" w:color="000000" w:val="single"/>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31.12.2016.</w:t>
            </w:r>
          </w:p>
        </w:tc>
        <w:tc>
          <w:tcPr>
            <w:tcW w:type="dxa" w:w="1740"/>
            <w:tcBorders>
              <w:top w:space="0" w:sz="1" w:color="000000" w:val="single"/>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31.2.2017.</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B) DUGOTRAJNA IMOVINA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  Nematerijalna imovina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II Materijalna imovina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C) KRATKOTRAJNA IMOVINA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45.084,00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55.499,00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55.499,00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 Zalihe</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II Potraživanja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10.499,00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10.499,00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sz w:val="16"/>
              </w:rPr>
            </w:pPr>
            <w:r>
              <w:rPr>
                <w:sz w:val="16"/>
              </w:rPr>
              <w:t>2. Potraživanja od kupaca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0,00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10.499,00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sz w:val="16"/>
              </w:rPr>
            </w:pPr>
            <w:r>
              <w:rPr>
                <w:sz w:val="16"/>
              </w:rPr>
              <w:t>10.499,00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III. Kratkotrajna financijska   imovina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45.000,00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45.000,00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45.000,00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IV. Novac u banci i blagajni</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84,00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E) UKUPNA AKTIVA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45.084,00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55.499,00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55.499,00</w:t>
            </w:r>
          </w:p>
        </w:tc>
      </w:tr>
    </w:tbl>
    <w:p w:rsidRDefault="00737FE1" w:rsidR="00737FE1">
      <w:pPr>
        <w:spacing w:lineRule="auto" w:line="360"/>
        <w:jc w:val="both"/>
      </w:pPr>
    </w:p>
    <w:p w:rsidRDefault="00737FE1" w:rsidR="00737FE1">
      <w:pPr>
        <w:spacing w:lineRule="auto" w:line="360"/>
        <w:jc w:val="both"/>
      </w:pPr>
      <w:r>
        <w:t>PASIVA</w:t>
      </w: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3030"/>
        <w:gridCol w:w="1080"/>
        <w:gridCol w:w="1815"/>
        <w:gridCol w:w="1665"/>
      </w:tblGrid>
      <w:tr w:rsidR="00737FE1">
        <w:tc>
          <w:tcPr>
            <w:tcW w:type="dxa" w:w="3030"/>
            <w:tcBorders>
              <w:top w:space="0" w:sz="1" w:color="000000" w:val="single"/>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A) KAPITAL I REZERVE</w:t>
            </w:r>
          </w:p>
        </w:tc>
        <w:tc>
          <w:tcPr>
            <w:tcW w:type="dxa" w:w="1080"/>
            <w:tcBorders>
              <w:top w:space="0" w:sz="1" w:color="000000" w:val="single"/>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-4.914,00</w:t>
            </w:r>
          </w:p>
        </w:tc>
        <w:tc>
          <w:tcPr>
            <w:tcW w:type="dxa" w:w="1815"/>
            <w:tcBorders>
              <w:top w:space="0" w:sz="1" w:color="000000" w:val="single"/>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-43.938,00</w:t>
            </w:r>
          </w:p>
        </w:tc>
        <w:tc>
          <w:tcPr>
            <w:tcW w:type="dxa" w:w="1665"/>
            <w:tcBorders>
              <w:top w:space="0" w:sz="1" w:color="000000" w:val="single"/>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-43.938,00</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 Temeljni (upisani) kapital</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10,00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10,00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10,00</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V. Zadržana dobit ili preneseni  gubitak</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-7.078,00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-4.924,00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-4.924,00</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VI. Dobit ili gubitak poslovne   godine</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2.154,00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-39.024,00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-39.024,00</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D) KRATKOROČNE OBVEZE</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49.998,00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99.437,00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99.437,00</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2. Obveze prema dobavljačima</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3.010,00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3.010,00</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3. Obveze prema zaposlenicima</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34.763,00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64.715,00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64.715,00</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Ostale kratkoročne obveze</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15.235,00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31.712,00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31.712,00</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F)  UKUPNA PASIVA</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45.084,00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55.499,00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55.499,00</w:t>
            </w:r>
          </w:p>
        </w:tc>
      </w:tr>
    </w:tbl>
    <w:p w:rsidRDefault="00737FE1" w:rsidR="00737FE1">
      <w:pPr>
        <w:spacing w:lineRule="auto" w:line="360"/>
        <w:jc w:val="both"/>
      </w:pPr>
    </w:p>
    <w:p w:rsidRDefault="00737FE1" w:rsidR="00737FE1">
      <w:pPr>
        <w:spacing w:lineRule="auto" w:line="360"/>
        <w:jc w:val="center"/>
      </w:pPr>
      <w:r>
        <w:t xml:space="preserve">RAČUN DOBITI I GUBITKA </w:t>
      </w:r>
    </w:p>
    <w:tbl>
      <w:tblPr>
        <w:tblW w:type="auto" w:w="0"/>
        <w:tblInd w:type="dxa" w:w="31"/>
        <w:tblLayout w:type="fixed"/>
        <w:tblCellMar>
          <w:top w:type="dxa" w:w="55"/>
          <w:left w:type="dxa" w:w="55"/>
          <w:bottom w:type="dxa" w:w="55"/>
          <w:right w:type="dxa" w:w="55"/>
        </w:tblCellMar>
        <w:tblLook w:val="0000" w:noVBand="0" w:noHBand="0" w:lastColumn="0" w:firstColumn="0" w:lastRow="0" w:firstRow="0"/>
      </w:tblPr>
      <w:tblGrid>
        <w:gridCol w:w="3779"/>
        <w:gridCol w:w="1665"/>
        <w:gridCol w:w="1815"/>
        <w:gridCol w:w="1786"/>
      </w:tblGrid>
      <w:tr w:rsidR="00737FE1">
        <w:tc>
          <w:tcPr>
            <w:tcW w:type="dxa" w:w="3779"/>
            <w:tcBorders>
              <w:top w:space="0" w:sz="1" w:color="000000" w:val="single"/>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POZICIJA</w:t>
            </w:r>
          </w:p>
        </w:tc>
        <w:tc>
          <w:tcPr>
            <w:tcW w:type="dxa" w:w="1665"/>
            <w:tcBorders>
              <w:top w:space="0" w:sz="1" w:color="000000" w:val="single"/>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01.01.2015-31.12.2015.</w:t>
            </w:r>
          </w:p>
        </w:tc>
        <w:tc>
          <w:tcPr>
            <w:tcW w:type="dxa" w:w="1815"/>
            <w:tcBorders>
              <w:top w:space="0" w:sz="1" w:color="000000" w:val="single"/>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01.01.2016. - 31.12.2016.</w:t>
            </w:r>
          </w:p>
        </w:tc>
        <w:tc>
          <w:tcPr>
            <w:tcW w:type="dxa" w:w="1786"/>
            <w:tcBorders>
              <w:top w:space="0" w:sz="1" w:color="000000" w:val="single"/>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01.01.2017. - 31.12.2017.</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 POSLOVNI PRIHODI</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55.639,00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15.154,00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sz w:val="16"/>
              </w:rPr>
            </w:pPr>
            <w:r>
              <w:rPr>
                <w:sz w:val="16"/>
              </w:rPr>
              <w:t>1. Prihodi od prodaje</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0,00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0,00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sz w:val="16"/>
              </w:rPr>
            </w:pPr>
            <w:r>
              <w:rPr>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sz w:val="16"/>
              </w:rPr>
            </w:pPr>
            <w:r>
              <w:rPr>
                <w:sz w:val="16"/>
              </w:rPr>
              <w:t>2. Ostali poslovni prihodi</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55.639,00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15.164,00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sz w:val="16"/>
              </w:rPr>
            </w:pPr>
            <w:r>
              <w:rPr>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II POSLOVNI RASHODI</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52.946,00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54.188,00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sz w:val="16"/>
              </w:rPr>
            </w:pPr>
            <w:r>
              <w:rPr>
                <w:sz w:val="16"/>
              </w:rPr>
              <w:t>2. Materijalni troškovi</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6.373,00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1.608,00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sz w:val="16"/>
              </w:rPr>
            </w:pPr>
            <w:r>
              <w:rPr>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sz w:val="16"/>
              </w:rPr>
            </w:pPr>
            <w:r>
              <w:rPr>
                <w:sz w:val="16"/>
              </w:rPr>
              <w:t>3. Troškovi osoblja</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43.880,00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43.880,00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sz w:val="16"/>
              </w:rPr>
            </w:pPr>
            <w:r>
              <w:rPr>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sz w:val="16"/>
              </w:rPr>
            </w:pPr>
            <w:r>
              <w:rPr>
                <w:sz w:val="16"/>
              </w:rPr>
              <w:t>4. Amortizacija</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0,00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0,00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sz w:val="16"/>
              </w:rPr>
            </w:pPr>
            <w:r>
              <w:rPr>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sz w:val="16"/>
              </w:rPr>
            </w:pPr>
            <w:r>
              <w:rPr>
                <w:sz w:val="16"/>
              </w:rPr>
              <w:t>5. Ostali  troškovi</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2.693,00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8.700,00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sz w:val="16"/>
              </w:rPr>
            </w:pPr>
            <w:r>
              <w:rPr>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sz w:val="16"/>
              </w:rPr>
            </w:pPr>
            <w:r>
              <w:rPr>
                <w:sz w:val="16"/>
              </w:rPr>
              <w:lastRenderedPageBreak/>
              <w:t>8. Ostali poslovni rashodi</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0,00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0,00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sz w:val="16"/>
              </w:rPr>
            </w:pPr>
            <w:r>
              <w:rPr>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III FINANCIJSKI PRIHODI</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IX UKUPNI PRIHODI</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55.639,00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15.164,00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X  UKUPNI RASHODI</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52.946,00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54.188,00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XI DOBIT ILI GUBITAK PRIJE   OPOREZIVANJA</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2.693,00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-39.024,00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Porez na dobit</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539,00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779"/>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Neto dobit/gubitak</w:t>
            </w:r>
          </w:p>
        </w:tc>
        <w:tc>
          <w:tcPr>
            <w:tcW w:type="dxa" w:w="166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2.154,00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-39.024,00</w:t>
            </w:r>
          </w:p>
        </w:tc>
        <w:tc>
          <w:tcPr>
            <w:tcW w:type="dxa" w:w="1786"/>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bl>
    <w:p w:rsidRDefault="00737FE1" w:rsidR="00737FE1">
      <w:pPr>
        <w:spacing w:lineRule="auto" w:line="360"/>
        <w:jc w:val="both"/>
      </w:pPr>
    </w:p>
    <w:p w:rsidRDefault="00737FE1" w:rsidR="00737FE1">
      <w:pPr>
        <w:spacing w:lineRule="auto" w:line="360"/>
        <w:jc w:val="both"/>
      </w:pPr>
      <w:r>
        <w:t xml:space="preserve"> </w:t>
      </w:r>
      <w:r>
        <w:tab/>
        <w:t xml:space="preserve">U računu dobiti i gubitka za period od 01.01.-31.12.2017. godine za usporedbu je stavljen period od 01.01.-31.12.2015. godine i period od 01.01.-31.12.2016. godine. </w:t>
      </w:r>
    </w:p>
    <w:p w:rsidRDefault="00737FE1" w:rsidR="00737FE1">
      <w:pPr>
        <w:spacing w:lineRule="auto" w:line="360"/>
        <w:jc w:val="both"/>
      </w:pPr>
      <w:r>
        <w:t xml:space="preserve">U RDG-u je vidljivo da su prihodi u 2016. godini bili u odnosu na prethodno razdoblje manji i iznosili su 15.164,00 kuna, rashodi su   iznosili  54.188,00 kn. Gubitak u poslovanju u 2016. godini iznosio je 39.024,00 kuna. Iz računa dobiti i gubitka je vidljivo da  poslovanje stečajnog dužnika nije značajno, a po predanim izvješćima za 2017. godinu vidljivo je da u 2017. godini niti nema prihoda. </w:t>
      </w:r>
    </w:p>
    <w:p w:rsidRDefault="00737FE1" w:rsidR="00737FE1">
      <w:pPr>
        <w:spacing w:lineRule="auto" w:line="360"/>
        <w:jc w:val="both"/>
      </w:pPr>
      <w:r>
        <w:tab/>
        <w:t>U tabeli 3 vidljivo je da su sve kratkoročne obveze na dan 31.12.2016. g. povećale u odnosu na dan 31.12.2015. godine, a što je i logično obzirom na malu poslovnu aktivnost i gubitak u poslovanju, a na dan 31.12.2017. godine su jednako iskazane kao i na dan 31.12.2016.g..</w:t>
      </w:r>
    </w:p>
    <w:p w:rsidRDefault="00737FE1" w:rsidR="00737FE1">
      <w:pPr>
        <w:spacing w:lineRule="auto" w:line="360"/>
        <w:jc w:val="both"/>
      </w:pPr>
    </w:p>
    <w:p w:rsidRDefault="00737FE1" w:rsidR="00737FE1">
      <w:pPr>
        <w:spacing w:lineRule="auto" w:line="360"/>
        <w:jc w:val="both"/>
      </w:pPr>
      <w:r>
        <w:t>IMOVINA DUŽNIKA</w:t>
      </w:r>
    </w:p>
    <w:p w:rsidRDefault="00737FE1" w:rsidR="00737FE1">
      <w:pPr>
        <w:spacing w:lineRule="auto" w:line="360"/>
        <w:jc w:val="both"/>
      </w:pPr>
      <w:r>
        <w:tab/>
        <w:t>Prema zadnje dostupnoj bilanci stanja na dan 31.12.2017. godine, temeljem uvida u financijska izvješća koja je dužnik imao obvezu predati nadležnim institucijama te su javno objavljena u Registru financijskih izvještaja (RGFI), za 2017. godinu dužnik ima evidentirano na pozicijama :</w:t>
      </w:r>
    </w:p>
    <w:p w:rsidRDefault="00737FE1" w:rsidR="00737FE1">
      <w:pPr>
        <w:spacing w:lineRule="auto" w:line="360"/>
        <w:jc w:val="both"/>
      </w:pPr>
    </w:p>
    <w:p w:rsidRDefault="00737FE1" w:rsidR="00737FE1">
      <w:pPr>
        <w:spacing w:lineRule="auto" w:line="360"/>
        <w:jc w:val="both"/>
      </w:pPr>
      <w:r>
        <w:t>DUGOTRAJNE IMOVINE</w:t>
      </w:r>
    </w:p>
    <w:p w:rsidRDefault="00737FE1" w:rsidR="00737FE1">
      <w:pPr>
        <w:spacing w:lineRule="auto" w:line="360"/>
        <w:jc w:val="both"/>
        <w:rPr>
          <w:i/>
          <w:iCs/>
          <w:u w:val="single"/>
        </w:rPr>
      </w:pPr>
      <w:r>
        <w:rPr>
          <w:i/>
          <w:iCs/>
          <w:u w:val="single"/>
        </w:rPr>
        <w:t xml:space="preserve">Nekretnine </w:t>
      </w:r>
    </w:p>
    <w:p w:rsidRDefault="00737FE1" w:rsidR="00737FE1">
      <w:pPr>
        <w:spacing w:lineRule="auto" w:line="360"/>
        <w:jc w:val="both"/>
      </w:pPr>
      <w:r>
        <w:t>Prema bilanci za 2017. godinu dužnik ne posjeduje nekretnine.</w:t>
      </w:r>
    </w:p>
    <w:p w:rsidRDefault="00737FE1" w:rsidR="00737FE1">
      <w:pPr>
        <w:spacing w:lineRule="auto" w:line="360"/>
        <w:jc w:val="both"/>
      </w:pPr>
    </w:p>
    <w:p w:rsidRDefault="00737FE1" w:rsidR="00737FE1">
      <w:pPr>
        <w:spacing w:lineRule="auto" w:line="360"/>
        <w:jc w:val="both"/>
        <w:rPr>
          <w:i/>
          <w:iCs/>
          <w:u w:val="single"/>
        </w:rPr>
      </w:pPr>
      <w:r>
        <w:rPr>
          <w:i/>
          <w:iCs/>
          <w:u w:val="single"/>
        </w:rPr>
        <w:t>Pokretnine</w:t>
      </w:r>
    </w:p>
    <w:p w:rsidRDefault="00737FE1" w:rsidR="00737FE1">
      <w:pPr>
        <w:spacing w:lineRule="auto" w:line="360"/>
        <w:jc w:val="both"/>
      </w:pPr>
      <w:r>
        <w:t>Iz bilance na dan 31.12.2017. godine vidljivo je da je dužnik nema pokretnina.</w:t>
      </w:r>
    </w:p>
    <w:p w:rsidRDefault="00737FE1" w:rsidR="00737FE1">
      <w:pPr>
        <w:spacing w:lineRule="auto" w:line="360"/>
        <w:jc w:val="both"/>
      </w:pPr>
      <w:r>
        <w:t>Stečajni dužnik ne posjeduje dugotrajnu imovinu</w:t>
      </w:r>
    </w:p>
    <w:p w:rsidRDefault="00737FE1" w:rsidR="00737FE1">
      <w:pPr>
        <w:spacing w:lineRule="auto" w:line="360"/>
        <w:jc w:val="both"/>
      </w:pPr>
      <w:r>
        <w:t>KRATKOTRAJNA IMOVINA</w:t>
      </w:r>
    </w:p>
    <w:p w:rsidRDefault="00737FE1" w:rsidR="00737FE1">
      <w:pPr>
        <w:spacing w:lineRule="auto" w:line="360"/>
        <w:jc w:val="both"/>
      </w:pPr>
      <w:r>
        <w:t>U nastavku je dan pregled kratkotrajne imovine sa stanjem na dan 31.12.2017. godine.</w:t>
      </w:r>
    </w:p>
    <w:p w:rsidRDefault="00737FE1" w:rsidR="00737FE1">
      <w:pPr>
        <w:spacing w:lineRule="auto" w:line="360"/>
        <w:jc w:val="both"/>
      </w:pPr>
      <w:r>
        <w:t>Tabela 1</w:t>
      </w: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3013"/>
        <w:gridCol w:w="1158"/>
        <w:gridCol w:w="1739"/>
        <w:gridCol w:w="1740"/>
      </w:tblGrid>
      <w:tr w:rsidR="00737FE1">
        <w:tc>
          <w:tcPr>
            <w:tcW w:type="dxa" w:w="3013"/>
            <w:tcBorders>
              <w:top w:space="0" w:sz="1" w:color="000000" w:val="single"/>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POZICIJA</w:t>
            </w:r>
          </w:p>
        </w:tc>
        <w:tc>
          <w:tcPr>
            <w:tcW w:type="dxa" w:w="1158"/>
            <w:tcBorders>
              <w:top w:space="0" w:sz="1" w:color="000000" w:val="single"/>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31.12.2015</w:t>
            </w:r>
          </w:p>
        </w:tc>
        <w:tc>
          <w:tcPr>
            <w:tcW w:type="dxa" w:w="1739"/>
            <w:tcBorders>
              <w:top w:space="0" w:sz="1" w:color="000000" w:val="single"/>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31.12.2016.</w:t>
            </w:r>
          </w:p>
        </w:tc>
        <w:tc>
          <w:tcPr>
            <w:tcW w:type="dxa" w:w="1740"/>
            <w:tcBorders>
              <w:top w:space="0" w:sz="1" w:color="000000" w:val="single"/>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31.2.2017.</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lastRenderedPageBreak/>
              <w:t>I Zalihe</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II Potraživanja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10.499,00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10.499,00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sz w:val="16"/>
              </w:rPr>
            </w:pPr>
            <w:r>
              <w:rPr>
                <w:sz w:val="16"/>
              </w:rPr>
              <w:t>2. Potraživanja od kupaca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0,00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sz w:val="16"/>
              </w:rPr>
            </w:pPr>
            <w:r>
              <w:rPr>
                <w:sz w:val="16"/>
              </w:rPr>
              <w:t>10.499,00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sz w:val="16"/>
              </w:rPr>
            </w:pPr>
            <w:r>
              <w:rPr>
                <w:sz w:val="16"/>
              </w:rPr>
              <w:t>10.499,00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III. Kratkotrajna financijska   imovina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45.000,00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45.000,00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45.000,00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IV. Novac u banci i blagajni</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84,00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0,00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0,00</w:t>
            </w:r>
          </w:p>
        </w:tc>
      </w:tr>
      <w:tr w:rsidR="00737FE1">
        <w:tc>
          <w:tcPr>
            <w:tcW w:type="dxa" w:w="3013"/>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C) KRATKOTRAJNA IMOVINA</w:t>
            </w:r>
          </w:p>
        </w:tc>
        <w:tc>
          <w:tcPr>
            <w:tcW w:type="dxa" w:w="1158"/>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45.084,00</w:t>
            </w:r>
          </w:p>
        </w:tc>
        <w:tc>
          <w:tcPr>
            <w:tcW w:type="dxa" w:w="1739"/>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55.499,00</w:t>
            </w:r>
          </w:p>
        </w:tc>
        <w:tc>
          <w:tcPr>
            <w:tcW w:type="dxa" w:w="1740"/>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55.499,00</w:t>
            </w:r>
          </w:p>
        </w:tc>
      </w:tr>
    </w:tbl>
    <w:p w:rsidRDefault="00737FE1" w:rsidR="00737FE1"/>
    <w:p w:rsidRDefault="00737FE1" w:rsidR="00737FE1">
      <w:pPr>
        <w:spacing w:lineRule="auto" w:line="360"/>
        <w:jc w:val="both"/>
      </w:pPr>
      <w:r>
        <w:tab/>
        <w:t xml:space="preserve">Dužnik  na dan 31.12.2017. godine kako je vidljivo iz bilance nije  imao  iskazana novčana sredstva. </w:t>
      </w:r>
    </w:p>
    <w:p w:rsidRDefault="00737FE1" w:rsidR="00737FE1">
      <w:pPr>
        <w:spacing w:lineRule="auto" w:line="360"/>
        <w:jc w:val="both"/>
      </w:pPr>
      <w:r>
        <w:tab/>
        <w:t xml:space="preserve">Na dan 27. rujna 2018.g. dužniku je  evidentirano 800 dana neprekidne blokade  zbog nepodmirenih osnova za plaćanje evidentiranih kod FINA-e u Očevidniku redoslijeda osnova za plaćanje. </w:t>
      </w:r>
    </w:p>
    <w:p w:rsidRDefault="00737FE1" w:rsidR="00737FE1">
      <w:pPr>
        <w:spacing w:lineRule="auto" w:line="360"/>
        <w:jc w:val="both"/>
      </w:pPr>
      <w:r>
        <w:tab/>
        <w:t xml:space="preserve">Potraživanja od kupaca  u zemlji na dan 31.12.2017. godine iskazani su u  iznosu od 10.499,00 kn isto kao i na dan 31.12.2016.g.. </w:t>
      </w:r>
    </w:p>
    <w:p w:rsidRDefault="00737FE1" w:rsidR="00737FE1">
      <w:pPr>
        <w:spacing w:lineRule="auto" w:line="360"/>
        <w:jc w:val="both"/>
      </w:pPr>
      <w:r>
        <w:t>Na koje kupce su se odnosila potraživanja nije vidljivo iz izvješća, a kako se sa odgovornom osobom nije moglo stupiti u kontakt nije se moglo utvrditi.</w:t>
      </w:r>
    </w:p>
    <w:p w:rsidRDefault="00737FE1" w:rsidR="00737FE1">
      <w:pPr>
        <w:spacing w:lineRule="auto" w:line="360"/>
        <w:jc w:val="both"/>
      </w:pPr>
      <w:r>
        <w:tab/>
        <w:t>Na poziciji kratkotrajne financijske imovine dužnik ima stanje na dan 31.12.2017. godine u iznosu od 45.000,00 kuna.   Iz bilance je vidljivo da se odnose na dane zajmove, depozite i sl., ali od koga je potraživanje  nije vidljivo iz izvješća dužnika na dan 31.12.2017. Isto stanje je i na dan 31.12.2016.g. i na dan 31.12.2015.g., a što je vidljivo iz bilance stanja.</w:t>
      </w:r>
    </w:p>
    <w:p w:rsidRDefault="00737FE1" w:rsidR="00737FE1">
      <w:pPr>
        <w:spacing w:lineRule="auto" w:line="360"/>
        <w:jc w:val="both"/>
      </w:pPr>
      <w:r>
        <w:tab/>
        <w:t>Dužnik u svojim poslovnim knjigama nema dugoročnih obveza.</w:t>
      </w:r>
    </w:p>
    <w:p w:rsidRDefault="00737FE1" w:rsidR="00737FE1">
      <w:pPr>
        <w:spacing w:lineRule="auto" w:line="360"/>
        <w:jc w:val="both"/>
      </w:pPr>
      <w:r>
        <w:tab/>
        <w:t>Dužnik u poslovnim knjigama na dan 31.12.2017. godine ima iskazane kratkoročne obveze u iznosu od 99.437,00 kuna.  Struktura obveza je slijedeća:</w:t>
      </w:r>
    </w:p>
    <w:p w:rsidRDefault="00737FE1" w:rsidR="00737FE1">
      <w:pPr>
        <w:spacing w:lineRule="auto" w:line="360"/>
        <w:jc w:val="both"/>
      </w:pPr>
      <w:r>
        <w:t>Tabela 2</w:t>
      </w: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3030"/>
        <w:gridCol w:w="1080"/>
        <w:gridCol w:w="1815"/>
        <w:gridCol w:w="1665"/>
      </w:tblGrid>
      <w:tr w:rsidR="00737FE1">
        <w:tc>
          <w:tcPr>
            <w:tcW w:type="dxa" w:w="3030"/>
            <w:tcBorders>
              <w:top w:space="0" w:sz="1" w:color="000000" w:val="single"/>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POZICIJA</w:t>
            </w:r>
          </w:p>
        </w:tc>
        <w:tc>
          <w:tcPr>
            <w:tcW w:type="dxa" w:w="1080"/>
            <w:tcBorders>
              <w:top w:space="0" w:sz="1" w:color="000000" w:val="single"/>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31.12.2015</w:t>
            </w:r>
          </w:p>
        </w:tc>
        <w:tc>
          <w:tcPr>
            <w:tcW w:type="dxa" w:w="1815"/>
            <w:tcBorders>
              <w:top w:space="0" w:sz="1" w:color="000000" w:val="single"/>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31.12.2016.</w:t>
            </w:r>
          </w:p>
        </w:tc>
        <w:tc>
          <w:tcPr>
            <w:tcW w:type="dxa" w:w="1665"/>
            <w:tcBorders>
              <w:top w:space="0" w:sz="1" w:color="000000" w:val="single"/>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31.2.2017.</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2. Obveze prema dobavljačima</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3.010,00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3.010,00</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3. Obveze prema zaposlenicima</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34.763,00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64.715,00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64.715,00</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Ostale kratkoročne obveze</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15.235,00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31.712,00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31.712,00</w:t>
            </w:r>
          </w:p>
        </w:tc>
      </w:tr>
      <w:tr w:rsidR="00737FE1">
        <w:tc>
          <w:tcPr>
            <w:tcW w:type="dxa" w:w="3030"/>
            <w:tcBorders>
              <w:left w:space="0" w:sz="1" w:color="000000" w:val="single"/>
              <w:bottom w:space="0" w:sz="1" w:color="000000" w:val="single"/>
            </w:tcBorders>
            <w:shd w:fill="auto" w:color="auto" w:val="clear"/>
          </w:tcPr>
          <w:p w:rsidRDefault="00737FE1" w:rsidR="00737FE1">
            <w:pPr>
              <w:pStyle w:val="Sadrajitablice"/>
              <w:rPr>
                <w:b/>
                <w:bCs/>
                <w:sz w:val="16"/>
              </w:rPr>
            </w:pPr>
            <w:r>
              <w:rPr>
                <w:b/>
                <w:bCs/>
                <w:sz w:val="16"/>
              </w:rPr>
              <w:t>D) KRATKOROČNE OBVEZE</w:t>
            </w:r>
          </w:p>
        </w:tc>
        <w:tc>
          <w:tcPr>
            <w:tcW w:type="dxa" w:w="1080"/>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49.998,00</w:t>
            </w:r>
          </w:p>
        </w:tc>
        <w:tc>
          <w:tcPr>
            <w:tcW w:type="dxa" w:w="1815"/>
            <w:tcBorders>
              <w:left w:space="0" w:sz="1" w:color="000000" w:val="single"/>
              <w:bottom w:space="0" w:sz="1" w:color="000000" w:val="single"/>
            </w:tcBorders>
            <w:shd w:fill="auto" w:color="auto" w:val="clear"/>
          </w:tcPr>
          <w:p w:rsidRDefault="00737FE1" w:rsidR="00737FE1">
            <w:pPr>
              <w:pStyle w:val="Sadrajitablice"/>
              <w:jc w:val="right"/>
              <w:rPr>
                <w:b/>
                <w:bCs/>
                <w:sz w:val="16"/>
              </w:rPr>
            </w:pPr>
            <w:r>
              <w:rPr>
                <w:b/>
                <w:bCs/>
                <w:sz w:val="16"/>
              </w:rPr>
              <w:t>99.437,00</w:t>
            </w:r>
          </w:p>
        </w:tc>
        <w:tc>
          <w:tcPr>
            <w:tcW w:type="dxa" w:w="1665"/>
            <w:tcBorders>
              <w:left w:space="0" w:sz="1" w:color="000000" w:val="single"/>
              <w:bottom w:space="0" w:sz="1" w:color="000000" w:val="single"/>
              <w:right w:space="0" w:sz="1" w:color="000000" w:val="single"/>
            </w:tcBorders>
            <w:shd w:fill="auto" w:color="auto" w:val="clear"/>
          </w:tcPr>
          <w:p w:rsidRDefault="00737FE1" w:rsidR="00737FE1">
            <w:pPr>
              <w:pStyle w:val="Sadrajitablice"/>
              <w:jc w:val="right"/>
              <w:rPr>
                <w:b/>
                <w:bCs/>
                <w:sz w:val="16"/>
              </w:rPr>
            </w:pPr>
            <w:r>
              <w:rPr>
                <w:b/>
                <w:bCs/>
                <w:sz w:val="16"/>
              </w:rPr>
              <w:t>99.437,00</w:t>
            </w:r>
          </w:p>
        </w:tc>
      </w:tr>
    </w:tbl>
    <w:p w:rsidRDefault="00737FE1" w:rsidR="00737FE1"/>
    <w:p w:rsidRDefault="00737FE1" w:rsidR="00737FE1">
      <w:r>
        <w:tab/>
        <w:t>Obveze prema dobavljačima u iznosu od 3.010,00 kn iz bilješki nije moguće utvrditi na koga se odnose.</w:t>
      </w:r>
    </w:p>
    <w:p w:rsidRDefault="00737FE1" w:rsidR="00737FE1"/>
    <w:p w:rsidRDefault="00737FE1" w:rsidR="00737FE1">
      <w:pPr>
        <w:spacing w:lineRule="auto" w:line="360"/>
        <w:jc w:val="both"/>
      </w:pPr>
      <w:r>
        <w:tab/>
        <w:t>U bilješkama uz financijska izvješća za 2017. godine navedeno je  da se kratkoročne obveze u iznosu od 64.715,00 kuna odnose na obveze prema zaposlenicima, a 30.104,00 kuna se odnosi na obveze za poreze i doprinose.</w:t>
      </w:r>
    </w:p>
    <w:p w:rsidRDefault="00737FE1" w:rsidR="00737FE1">
      <w:pPr>
        <w:spacing w:lineRule="auto" w:line="360"/>
        <w:jc w:val="both"/>
      </w:pPr>
      <w:r>
        <w:t>Obveze za poreze i doprinose odnose se na neplaćene doprinose i poreze koji se odnose na neisplaćene plaće radnika,  te ostale neplaćene  obveze u iznosu od 1.608,00 kuna.</w:t>
      </w:r>
    </w:p>
    <w:p w:rsidRDefault="00737FE1" w:rsidR="00737FE1">
      <w:pPr>
        <w:spacing w:lineRule="auto" w:line="360"/>
        <w:jc w:val="both"/>
      </w:pPr>
      <w:r>
        <w:tab/>
        <w:t xml:space="preserve">Kako se dužnik na dan 27. rujna 2018. godine nalazi u neprekidnoj blokadi više od 120 </w:t>
      </w:r>
      <w:r>
        <w:lastRenderedPageBreak/>
        <w:t>dana, te time više od 60 dana kasni u ispunjenju svojih novčanih obveza, na strani dužnika nedvojbeno je ispunjen stečajni razlog nesposobnosti za plaćanje u smislu odredbe čl. 6 st. 2 Stečajnog zakona.</w:t>
      </w:r>
    </w:p>
    <w:p w:rsidRDefault="00737FE1" w:rsidR="00737FE1">
      <w:pPr>
        <w:spacing w:lineRule="auto" w:line="360"/>
        <w:jc w:val="both"/>
      </w:pPr>
      <w:r>
        <w:tab/>
        <w:t>Dužnik ima jednog zaposlenog radnika.</w:t>
      </w:r>
    </w:p>
    <w:p w:rsidRDefault="00737FE1" w:rsidR="00737FE1">
      <w:pPr>
        <w:spacing w:lineRule="auto" w:line="360"/>
        <w:jc w:val="both"/>
      </w:pPr>
      <w:r>
        <w:tab/>
        <w:t>Analizom podataka iskazanih u bilanci na dan 31. prosinac 2017. godine može se utvrditi da dužnik evidentira negativnu razliku između potraživanja i obveza, odnosno manja su potraživanja za 43.938,00 kuna od obveza (tabela 3).</w:t>
      </w:r>
    </w:p>
    <w:p w:rsidRDefault="00737FE1" w:rsidR="00737FE1">
      <w:pPr>
        <w:spacing w:lineRule="auto" w:line="360"/>
        <w:jc w:val="both"/>
      </w:pPr>
      <w:r>
        <w:t>Tabela 3</w:t>
      </w: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4818"/>
        <w:gridCol w:w="4820"/>
      </w:tblGrid>
      <w:tr w:rsidR="00737FE1">
        <w:tc>
          <w:tcPr>
            <w:tcW w:type="dxa" w:w="4818"/>
            <w:tcBorders>
              <w:top w:space="0" w:sz="1" w:color="000000" w:val="single"/>
              <w:left w:space="0" w:sz="1" w:color="000000" w:val="single"/>
              <w:bottom w:space="0" w:sz="1" w:color="000000" w:val="single"/>
            </w:tcBorders>
            <w:shd w:fill="auto" w:color="auto" w:val="clear"/>
          </w:tcPr>
          <w:p w:rsidRDefault="00737FE1" w:rsidR="00737FE1">
            <w:pPr>
              <w:pStyle w:val="Sadrajitablice"/>
              <w:spacing w:lineRule="auto" w:line="360"/>
              <w:jc w:val="both"/>
              <w:rPr>
                <w:sz w:val="18"/>
              </w:rPr>
            </w:pPr>
            <w:r>
              <w:rPr>
                <w:sz w:val="18"/>
              </w:rPr>
              <w:t>Opis</w:t>
            </w:r>
          </w:p>
        </w:tc>
        <w:tc>
          <w:tcPr>
            <w:tcW w:type="dxa" w:w="4820"/>
            <w:tcBorders>
              <w:top w:space="0" w:sz="1" w:color="000000" w:val="single"/>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sz w:val="18"/>
              </w:rPr>
            </w:pPr>
            <w:r>
              <w:rPr>
                <w:sz w:val="18"/>
              </w:rPr>
              <w:t>Knjigovodstveno stanje</w:t>
            </w:r>
          </w:p>
        </w:tc>
      </w:tr>
      <w:tr w:rsidR="00737FE1">
        <w:tc>
          <w:tcPr>
            <w:tcW w:type="dxa" w:w="4818"/>
            <w:tcBorders>
              <w:left w:space="0" w:sz="1" w:color="000000" w:val="single"/>
              <w:bottom w:space="0" w:sz="1" w:color="000000" w:val="single"/>
            </w:tcBorders>
            <w:shd w:fill="auto" w:color="auto" w:val="clear"/>
          </w:tcPr>
          <w:p w:rsidRDefault="00737FE1" w:rsidR="00737FE1">
            <w:pPr>
              <w:pStyle w:val="Sadrajitablice"/>
              <w:spacing w:lineRule="auto" w:line="360"/>
              <w:jc w:val="both"/>
              <w:rPr>
                <w:sz w:val="18"/>
              </w:rPr>
            </w:pPr>
            <w:r>
              <w:rPr>
                <w:sz w:val="18"/>
              </w:rPr>
              <w:t>Potraživanja i kratkotrajna financijska imovina</w:t>
            </w:r>
          </w:p>
        </w:tc>
        <w:tc>
          <w:tcPr>
            <w:tcW w:type="dxa" w:w="4820"/>
            <w:tcBorders>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sz w:val="18"/>
              </w:rPr>
            </w:pPr>
            <w:r>
              <w:rPr>
                <w:sz w:val="18"/>
              </w:rPr>
              <w:t>55.499,00</w:t>
            </w:r>
          </w:p>
        </w:tc>
      </w:tr>
      <w:tr w:rsidR="00737FE1">
        <w:tc>
          <w:tcPr>
            <w:tcW w:type="dxa" w:w="4818"/>
            <w:tcBorders>
              <w:left w:space="0" w:sz="1" w:color="000000" w:val="single"/>
              <w:bottom w:space="0" w:sz="1" w:color="000000" w:val="single"/>
            </w:tcBorders>
            <w:shd w:fill="auto" w:color="auto" w:val="clear"/>
          </w:tcPr>
          <w:p w:rsidRDefault="00737FE1" w:rsidR="00737FE1">
            <w:pPr>
              <w:pStyle w:val="Sadrajitablice"/>
              <w:spacing w:lineRule="auto" w:line="360"/>
              <w:jc w:val="both"/>
              <w:rPr>
                <w:sz w:val="18"/>
              </w:rPr>
            </w:pPr>
            <w:r>
              <w:rPr>
                <w:sz w:val="18"/>
              </w:rPr>
              <w:t>Kratkotrajna dugovanja</w:t>
            </w:r>
          </w:p>
        </w:tc>
        <w:tc>
          <w:tcPr>
            <w:tcW w:type="dxa" w:w="4820"/>
            <w:tcBorders>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sz w:val="18"/>
              </w:rPr>
            </w:pPr>
            <w:r>
              <w:rPr>
                <w:sz w:val="18"/>
              </w:rPr>
              <w:t>99.437,00</w:t>
            </w:r>
          </w:p>
        </w:tc>
      </w:tr>
      <w:tr w:rsidR="00737FE1">
        <w:tc>
          <w:tcPr>
            <w:tcW w:type="dxa" w:w="4818"/>
            <w:tcBorders>
              <w:left w:space="0" w:sz="1" w:color="000000" w:val="single"/>
              <w:bottom w:space="0" w:sz="1" w:color="000000" w:val="single"/>
            </w:tcBorders>
            <w:shd w:fill="auto" w:color="auto" w:val="clear"/>
          </w:tcPr>
          <w:p w:rsidRDefault="00737FE1" w:rsidR="00737FE1">
            <w:pPr>
              <w:pStyle w:val="Sadrajitablice"/>
              <w:spacing w:lineRule="auto" w:line="360"/>
              <w:jc w:val="both"/>
              <w:rPr>
                <w:sz w:val="18"/>
              </w:rPr>
            </w:pPr>
            <w:r>
              <w:rPr>
                <w:sz w:val="18"/>
              </w:rPr>
              <w:t>Razlika potraživanja i dugovanja</w:t>
            </w:r>
          </w:p>
        </w:tc>
        <w:tc>
          <w:tcPr>
            <w:tcW w:type="dxa" w:w="4820"/>
            <w:tcBorders>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sz w:val="18"/>
              </w:rPr>
            </w:pPr>
            <w:r>
              <w:rPr>
                <w:sz w:val="18"/>
              </w:rPr>
              <w:t>-43.938,00</w:t>
            </w:r>
          </w:p>
        </w:tc>
      </w:tr>
    </w:tbl>
    <w:p w:rsidRDefault="00737FE1" w:rsidR="00737FE1">
      <w:pPr>
        <w:spacing w:lineRule="auto" w:line="360"/>
        <w:jc w:val="both"/>
      </w:pPr>
    </w:p>
    <w:p w:rsidRDefault="00737FE1" w:rsidR="00737FE1">
      <w:pPr>
        <w:spacing w:lineRule="auto" w:line="360"/>
        <w:jc w:val="both"/>
      </w:pPr>
      <w:r>
        <w:tab/>
        <w:t xml:space="preserve">Iz tabele 3 vidljiv je razlog blokade dužnika – nedostatak kratkoročnih likvidnih financijskih sredstava u odnosu na dugovanja koja su sva kratkoročna te iz potraživanja i kratkotrajne financijske imovine dužnik ne može pokriti sve obveze. </w:t>
      </w:r>
    </w:p>
    <w:p w:rsidRDefault="00737FE1" w:rsidR="00737FE1">
      <w:pPr>
        <w:spacing w:lineRule="auto" w:line="360"/>
        <w:jc w:val="both"/>
      </w:pPr>
      <w:r>
        <w:t>Stavljajući u odnos ukupne obveze društva sa ukupnom imovinom, proizlazi da je imovina kojom je društvo raspolagalo manja od evidentiranih obveza za iznos od 43.938,00 kn, odnosno za iznos gubitka iznad visine kapitala (bilanca na dan 31.12.2017.g.).</w:t>
      </w:r>
    </w:p>
    <w:p w:rsidRDefault="00737FE1" w:rsidR="00737FE1">
      <w:pPr>
        <w:spacing w:lineRule="auto" w:line="360"/>
        <w:jc w:val="both"/>
      </w:pPr>
      <w:r>
        <w:t>Tabela 4</w:t>
      </w:r>
    </w:p>
    <w:tbl>
      <w:tblPr>
        <w:tblW w:type="auto" w:w="0"/>
        <w:tblInd w:type="dxa" w:w="121"/>
        <w:tblLayout w:type="fixed"/>
        <w:tblCellMar>
          <w:top w:type="dxa" w:w="55"/>
          <w:left w:type="dxa" w:w="55"/>
          <w:bottom w:type="dxa" w:w="55"/>
          <w:right w:type="dxa" w:w="55"/>
        </w:tblCellMar>
        <w:tblLook w:val="0000" w:noVBand="0" w:noHBand="0" w:lastColumn="0" w:firstColumn="0" w:lastRow="0" w:firstRow="0"/>
      </w:tblPr>
      <w:tblGrid>
        <w:gridCol w:w="4754"/>
        <w:gridCol w:w="4831"/>
      </w:tblGrid>
      <w:tr w:rsidR="00737FE1">
        <w:tc>
          <w:tcPr>
            <w:tcW w:type="dxa" w:w="4754"/>
            <w:tcBorders>
              <w:top w:space="0" w:sz="1" w:color="000000" w:val="single"/>
              <w:left w:space="0" w:sz="1" w:color="000000" w:val="single"/>
              <w:bottom w:space="0" w:sz="1" w:color="000000" w:val="single"/>
            </w:tcBorders>
            <w:shd w:fill="auto" w:color="auto" w:val="clear"/>
          </w:tcPr>
          <w:p w:rsidRDefault="00737FE1" w:rsidR="00737FE1">
            <w:pPr>
              <w:pStyle w:val="Sadrajitablice"/>
              <w:spacing w:lineRule="auto" w:line="360"/>
              <w:jc w:val="both"/>
              <w:rPr>
                <w:sz w:val="18"/>
              </w:rPr>
            </w:pPr>
            <w:r>
              <w:rPr>
                <w:sz w:val="18"/>
              </w:rPr>
              <w:t>OPIS</w:t>
            </w:r>
          </w:p>
        </w:tc>
        <w:tc>
          <w:tcPr>
            <w:tcW w:type="dxa" w:w="4831"/>
            <w:tcBorders>
              <w:top w:space="0" w:sz="1" w:color="000000" w:val="single"/>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sz w:val="18"/>
              </w:rPr>
            </w:pPr>
            <w:r>
              <w:rPr>
                <w:sz w:val="18"/>
              </w:rPr>
              <w:t>Knjigovodstveno stanje</w:t>
            </w:r>
          </w:p>
        </w:tc>
      </w:tr>
      <w:tr w:rsidR="00737FE1">
        <w:tc>
          <w:tcPr>
            <w:tcW w:type="dxa" w:w="4754"/>
            <w:tcBorders>
              <w:left w:space="0" w:sz="1" w:color="000000" w:val="single"/>
              <w:bottom w:space="0" w:sz="1" w:color="000000" w:val="single"/>
            </w:tcBorders>
            <w:shd w:fill="auto" w:color="auto" w:val="clear"/>
          </w:tcPr>
          <w:p w:rsidRDefault="00737FE1" w:rsidR="00737FE1">
            <w:pPr>
              <w:pStyle w:val="Sadrajitablice"/>
              <w:spacing w:lineRule="auto" w:line="360"/>
              <w:jc w:val="both"/>
              <w:rPr>
                <w:sz w:val="18"/>
              </w:rPr>
            </w:pPr>
            <w:r>
              <w:rPr>
                <w:sz w:val="18"/>
              </w:rPr>
              <w:t>Dugotrajna imovina</w:t>
            </w:r>
          </w:p>
        </w:tc>
        <w:tc>
          <w:tcPr>
            <w:tcW w:type="dxa" w:w="4831"/>
            <w:tcBorders>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sz w:val="18"/>
              </w:rPr>
            </w:pPr>
            <w:r>
              <w:rPr>
                <w:sz w:val="18"/>
              </w:rPr>
              <w:t>0,00</w:t>
            </w:r>
          </w:p>
        </w:tc>
      </w:tr>
      <w:tr w:rsidR="00737FE1">
        <w:tc>
          <w:tcPr>
            <w:tcW w:type="dxa" w:w="4754"/>
            <w:tcBorders>
              <w:left w:space="0" w:sz="1" w:color="000000" w:val="single"/>
              <w:bottom w:space="0" w:sz="1" w:color="000000" w:val="single"/>
            </w:tcBorders>
            <w:shd w:fill="auto" w:color="auto" w:val="clear"/>
          </w:tcPr>
          <w:p w:rsidRDefault="00737FE1" w:rsidR="00737FE1">
            <w:pPr>
              <w:pStyle w:val="Sadrajitablice"/>
              <w:spacing w:lineRule="auto" w:line="360"/>
              <w:jc w:val="both"/>
              <w:rPr>
                <w:sz w:val="18"/>
              </w:rPr>
            </w:pPr>
            <w:r>
              <w:rPr>
                <w:sz w:val="18"/>
              </w:rPr>
              <w:t>Kratkotrajna imovina</w:t>
            </w:r>
          </w:p>
        </w:tc>
        <w:tc>
          <w:tcPr>
            <w:tcW w:type="dxa" w:w="4831"/>
            <w:tcBorders>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sz w:val="18"/>
              </w:rPr>
            </w:pPr>
            <w:r>
              <w:rPr>
                <w:sz w:val="18"/>
              </w:rPr>
              <w:t>55.499,00</w:t>
            </w:r>
          </w:p>
        </w:tc>
      </w:tr>
      <w:tr w:rsidR="00737FE1">
        <w:tc>
          <w:tcPr>
            <w:tcW w:type="dxa" w:w="4754"/>
            <w:tcBorders>
              <w:left w:space="0" w:sz="1" w:color="000000" w:val="single"/>
              <w:bottom w:space="0" w:sz="1" w:color="000000" w:val="single"/>
            </w:tcBorders>
            <w:shd w:fill="auto" w:color="auto" w:val="clear"/>
          </w:tcPr>
          <w:p w:rsidRDefault="00737FE1" w:rsidR="00737FE1">
            <w:pPr>
              <w:pStyle w:val="Sadrajitablice"/>
              <w:spacing w:lineRule="auto" w:line="360"/>
              <w:jc w:val="both"/>
              <w:rPr>
                <w:b/>
                <w:bCs/>
                <w:sz w:val="18"/>
              </w:rPr>
            </w:pPr>
            <w:r>
              <w:rPr>
                <w:b/>
                <w:bCs/>
                <w:sz w:val="18"/>
              </w:rPr>
              <w:t>UKUPNO IMOVINA</w:t>
            </w:r>
          </w:p>
        </w:tc>
        <w:tc>
          <w:tcPr>
            <w:tcW w:type="dxa" w:w="4831"/>
            <w:tcBorders>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b/>
                <w:bCs/>
                <w:sz w:val="18"/>
              </w:rPr>
            </w:pPr>
            <w:r>
              <w:rPr>
                <w:b/>
                <w:bCs/>
                <w:sz w:val="18"/>
              </w:rPr>
              <w:t>55.499,00</w:t>
            </w:r>
          </w:p>
        </w:tc>
      </w:tr>
      <w:tr w:rsidR="00737FE1">
        <w:tc>
          <w:tcPr>
            <w:tcW w:type="dxa" w:w="4754"/>
            <w:tcBorders>
              <w:left w:space="0" w:sz="1" w:color="000000" w:val="single"/>
              <w:bottom w:space="0" w:sz="1" w:color="000000" w:val="single"/>
            </w:tcBorders>
            <w:shd w:fill="auto" w:color="auto" w:val="clear"/>
          </w:tcPr>
          <w:p w:rsidRDefault="00737FE1" w:rsidR="00737FE1">
            <w:pPr>
              <w:pStyle w:val="Sadrajitablice"/>
              <w:spacing w:lineRule="auto" w:line="360"/>
              <w:jc w:val="both"/>
              <w:rPr>
                <w:sz w:val="18"/>
              </w:rPr>
            </w:pPr>
            <w:r>
              <w:rPr>
                <w:sz w:val="18"/>
              </w:rPr>
              <w:t>Kratkoročne obveze</w:t>
            </w:r>
          </w:p>
        </w:tc>
        <w:tc>
          <w:tcPr>
            <w:tcW w:type="dxa" w:w="4831"/>
            <w:tcBorders>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sz w:val="18"/>
              </w:rPr>
            </w:pPr>
            <w:r>
              <w:rPr>
                <w:sz w:val="18"/>
              </w:rPr>
              <w:t>99.437,00</w:t>
            </w:r>
          </w:p>
        </w:tc>
      </w:tr>
      <w:tr w:rsidR="00737FE1">
        <w:tc>
          <w:tcPr>
            <w:tcW w:type="dxa" w:w="4754"/>
            <w:tcBorders>
              <w:left w:space="0" w:sz="1" w:color="000000" w:val="single"/>
              <w:bottom w:space="0" w:sz="1" w:color="000000" w:val="single"/>
            </w:tcBorders>
            <w:shd w:fill="auto" w:color="auto" w:val="clear"/>
          </w:tcPr>
          <w:p w:rsidRDefault="00737FE1" w:rsidR="00737FE1">
            <w:pPr>
              <w:pStyle w:val="Sadrajitablice"/>
              <w:spacing w:lineRule="auto" w:line="360"/>
              <w:jc w:val="both"/>
              <w:rPr>
                <w:sz w:val="18"/>
              </w:rPr>
            </w:pPr>
            <w:r>
              <w:rPr>
                <w:sz w:val="18"/>
              </w:rPr>
              <w:t>Dugoročne obveze</w:t>
            </w:r>
          </w:p>
        </w:tc>
        <w:tc>
          <w:tcPr>
            <w:tcW w:type="dxa" w:w="4831"/>
            <w:tcBorders>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sz w:val="18"/>
              </w:rPr>
            </w:pPr>
            <w:r>
              <w:rPr>
                <w:sz w:val="18"/>
              </w:rPr>
              <w:t>0,00</w:t>
            </w:r>
          </w:p>
        </w:tc>
      </w:tr>
      <w:tr w:rsidR="00737FE1">
        <w:tc>
          <w:tcPr>
            <w:tcW w:type="dxa" w:w="4754"/>
            <w:tcBorders>
              <w:left w:space="0" w:sz="1" w:color="000000" w:val="single"/>
              <w:bottom w:space="0" w:sz="1" w:color="000000" w:val="single"/>
            </w:tcBorders>
            <w:shd w:fill="auto" w:color="auto" w:val="clear"/>
          </w:tcPr>
          <w:p w:rsidRDefault="00737FE1" w:rsidR="00737FE1">
            <w:pPr>
              <w:pStyle w:val="Sadrajitablice"/>
              <w:spacing w:lineRule="auto" w:line="360"/>
              <w:jc w:val="both"/>
              <w:rPr>
                <w:b/>
                <w:bCs/>
                <w:sz w:val="18"/>
              </w:rPr>
            </w:pPr>
            <w:r>
              <w:rPr>
                <w:b/>
                <w:bCs/>
                <w:sz w:val="18"/>
              </w:rPr>
              <w:t>UKUPNO OBVEZE</w:t>
            </w:r>
          </w:p>
        </w:tc>
        <w:tc>
          <w:tcPr>
            <w:tcW w:type="dxa" w:w="4831"/>
            <w:tcBorders>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b/>
                <w:bCs/>
                <w:sz w:val="18"/>
              </w:rPr>
            </w:pPr>
            <w:r>
              <w:rPr>
                <w:b/>
                <w:bCs/>
                <w:sz w:val="18"/>
              </w:rPr>
              <w:t>99.437,00</w:t>
            </w:r>
          </w:p>
        </w:tc>
      </w:tr>
      <w:tr w:rsidR="00737FE1">
        <w:tc>
          <w:tcPr>
            <w:tcW w:type="dxa" w:w="4754"/>
            <w:tcBorders>
              <w:left w:space="0" w:sz="1" w:color="000000" w:val="single"/>
              <w:bottom w:space="0" w:sz="1" w:color="000000" w:val="single"/>
            </w:tcBorders>
            <w:shd w:fill="auto" w:color="auto" w:val="clear"/>
          </w:tcPr>
          <w:p w:rsidRDefault="00737FE1" w:rsidR="00737FE1">
            <w:pPr>
              <w:pStyle w:val="Sadrajitablice"/>
              <w:spacing w:lineRule="auto" w:line="360"/>
              <w:jc w:val="both"/>
              <w:rPr>
                <w:b/>
                <w:bCs/>
                <w:sz w:val="18"/>
              </w:rPr>
            </w:pPr>
            <w:r>
              <w:rPr>
                <w:b/>
                <w:bCs/>
                <w:sz w:val="18"/>
              </w:rPr>
              <w:t>RAZLIKA IMOVINE I OBVEZA</w:t>
            </w:r>
          </w:p>
        </w:tc>
        <w:tc>
          <w:tcPr>
            <w:tcW w:type="dxa" w:w="4831"/>
            <w:tcBorders>
              <w:left w:space="0" w:sz="1" w:color="000000" w:val="single"/>
              <w:bottom w:space="0" w:sz="1" w:color="000000" w:val="single"/>
              <w:right w:space="0" w:sz="1" w:color="000000" w:val="single"/>
            </w:tcBorders>
            <w:shd w:fill="auto" w:color="auto" w:val="clear"/>
          </w:tcPr>
          <w:p w:rsidRDefault="00737FE1" w:rsidR="00737FE1">
            <w:pPr>
              <w:pStyle w:val="Sadrajitablice"/>
              <w:spacing w:lineRule="auto" w:line="360"/>
              <w:jc w:val="right"/>
              <w:rPr>
                <w:b/>
                <w:bCs/>
                <w:sz w:val="18"/>
              </w:rPr>
            </w:pPr>
            <w:r>
              <w:rPr>
                <w:b/>
                <w:bCs/>
                <w:sz w:val="18"/>
              </w:rPr>
              <w:t>-43.938,00</w:t>
            </w:r>
          </w:p>
        </w:tc>
      </w:tr>
    </w:tbl>
    <w:p w:rsidRDefault="00737FE1" w:rsidR="00737FE1">
      <w:pPr>
        <w:spacing w:lineRule="auto" w:line="360"/>
        <w:jc w:val="both"/>
      </w:pPr>
    </w:p>
    <w:p w:rsidRDefault="00737FE1" w:rsidR="00737FE1">
      <w:pPr>
        <w:spacing w:lineRule="auto" w:line="360"/>
        <w:jc w:val="both"/>
      </w:pPr>
      <w:r>
        <w:tab/>
        <w:t>Iz podataka prikazanih u  tabeli 4 proizlazi da  društvo na dan 31.12.2017. godine nije raspolagalo dovoljnom imovinom da pokrije obveze društva prema vjerovnicima te se u smislu članka 7. točke 1. Stečajnog zakona  smatra  prezaduženim.</w:t>
      </w:r>
    </w:p>
    <w:p w:rsidRDefault="00737FE1" w:rsidR="00737FE1">
      <w:pPr>
        <w:spacing w:lineRule="auto" w:line="360"/>
        <w:jc w:val="both"/>
      </w:pPr>
    </w:p>
    <w:p w:rsidRDefault="00737FE1" w:rsidR="00737FE1">
      <w:pPr>
        <w:spacing w:lineRule="auto" w:line="360"/>
        <w:jc w:val="both"/>
      </w:pPr>
    </w:p>
    <w:p w:rsidRDefault="00737FE1" w:rsidR="00737FE1">
      <w:pPr>
        <w:spacing w:lineRule="auto" w:line="360"/>
        <w:jc w:val="both"/>
      </w:pPr>
      <w:r>
        <w:t>ZAKLJUČAK</w:t>
      </w:r>
    </w:p>
    <w:p w:rsidRDefault="00737FE1" w:rsidR="00737FE1">
      <w:pPr>
        <w:spacing w:lineRule="auto" w:line="360"/>
        <w:jc w:val="both"/>
      </w:pPr>
    </w:p>
    <w:p w:rsidRDefault="00737FE1" w:rsidR="00737FE1">
      <w:pPr>
        <w:spacing w:lineRule="auto" w:line="360"/>
        <w:jc w:val="both"/>
      </w:pPr>
      <w:r>
        <w:tab/>
        <w:t>U skladu sa traženim o rješenju Suda ostvareni su uvjeti za otvaranje stečajnog postupka iz</w:t>
      </w:r>
    </w:p>
    <w:p w:rsidRDefault="00737FE1" w:rsidR="00737FE1">
      <w:pPr>
        <w:spacing w:lineRule="auto" w:line="360"/>
        <w:jc w:val="both"/>
      </w:pPr>
      <w:r>
        <w:t>razloga što:</w:t>
      </w:r>
    </w:p>
    <w:p w:rsidRDefault="00737FE1" w:rsidR="00737FE1">
      <w:pPr>
        <w:numPr>
          <w:ilvl w:val="0"/>
          <w:numId w:val="2"/>
        </w:numPr>
        <w:spacing w:lineRule="auto" w:line="360"/>
        <w:jc w:val="both"/>
      </w:pPr>
      <w:r>
        <w:t>žiro račun dužnika je na dan 07.08.2018. u blokadi duže od 120 dana, te  dužnik  kasni u ispunjenju svojih novčanih obveza, na strani dužnika je nedvojbeno ispunjen stečajni razlog nesposobnosti za plaćanje u smislu odredbe čl. 6. st. 2. Stečajnog zakona,</w:t>
      </w:r>
    </w:p>
    <w:p w:rsidRDefault="00737FE1" w:rsidR="00737FE1">
      <w:pPr>
        <w:numPr>
          <w:ilvl w:val="0"/>
          <w:numId w:val="2"/>
        </w:numPr>
        <w:spacing w:lineRule="auto" w:line="360"/>
        <w:jc w:val="both"/>
      </w:pPr>
      <w:r>
        <w:t>dužnik ne raspolaže dovoljnom imovinom da pokrije obveze prema vjerovnicima te u smislu članka 7. točke 1. Stečajnog zakona  smatra se prezaduženim.</w:t>
      </w:r>
    </w:p>
    <w:p w:rsidRDefault="00737FE1" w:rsidR="00737FE1">
      <w:pPr>
        <w:numPr>
          <w:ilvl w:val="0"/>
          <w:numId w:val="2"/>
        </w:numPr>
        <w:spacing w:lineRule="auto" w:line="360"/>
        <w:jc w:val="both"/>
      </w:pPr>
      <w:r>
        <w:t>ima jednog zaposlenog te nisu isplaćene plaće tri uzastopne plaće.</w:t>
      </w:r>
    </w:p>
    <w:p w:rsidRDefault="00737FE1" w:rsidR="00737FE1">
      <w:pPr>
        <w:numPr>
          <w:ilvl w:val="0"/>
          <w:numId w:val="2"/>
        </w:numPr>
        <w:spacing w:lineRule="auto" w:line="360"/>
        <w:jc w:val="both"/>
      </w:pPr>
      <w:r>
        <w:t>stavljanjem u odnos ukupne imovine dužnika i ukupnih obveza dužnik ima manju imovinu od obveza, dužnik je prezadužen, te je samim tim ispunjen razlog iz članka 7. Stečajnog razloga</w:t>
      </w:r>
    </w:p>
    <w:p w:rsidRDefault="00737FE1" w:rsidR="00737FE1">
      <w:pPr>
        <w:spacing w:lineRule="auto" w:line="360"/>
        <w:jc w:val="both"/>
      </w:pPr>
    </w:p>
    <w:p w:rsidRDefault="00737FE1" w:rsidR="00737FE1">
      <w:pPr>
        <w:spacing w:lineRule="auto" w:line="360"/>
        <w:jc w:val="both"/>
      </w:pPr>
      <w:r>
        <w:tab/>
        <w:t>Na strani dužnika nesporno egzistiraju stečajni razlozi nelikvidnosti i nesposobnosti za plaćanje. Kako je vrijednost i dostatnost imovine dužnika, prema naprijed iznesenom upitna za podmirenje troškova stečajnog postupka, privremeni stečajni upravitelj predlaže stečajnom sucu, u smislu odredbe čl. 132.st.1. SZ rješenjem pozvati osobe koje imaju pravni interes za provedbu stečajnog postupka.</w:t>
      </w:r>
    </w:p>
    <w:p w:rsidRDefault="00737FE1" w:rsidR="00737FE1">
      <w:pPr>
        <w:spacing w:lineRule="auto" w:line="360"/>
        <w:jc w:val="both"/>
      </w:pPr>
      <w:r>
        <w:tab/>
        <w:t>Ukoliko nitko u određenom roku od 15 dana ne uplati predujam, predlaže se donijeti rješenje o otvaranju i istovremeno zaključenju stečajnog postupka nad dužnikom CENTRAL MONTAŽA  jednostavno društvo s ograničenom odgovornošću za graditeljstvo i usluge, Sušobreg – dio (Donji Sušobreg) (Općina Konjšćina) Sušobreg 9B (MBS 080923510 – OIB 27381432658).</w:t>
      </w:r>
    </w:p>
    <w:p w:rsidRDefault="00737FE1" w:rsidR="00737FE1">
      <w:pPr>
        <w:spacing w:lineRule="auto" w:line="360"/>
        <w:jc w:val="both"/>
      </w:pPr>
    </w:p>
    <w:p w:rsidRDefault="00737FE1" w:rsidR="00737FE1">
      <w:pPr>
        <w:spacing w:lineRule="auto" w:line="360"/>
        <w:jc w:val="both"/>
      </w:pPr>
      <w:r>
        <w:t>Bjelovar, 27.09.2018.</w:t>
      </w:r>
    </w:p>
    <w:p w:rsidRDefault="00737FE1" w:rsidR="00737FE1">
      <w:pPr>
        <w:spacing w:lineRule="auto" w:line="360"/>
        <w:jc w:val="both"/>
      </w:pPr>
      <w:r>
        <w:tab/>
      </w:r>
      <w:r>
        <w:tab/>
      </w:r>
      <w:r>
        <w:tab/>
      </w:r>
      <w:r>
        <w:tab/>
      </w:r>
      <w:r>
        <w:tab/>
      </w:r>
      <w:r>
        <w:tab/>
      </w:r>
      <w:r>
        <w:tab/>
      </w:r>
      <w:r>
        <w:tab/>
      </w:r>
      <w:r>
        <w:tab/>
        <w:t xml:space="preserve">privremeni stečajni upravitelj </w:t>
      </w:r>
    </w:p>
    <w:p w:rsidRDefault="00737FE1" w:rsidR="00737FE1">
      <w:pPr>
        <w:spacing w:lineRule="auto" w:line="360"/>
        <w:jc w:val="both"/>
      </w:pPr>
      <w:r>
        <w:tab/>
      </w:r>
      <w:r>
        <w:tab/>
      </w:r>
      <w:r>
        <w:tab/>
      </w:r>
      <w:r>
        <w:tab/>
      </w:r>
      <w:r>
        <w:tab/>
      </w:r>
      <w:r>
        <w:tab/>
      </w:r>
      <w:r>
        <w:tab/>
      </w:r>
      <w:r>
        <w:tab/>
      </w:r>
      <w:r>
        <w:tab/>
      </w:r>
      <w:r>
        <w:tab/>
      </w:r>
      <w:r>
        <w:tab/>
        <w:t>Jugoslav Puran</w:t>
      </w:r>
    </w:p>
    <w:sectPr w:rsidR="00737FE1">
      <w:footerReference w:type="default" r:id="rId9"/>
      <w:pgSz w:h="16838" w:w="11906"/>
      <w:pgMar w:gutter="0" w:footer="1134" w:header="720" w:left="1134" w:bottom="1693"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7FE1" w:rsidR="00737FE1">
      <w:r>
        <w:separator/>
      </w:r>
    </w:p>
  </w:endnote>
  <w:endnote w:id="0" w:type="continuationSeparator">
    <w:p w:rsidRDefault="00737FE1" w:rsidR="00737F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charset w:val="00"/>
    <w:family w:val="auto"/>
    <w:pitch w:val="variable"/>
    <w:sig w:csb1="00000000" w:csb0="00000001" w:usb3="00000000" w:usb2="00000000" w:usb1="1001ECEA" w:usb0="800000A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7FE1" w:rsidR="00737FE1">
    <w:pPr>
      <w:pStyle w:val="Podnoje"/>
      <w:jc w:val="center"/>
    </w:pPr>
    <w:r>
      <w:fldChar w:fldCharType="begin"/>
    </w:r>
    <w:r>
      <w:instrText xml:space="preserve"> PAGE </w:instrText>
    </w:r>
    <w:r>
      <w:fldChar w:fldCharType="separate"/>
    </w:r>
    <w:r w:rsidR="005A4200">
      <w:rPr>
        <w:noProof/>
      </w:rPr>
      <w:t>8</w:t>
    </w:r>
    <w: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7FE1" w:rsidR="00737FE1">
      <w:r>
        <w:separator/>
      </w:r>
    </w:p>
  </w:footnote>
  <w:footnote w:id="0" w:type="continuationSeparator">
    <w:p w:rsidRDefault="00737FE1" w:rsidR="00737FE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1">
    <w:nsid w:val="00000002"/>
    <w:multiLevelType w:val="multilevel"/>
    <w:tmpl w:val="0000000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2">
    <w:nsid w:val="00000003"/>
    <w:multiLevelType w:val="multilevel"/>
    <w:tmpl w:val="0000000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5608"/>
    <w:rsid w:val="005A4200"/>
    <w:rsid w:val="00737FE1"/>
    <w:rsid w:val="00D956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kern w:val="1"/>
      <w:sz w:val="24"/>
      <w:szCs w:val="24"/>
      <w:lang w:bidi="hi-IN" w:eastAsia="hi-IN"/>
    </w:rPr>
  </w:style>
  <w:style w:default="true" w:styleId="Zadanifontodlomka" w:type="character">
    <w:name w:val="Default Paragraph Font"/>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afikeoznake1" w:type="character">
    <w:name w:val="Grafičke oznake1"/>
    <w:rPr>
      <w:rFonts w:cs="OpenSymbol" w:eastAsia="OpenSymbol" w:hAnsi="OpenSymbol" w:ascii="OpenSymbol"/>
    </w:rPr>
  </w:style>
  <w:style w:styleId="Hiperveza" w:type="character">
    <w:name w:val="Hyperlink"/>
    <w:rPr>
      <w:color w:val="000080"/>
      <w:u w:val="single"/>
      <w:lang/>
    </w:rPr>
  </w:style>
  <w:style w:customStyle="true" w:styleId="Naslov1" w:type="paragraph">
    <w:name w:val="Naslov1"/>
    <w:basedOn w:val="Normal"/>
    <w:next w:val="Tijeloteksta"/>
    <w:pPr>
      <w:keepNext/>
      <w:spacing w:after="120" w:before="240"/>
    </w:pPr>
    <w:rPr>
      <w:rFonts w:hAnsi="Arial" w:ascii="Arial"/>
      <w:sz w:val="28"/>
      <w:szCs w:val="28"/>
    </w:rPr>
  </w:style>
  <w:style w:styleId="Tijeloteksta" w:type="paragraph">
    <w:name w:val="Body Text"/>
    <w:basedOn w:val="Normal"/>
    <w:pPr>
      <w:spacing w:after="120"/>
    </w:pPr>
  </w:style>
  <w:style w:styleId="Naslov" w:type="paragraph">
    <w:name w:val="Title"/>
    <w:basedOn w:val="Naslov1"/>
    <w:next w:val="Podnaslov"/>
    <w:qFormat/>
  </w:style>
  <w:style w:styleId="Podnaslov" w:type="paragraph">
    <w:name w:val="Subtitle"/>
    <w:basedOn w:val="Naslov1"/>
    <w:next w:val="Tijeloteksta"/>
    <w:qFormat/>
    <w:pPr>
      <w:jc w:val="center"/>
    </w:pPr>
    <w:rPr>
      <w:i/>
      <w:iCs/>
    </w:rPr>
  </w:style>
  <w:style w:styleId="Popis" w:type="paragraph">
    <w:name w:val="List"/>
    <w:basedOn w:val="Tijeloteksta"/>
  </w:style>
  <w:style w:customStyle="true" w:styleId="Opis" w:type="paragraph">
    <w:name w:val="Opis"/>
    <w:basedOn w:val="Normal"/>
    <w:pPr>
      <w:suppressLineNumbers/>
      <w:spacing w:after="120" w:before="120"/>
    </w:pPr>
    <w:rPr>
      <w:i/>
      <w:iCs/>
    </w:rPr>
  </w:style>
  <w:style w:customStyle="true" w:styleId="Indeks" w:type="paragraph">
    <w:name w:val="Indeks"/>
    <w:basedOn w:val="Normal"/>
    <w:pPr>
      <w:suppressLineNumbers/>
    </w:pPr>
  </w:style>
  <w:style w:customStyle="true" w:styleId="Sadrajitablice" w:type="paragraph">
    <w:name w:val="Sadržaji tablice"/>
    <w:basedOn w:val="Normal"/>
    <w:pPr>
      <w:suppressLineNumbers/>
    </w:pPr>
  </w:style>
  <w:style w:customStyle="true" w:styleId="Naslovtablice" w:type="paragraph">
    <w:name w:val="Naslov tablice"/>
    <w:basedOn w:val="Sadrajitablice"/>
    <w:pPr>
      <w:jc w:val="center"/>
    </w:pPr>
    <w:rPr>
      <w:b/>
      <w:bCs/>
    </w:rPr>
  </w:style>
  <w:style w:styleId="Podnoje" w:type="paragraph">
    <w:name w:val="footer"/>
    <w:basedOn w:val="Normal"/>
    <w:pPr>
      <w:suppressLineNumbers/>
      <w:tabs>
        <w:tab w:pos="4819" w:val="center"/>
        <w:tab w:pos="9638" w:val="right"/>
      </w:tabs>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cs="Mangal" w:eastAsia="SimSun"/>
      <w:kern w:val="1"/>
      <w:sz w:val="24"/>
      <w:szCs w:val="24"/>
      <w:lang w:bidi="hi-IN" w:eastAsia="hi-IN"/>
    </w:rPr>
  </w:style>
  <w:style w:default="1" w:styleId="Zadanifontodlomka" w:type="character">
    <w:name w:val="Default Paragraph Font"/>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afikeoznake1" w:type="character">
    <w:name w:val="Grafičke oznake1"/>
    <w:rPr>
      <w:rFonts w:ascii="OpenSymbol" w:cs="OpenSymbol" w:eastAsia="OpenSymbol" w:hAnsi="OpenSymbol"/>
    </w:rPr>
  </w:style>
  <w:style w:styleId="Hiperveza" w:type="character">
    <w:name w:val="Hyperlink"/>
    <w:rPr>
      <w:color w:val="000080"/>
      <w:u w:val="single"/>
      <w:lang/>
    </w:rPr>
  </w:style>
  <w:style w:customStyle="1" w:styleId="Naslov1" w:type="paragraph">
    <w:name w:val="Naslov1"/>
    <w:basedOn w:val="Normal"/>
    <w:next w:val="Tijeloteksta"/>
    <w:pPr>
      <w:keepNext/>
      <w:spacing w:after="120" w:before="240"/>
    </w:pPr>
    <w:rPr>
      <w:rFonts w:ascii="Arial" w:hAnsi="Arial"/>
      <w:sz w:val="28"/>
      <w:szCs w:val="28"/>
    </w:rPr>
  </w:style>
  <w:style w:styleId="Tijeloteksta" w:type="paragraph">
    <w:name w:val="Body Text"/>
    <w:basedOn w:val="Normal"/>
    <w:pPr>
      <w:spacing w:after="120"/>
    </w:pPr>
  </w:style>
  <w:style w:styleId="Naslov" w:type="paragraph">
    <w:name w:val="Title"/>
    <w:basedOn w:val="Naslov1"/>
    <w:next w:val="Podnaslov"/>
    <w:qFormat/>
  </w:style>
  <w:style w:styleId="Podnaslov" w:type="paragraph">
    <w:name w:val="Subtitle"/>
    <w:basedOn w:val="Naslov1"/>
    <w:next w:val="Tijeloteksta"/>
    <w:qFormat/>
    <w:pPr>
      <w:jc w:val="center"/>
    </w:pPr>
    <w:rPr>
      <w:i/>
      <w:iCs/>
    </w:rPr>
  </w:style>
  <w:style w:styleId="Popis" w:type="paragraph">
    <w:name w:val="List"/>
    <w:basedOn w:val="Tijeloteksta"/>
  </w:style>
  <w:style w:customStyle="1" w:styleId="Opis" w:type="paragraph">
    <w:name w:val="Opis"/>
    <w:basedOn w:val="Normal"/>
    <w:pPr>
      <w:suppressLineNumbers/>
      <w:spacing w:after="120" w:before="120"/>
    </w:pPr>
    <w:rPr>
      <w:i/>
      <w:iCs/>
    </w:rPr>
  </w:style>
  <w:style w:customStyle="1" w:styleId="Indeks" w:type="paragraph">
    <w:name w:val="Indeks"/>
    <w:basedOn w:val="Normal"/>
    <w:pPr>
      <w:suppressLineNumbers/>
    </w:pPr>
  </w:style>
  <w:style w:customStyle="1" w:styleId="Sadrajitablice" w:type="paragraph">
    <w:name w:val="Sadržaji tablice"/>
    <w:basedOn w:val="Normal"/>
    <w:pPr>
      <w:suppressLineNumbers/>
    </w:pPr>
  </w:style>
  <w:style w:customStyle="1" w:styleId="Naslovtablice" w:type="paragraph">
    <w:name w:val="Naslov tablice"/>
    <w:basedOn w:val="Sadrajitablice"/>
    <w:pPr>
      <w:jc w:val="center"/>
    </w:pPr>
    <w:rPr>
      <w:b/>
      <w:bCs/>
    </w:rPr>
  </w:style>
  <w:style w:styleId="Podnoje" w:type="paragraph">
    <w:name w:val="footer"/>
    <w:basedOn w:val="Normal"/>
    <w:pPr>
      <w:suppressLineNumbers/>
      <w:tabs>
        <w:tab w:pos="4819" w:val="center"/>
        <w:tab w:pos="9638" w:val="right"/>
      </w:tabs>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fininfo.h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8</properties:Pages>
  <properties:Words>2311</properties:Words>
  <properties:Characters>13174</properties:Characters>
  <properties:Lines>109</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15455</properties:CharactersWithSpaces>
  <properties:SharedDoc>false</properties:SharedDoc>
  <properties:HLinks>
    <vt:vector size="6" baseType="variant">
      <vt:variant>
        <vt:i4>6619242</vt:i4>
      </vt:variant>
      <vt:variant>
        <vt:i4>0</vt:i4>
      </vt:variant>
      <vt:variant>
        <vt:i4>0</vt:i4>
      </vt:variant>
      <vt:variant>
        <vt:i4>5</vt:i4>
      </vt:variant>
      <vt:variant>
        <vt:lpwstr>http://www.fininfo.hr/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2018-10-01T12:53:00Z</dcterms:created>
  <dc:creator>Ivanka</dc:creator>
  <cp:lastModifiedBy>Snježana Andrijanić</cp:lastModifiedBy>
  <cp:lastPrinted>2018-06-11T21:41:00Z</cp:lastPrinted>
  <dcterms:modified xmlns:xsi="http://www.w3.org/2001/XMLSchema-instance" xsi:type="dcterms:W3CDTF">2018-10-01T12:53:00Z</dcterms:modified>
  <cp:revision>2</cp:revision>
</cp:coreProperties>
</file>