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ae02b5f" w14:paraId="ae02b5f" w:rsidRDefault="00155D6D" w:rsidR="004C3A48">
      <w:pPr>
        <w15:collapsed w:val="false"/>
        <w:rPr>
          <w:b/>
          <w:bCs/>
          <w:sz w:val="20"/>
          <w:szCs w:val="20"/>
        </w:rPr>
      </w:pPr>
      <w:bookmarkStart w:name="_GoBack" w:id="0"/>
      <w:bookmarkEnd w:id="0"/>
      <w:r>
        <w:rPr>
          <w:b/>
          <w:bCs/>
          <w:sz w:val="20"/>
          <w:szCs w:val="20"/>
        </w:rPr>
        <w:t xml:space="preserve">Kolači i sladoledi – Milenijum d.o.o.  </w:t>
      </w:r>
      <w:r>
        <w:rPr>
          <w:b/>
          <w:bCs/>
          <w:sz w:val="20"/>
          <w:szCs w:val="20"/>
        </w:rPr>
        <w:tab/>
      </w:r>
      <w:r>
        <w:rPr>
          <w:b/>
          <w:bCs/>
          <w:sz w:val="20"/>
          <w:szCs w:val="20"/>
        </w:rPr>
        <w:tab/>
        <w:t xml:space="preserve">                 </w:t>
      </w:r>
      <w:r>
        <w:rPr>
          <w:b/>
          <w:bCs/>
          <w:i/>
          <w:sz w:val="20"/>
          <w:szCs w:val="20"/>
        </w:rPr>
        <w:t>Privremena s</w:t>
      </w:r>
      <w:r>
        <w:rPr>
          <w:b/>
          <w:bCs/>
          <w:i/>
          <w:iCs/>
          <w:sz w:val="20"/>
          <w:szCs w:val="20"/>
        </w:rPr>
        <w:t>tečajna upraviteljica Ivana Kalkan</w:t>
      </w:r>
    </w:p>
    <w:p w:rsidRDefault="00155D6D" w:rsidR="004C3A48">
      <w:pPr>
        <w:rPr>
          <w:b/>
          <w:sz w:val="20"/>
          <w:szCs w:val="20"/>
        </w:rPr>
      </w:pPr>
      <w:r>
        <w:rPr>
          <w:b/>
          <w:bCs/>
          <w:sz w:val="20"/>
          <w:szCs w:val="20"/>
        </w:rPr>
        <w:t>Antuna Šoljana 9</w:t>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 xml:space="preserve">Županijska 2 </w:t>
      </w:r>
      <w:r>
        <w:rPr>
          <w:b/>
          <w:bCs/>
          <w:sz w:val="20"/>
          <w:szCs w:val="20"/>
        </w:rPr>
        <w:t xml:space="preserve">  10 000 Zagreb</w:t>
      </w:r>
      <w:r>
        <w:rPr>
          <w:b/>
          <w:bCs/>
          <w:sz w:val="20"/>
          <w:szCs w:val="20"/>
        </w:rPr>
        <w:tab/>
      </w:r>
      <w:r>
        <w:rPr>
          <w:b/>
          <w:bCs/>
          <w:sz w:val="20"/>
          <w:szCs w:val="20"/>
        </w:rPr>
        <w:tab/>
      </w:r>
      <w:r>
        <w:rPr>
          <w:b/>
          <w:bCs/>
          <w:sz w:val="20"/>
          <w:szCs w:val="20"/>
        </w:rPr>
        <w:tab/>
        <w:t xml:space="preserve">               </w:t>
      </w:r>
      <w:r>
        <w:rPr>
          <w:b/>
          <w:bCs/>
          <w:i/>
          <w:iCs/>
          <w:sz w:val="20"/>
          <w:szCs w:val="20"/>
        </w:rPr>
        <w:t xml:space="preserve">                </w:t>
      </w:r>
      <w:r>
        <w:rPr>
          <w:b/>
          <w:bCs/>
          <w:i/>
          <w:iCs/>
          <w:sz w:val="20"/>
          <w:szCs w:val="20"/>
        </w:rPr>
        <w:tab/>
      </w:r>
      <w:r>
        <w:rPr>
          <w:b/>
          <w:bCs/>
          <w:i/>
          <w:iCs/>
          <w:sz w:val="20"/>
          <w:szCs w:val="20"/>
        </w:rPr>
        <w:tab/>
        <w:t xml:space="preserve">                                             31 000 Osijek</w:t>
      </w:r>
      <w:r>
        <w:rPr>
          <w:b/>
          <w:bCs/>
          <w:sz w:val="20"/>
          <w:szCs w:val="20"/>
        </w:rPr>
        <w:t xml:space="preserve">                         OIB: 16761282214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Tel: 031/209-960, Fax: 031/496-306</w:t>
      </w:r>
    </w:p>
    <w:p w:rsidRDefault="00155D6D" w:rsidR="004C3A48">
      <w:r>
        <w:rPr>
          <w:b/>
          <w:sz w:val="20"/>
          <w:szCs w:val="20"/>
        </w:rPr>
        <w:tab/>
        <w:t xml:space="preserve">     </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sz w:val="20"/>
          <w:szCs w:val="20"/>
        </w:rPr>
        <w:tab/>
        <w:t xml:space="preserve">        </w:t>
      </w:r>
      <w:r>
        <w:rPr>
          <w:b/>
          <w:bCs/>
          <w:i/>
          <w:iCs/>
          <w:sz w:val="20"/>
          <w:szCs w:val="20"/>
        </w:rPr>
        <w:t>Mob: 099/7323788</w:t>
      </w:r>
    </w:p>
    <w:p w:rsidRDefault="00A60922" w:rsidR="004C3A48">
      <w:pPr>
        <w:jc w:val="right"/>
        <w:rPr>
          <w:b/>
          <w:bCs/>
          <w:i/>
          <w:iCs/>
          <w:sz w:val="20"/>
          <w:szCs w:val="20"/>
        </w:rPr>
      </w:pPr>
      <w:hyperlink r:id="rId7" w:history="true">
        <w:r w:rsidR="00155D6D">
          <w:rPr>
            <w:rStyle w:val="Hiperveza"/>
            <w:b/>
            <w:bCs/>
            <w:i/>
            <w:iCs/>
            <w:sz w:val="20"/>
            <w:szCs w:val="20"/>
          </w:rPr>
          <w:t>odvjetnica.ivana.kalkan@gmail.com</w:t>
        </w:r>
      </w:hyperlink>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4C3A48" w:rsidR="004C3A48">
      <w:pPr>
        <w:jc w:val="right"/>
        <w:rPr>
          <w:b/>
          <w:bCs/>
          <w:i/>
          <w:iCs/>
          <w:sz w:val="20"/>
          <w:szCs w:val="20"/>
        </w:rPr>
      </w:pPr>
    </w:p>
    <w:p w:rsidRDefault="00155D6D" w:rsidR="004C3A48">
      <w:pPr>
        <w:jc w:val="right"/>
        <w:rPr>
          <w:rFonts w:cs="Times New Roman" w:eastAsia="Lucida Sans Unicode"/>
          <w:spacing w:val="-3"/>
        </w:rPr>
      </w:pPr>
      <w:r>
        <w:rPr>
          <w:rFonts w:cs="Times New Roman" w:eastAsia="Lucida Sans Unicode"/>
          <w:b/>
          <w:bCs/>
          <w:spacing w:val="-3"/>
        </w:rPr>
        <w:t>Trgovački sud u Osijeku</w:t>
      </w:r>
    </w:p>
    <w:p w:rsidRDefault="00155D6D" w:rsidR="004C3A48">
      <w:pPr>
        <w:jc w:val="both"/>
        <w:rPr>
          <w:rFonts w:cs="Times New Roman" w:eastAsia="Lucida Sans Unicode"/>
          <w:spacing w:val="-3"/>
        </w:rPr>
      </w:pPr>
      <w:r>
        <w:rPr>
          <w:rFonts w:cs="Times New Roman" w:eastAsia="Lucida Sans Unicode"/>
          <w:spacing w:val="-3"/>
        </w:rPr>
        <w:t>Stečajna stvar.</w:t>
      </w:r>
    </w:p>
    <w:p w:rsidRDefault="00155D6D" w:rsidR="004C3A48">
      <w:pPr>
        <w:jc w:val="both"/>
      </w:pPr>
      <w:r>
        <w:rPr>
          <w:rFonts w:cs="Times New Roman" w:eastAsia="Lucida Sans Unicode"/>
          <w:spacing w:val="-3"/>
        </w:rPr>
        <w:t xml:space="preserve">Na broj:  </w:t>
      </w:r>
      <w:r>
        <w:rPr>
          <w:rFonts w:cs="Tahoma" w:eastAsia="Lucida Sans Unicode"/>
          <w:b/>
          <w:bCs/>
          <w:spacing w:val="-3"/>
        </w:rPr>
        <w:t>St-626/2018</w:t>
      </w:r>
    </w:p>
    <w:p w:rsidRDefault="004C3A48" w:rsidR="004C3A48">
      <w:pPr>
        <w:jc w:val="both"/>
      </w:pPr>
    </w:p>
    <w:p w:rsidRDefault="00155D6D" w:rsidR="004C3A48">
      <w:pPr>
        <w:jc w:val="both"/>
        <w:rPr>
          <w:rFonts w:cs="Tahoma" w:eastAsia="Lucida Sans Unicode"/>
          <w:spacing w:val="-3"/>
        </w:rPr>
      </w:pPr>
      <w:r>
        <w:rPr>
          <w:rFonts w:cs="Tahoma" w:eastAsia="Lucida Sans Unicode"/>
          <w:spacing w:val="-3"/>
        </w:rPr>
        <w:t xml:space="preserve">Dužnik: </w:t>
      </w:r>
      <w:r>
        <w:rPr>
          <w:rFonts w:cs="Tahoma" w:eastAsia="Lucida Sans Unicode"/>
          <w:b/>
          <w:bCs/>
          <w:spacing w:val="-3"/>
        </w:rPr>
        <w:t xml:space="preserve">Kolači i sladoledi – Milenijum d.o.o. </w:t>
      </w:r>
      <w:r>
        <w:rPr>
          <w:rFonts w:cs="Tahoma" w:eastAsia="Lucida Sans Unicode"/>
          <w:spacing w:val="-3"/>
        </w:rPr>
        <w:t xml:space="preserve">iz Zagreba, Antuna Šoljana 9, </w:t>
      </w:r>
    </w:p>
    <w:p w:rsidRDefault="00155D6D" w:rsidR="004C3A48">
      <w:pPr>
        <w:jc w:val="both"/>
      </w:pPr>
      <w:r>
        <w:rPr>
          <w:rFonts w:cs="Tahoma" w:eastAsia="Lucida Sans Unicode"/>
          <w:spacing w:val="-3"/>
        </w:rPr>
        <w:tab/>
        <w:t xml:space="preserve">  OIB: 16761282214</w:t>
      </w:r>
    </w:p>
    <w:p w:rsidRDefault="004C3A48" w:rsidR="004C3A48">
      <w:pPr>
        <w:jc w:val="both"/>
      </w:pPr>
    </w:p>
    <w:p w:rsidRDefault="00155D6D" w:rsidR="004C3A48">
      <w:pPr>
        <w:jc w:val="center"/>
        <w:rPr>
          <w:b/>
          <w:bCs/>
        </w:rPr>
      </w:pPr>
      <w:r>
        <w:rPr>
          <w:rFonts w:cs="Tahoma" w:eastAsia="Lucida Sans Unicode"/>
          <w:b/>
          <w:bCs/>
          <w:spacing w:val="-3"/>
        </w:rPr>
        <w:t>Izvješće privremene stečajne upraviteljice</w:t>
      </w:r>
    </w:p>
    <w:p w:rsidRDefault="004C3A48" w:rsidR="004C3A48">
      <w:pPr>
        <w:jc w:val="center"/>
        <w:rPr>
          <w:b/>
          <w:bCs/>
        </w:rPr>
      </w:pPr>
    </w:p>
    <w:p w:rsidRDefault="00155D6D" w:rsidR="004C3A48">
      <w:pPr>
        <w:jc w:val="both"/>
        <w:rPr>
          <w:rFonts w:cs="Tahoma" w:eastAsia="Lucida Sans Unicode"/>
          <w:spacing w:val="-3"/>
        </w:rPr>
      </w:pPr>
      <w:r>
        <w:rPr>
          <w:rFonts w:cs="Tahoma" w:eastAsia="Lucida Sans Unicode"/>
          <w:spacing w:val="-3"/>
        </w:rPr>
        <w:t xml:space="preserve">Rješenjem naslovnog suda broj St-626/2018 od 17. listopada 2018. g. pokrenut je prethodni postupak nad dužnikom te je zakazano ročište radi izjašnjenja o prijedlogu za otvaranje stečajnog postupka za dan 28. studenog 2018. g. Istim rješenjem imenovana sam privremenom stečajnom upraviteljicom te mi je naloženo dostaviti izvješće o gospodarskom položaju dužnika te mogućnsotima provođenja stečajnog postupka nad njegovom imovinom. </w:t>
      </w:r>
    </w:p>
    <w:p w:rsidRDefault="004C3A48" w:rsidR="004C3A48">
      <w:pPr>
        <w:jc w:val="both"/>
        <w:rPr>
          <w:rFonts w:cs="Tahoma" w:eastAsia="Lucida Sans Unicode"/>
          <w:spacing w:val="-3"/>
        </w:rPr>
      </w:pPr>
    </w:p>
    <w:p w:rsidRDefault="00155D6D" w:rsidR="004C3A48">
      <w:pPr>
        <w:jc w:val="both"/>
      </w:pPr>
      <w:r>
        <w:rPr>
          <w:rFonts w:cs="Tahoma" w:eastAsia="Lucida Sans Unicode"/>
          <w:spacing w:val="-3"/>
        </w:rPr>
        <w:t>Prijedlog za otvaranjem skraćenog stečajnog postupka podnjela je Financijska agencija dana 10. travnja 2017. g., no vjerovnik Roto dinamic d.o.o. iz Zagreba, Samoborska vesta 102, podnio je prijedlog za otvaranjem stečajnog postupka nad dužnikom navodeći da ima tražbinu prema istome u iznosu od 382.511,84 Kn na ime glavnice i kamata u iznosu od 88.124,32 Kn, kao i da je kod dužnika ostvaren stečajni razlog nesposobnosti za plaćanjem.</w:t>
      </w:r>
    </w:p>
    <w:p w:rsidRDefault="004C3A48" w:rsidR="004C3A48">
      <w:pPr>
        <w:jc w:val="both"/>
      </w:pPr>
    </w:p>
    <w:p w:rsidRDefault="00155D6D" w:rsidR="004C3A48">
      <w:pPr>
        <w:jc w:val="both"/>
        <w:rPr>
          <w:rFonts w:cs="Tahoma" w:eastAsia="Lucida Sans Unicode"/>
          <w:spacing w:val="-3"/>
        </w:rPr>
      </w:pPr>
      <w:r>
        <w:rPr>
          <w:rFonts w:cs="Tahoma" w:eastAsia="Lucida Sans Unicode"/>
          <w:spacing w:val="-3"/>
        </w:rPr>
        <w:t xml:space="preserve">Radi provođenja naloženih mi radnji pokušala sam stupiti u kontakt sa zakonskim zastupnikom dužnika Aleksandrom Petrovićem iz Srbije, Banovo Brdo, Ul. Blagoja Parovića 6 A, kojemu je dana 18. listopada 2018. g. upućen poziv za dostavom knjigovodstvene i poslovne dokumentacije dužnika, s izjavom o arhiviranju iste, no pismeno se vratilo neuručeno s napomenom ''nije tražio''. </w:t>
      </w:r>
    </w:p>
    <w:p w:rsidRDefault="004C3A48" w:rsidR="004C3A48">
      <w:pPr>
        <w:jc w:val="both"/>
        <w:rPr>
          <w:rFonts w:cs="Tahoma" w:eastAsia="Lucida Sans Unicode"/>
          <w:spacing w:val="-3"/>
        </w:rPr>
      </w:pPr>
    </w:p>
    <w:p w:rsidRDefault="00155D6D" w:rsidR="004C3A48">
      <w:pPr>
        <w:jc w:val="both"/>
      </w:pPr>
      <w:r>
        <w:rPr>
          <w:rFonts w:cs="Tahoma" w:eastAsia="Lucida Sans Unicode"/>
          <w:spacing w:val="-3"/>
        </w:rPr>
        <w:t>Od porezne uprave dobiven je podatak o tome da je knjigovodstvene poslove za dužnika do prosinca 2016. g. obavljao knjigovodstveni servis Mola usluge d.o.o. koji je pak dostavio sporazum o raskidu ugovora o obavljanju knjigovodstvenih usluga od 27. prosinca 2016. g. temeljem kojega je bio u obvezi dužniku vratiti cjelokupnu dokumentaciju uključujući i onu pohranjenu u elektroničkom obliku, tako da više ne raspolaže nikakvim podacima o dužniku.</w:t>
      </w:r>
    </w:p>
    <w:p w:rsidRDefault="004C3A48" w:rsidR="004C3A48">
      <w:pPr>
        <w:jc w:val="both"/>
      </w:pPr>
    </w:p>
    <w:p w:rsidRDefault="004C3A48" w:rsidR="004C3A48">
      <w:pPr>
        <w:jc w:val="both"/>
        <w:rPr>
          <w:rFonts w:cs="Tahoma" w:eastAsia="Lucida Sans Unicode"/>
          <w:b/>
          <w:bCs/>
          <w:spacing w:val="-3"/>
        </w:rPr>
      </w:pPr>
    </w:p>
    <w:p w:rsidRDefault="004C3A48" w:rsidR="004C3A48">
      <w:pPr>
        <w:jc w:val="both"/>
        <w:rPr>
          <w:rFonts w:cs="Tahoma" w:eastAsia="Lucida Sans Unicode"/>
          <w:b/>
          <w:bCs/>
          <w:spacing w:val="-3"/>
        </w:rPr>
      </w:pPr>
    </w:p>
    <w:p w:rsidRDefault="00155D6D" w:rsidR="004C3A48">
      <w:pPr>
        <w:jc w:val="both"/>
        <w:rPr>
          <w:b/>
          <w:bCs/>
        </w:rPr>
      </w:pPr>
      <w:r>
        <w:rPr>
          <w:rFonts w:cs="Tahoma" w:eastAsia="Lucida Sans Unicode"/>
          <w:b/>
          <w:bCs/>
          <w:spacing w:val="-3"/>
        </w:rPr>
        <w:lastRenderedPageBreak/>
        <w:t>OPĆI PODACI O DUŽNIKU</w:t>
      </w:r>
    </w:p>
    <w:p w:rsidRDefault="004C3A48" w:rsidR="004C3A48">
      <w:pPr>
        <w:jc w:val="both"/>
        <w:rPr>
          <w:b/>
          <w:bCs/>
        </w:rPr>
      </w:pPr>
    </w:p>
    <w:p w:rsidRDefault="00155D6D" w:rsidR="004C3A48">
      <w:pPr>
        <w:jc w:val="both"/>
      </w:pPr>
      <w:r>
        <w:rPr>
          <w:rFonts w:cs="Tahoma" w:eastAsia="Lucida Sans Unicode"/>
          <w:spacing w:val="-3"/>
        </w:rPr>
        <w:t>Dužnik je društvo s ograničenom odgovornošću osnovano Društvenim ugovorom o osnivanju društva s ograničenom odgovornošću od 2. srpnja 2001. g. od osnivača Imbrli Adburahimi iz Zagreba, Bogovićeva 2, OIB: 75173816474, i Hašarije Abdurahimi iz Zagreba, Bogovićeva 2, OIB:63810193374. Isti su svoje poslovne udjele prenjeli na Aleksandra Petrovića iz Srbije, Banovo Brdo, Ul. Blagoja Parovića 6 A, OIB: 57384761106, te je isti upis proveden 30. prosinca 2016. g.</w:t>
      </w:r>
    </w:p>
    <w:p w:rsidRDefault="004C3A48" w:rsidR="004C3A48">
      <w:pPr>
        <w:jc w:val="both"/>
      </w:pPr>
    </w:p>
    <w:p w:rsidRDefault="00155D6D" w:rsidR="004C3A48">
      <w:pPr>
        <w:jc w:val="both"/>
      </w:pPr>
      <w:r>
        <w:rPr>
          <w:rFonts w:cs="Tahoma" w:eastAsia="Lucida Sans Unicode"/>
          <w:spacing w:val="-3"/>
        </w:rPr>
        <w:t xml:space="preserve">Dužniku je dana 22. listopada 2015. g. pripojeno društvo Arosa kavana d.o.o. temeljem ugovora o pripajanju od 22. listopada 2015. g. i odluke skupštine dužnika i jedinog člana pripojenog društva od 22. listopada 2015. g. </w:t>
      </w:r>
    </w:p>
    <w:p w:rsidRDefault="004C3A48" w:rsidR="004C3A48">
      <w:pPr>
        <w:jc w:val="both"/>
      </w:pPr>
    </w:p>
    <w:p w:rsidRDefault="00155D6D" w:rsidR="004C3A48">
      <w:pPr>
        <w:jc w:val="both"/>
      </w:pPr>
      <w:r>
        <w:rPr>
          <w:rFonts w:cs="Tahoma" w:eastAsia="Lucida Sans Unicode"/>
          <w:spacing w:val="-3"/>
        </w:rPr>
        <w:t>Zakonski zastupnik dužnika je Aleksandar Petrović iz Srbije, Banovo Brdo, Ul. Blagoja Parovića 6 A, OIB: 57384761106.</w:t>
      </w:r>
    </w:p>
    <w:p w:rsidRDefault="004C3A48" w:rsidR="004C3A48">
      <w:pPr>
        <w:jc w:val="both"/>
      </w:pPr>
    </w:p>
    <w:p w:rsidRDefault="00155D6D" w:rsidR="004C3A48">
      <w:pPr>
        <w:jc w:val="both"/>
      </w:pPr>
      <w:r>
        <w:rPr>
          <w:rFonts w:cs="Tahoma" w:eastAsia="Lucida Sans Unicode"/>
          <w:spacing w:val="-3"/>
        </w:rPr>
        <w:t>Temeljni kapital dužnika prilikom osnivanja iznosio je 20.000,00 Kn. Isti je povećan na 320.000,00 Kn dana 19. svibnja 2005. g., zatim je povećan na iznos od 900.000,00 Kn dana 27. rujna 2007. g., i na iznos od 1.600.000,00 Kn dana 15. srpnja 2015. g.</w:t>
      </w:r>
    </w:p>
    <w:p w:rsidRDefault="004C3A48" w:rsidR="004C3A48">
      <w:pPr>
        <w:jc w:val="both"/>
      </w:pPr>
    </w:p>
    <w:p w:rsidRDefault="00155D6D" w:rsidR="004C3A48">
      <w:pPr>
        <w:jc w:val="both"/>
        <w:rPr>
          <w:rFonts w:cs="Tahoma" w:eastAsia="Lucida Sans Unicode"/>
          <w:spacing w:val="-3"/>
        </w:rPr>
      </w:pPr>
      <w:r>
        <w:rPr>
          <w:rFonts w:cs="Tahoma" w:eastAsia="Lucida Sans Unicode"/>
          <w:spacing w:val="-3"/>
        </w:rPr>
        <w:t>Registrirana djelatnost dužnika je proizvodnja sladoleda razvrstana brojčanom oznakom 1052 prema NKD-u 2007.</w:t>
      </w:r>
    </w:p>
    <w:p w:rsidRDefault="004C3A48" w:rsidR="004C3A48">
      <w:pPr>
        <w:jc w:val="both"/>
        <w:rPr>
          <w:rFonts w:cs="Tahoma" w:eastAsia="Lucida Sans Unicode"/>
          <w:spacing w:val="-3"/>
        </w:rPr>
      </w:pPr>
    </w:p>
    <w:p w:rsidRDefault="00155D6D" w:rsidR="004C3A48">
      <w:pPr>
        <w:jc w:val="both"/>
        <w:rPr>
          <w:rFonts w:cs="MetaSerifPro-Book" w:eastAsia="MetaSerifPro-Book"/>
          <w:color w:val="000000"/>
        </w:rPr>
      </w:pPr>
      <w:r>
        <w:rPr>
          <w:rFonts w:cs="Tahoma" w:eastAsia="Lucida Sans Unicode"/>
          <w:spacing w:val="-3"/>
        </w:rPr>
        <w:t>Dužnik je poslovao putem žiroračuna:</w:t>
      </w:r>
    </w:p>
    <w:p w:rsidRDefault="00155D6D" w:rsidR="004C3A48">
      <w:pPr>
        <w:numPr>
          <w:ilvl w:val="0"/>
          <w:numId w:val="4"/>
        </w:numPr>
        <w:jc w:val="both"/>
        <w:rPr>
          <w:rFonts w:cs="MetaSerifPro-Book" w:eastAsia="MetaSerifPro-Book"/>
          <w:color w:val="000000"/>
        </w:rPr>
      </w:pPr>
      <w:r>
        <w:rPr>
          <w:rFonts w:cs="MetaSerifPro-Book" w:eastAsia="MetaSerifPro-Book"/>
          <w:color w:val="000000"/>
        </w:rPr>
        <w:t>HR5523300031159858656 pri Societe generale - Splitska banka d.d. od 6.4.2016. g., koji je bio u povremenim blokadama od 3.10.2016 do 17.10.2016. g., od 22.11.2016 do 23.11.2016. g., te u trajnoj blokadi od  od 7.12.2016. g.</w:t>
      </w:r>
    </w:p>
    <w:p w:rsidRDefault="00155D6D" w:rsidR="004C3A48">
      <w:pPr>
        <w:numPr>
          <w:ilvl w:val="0"/>
          <w:numId w:val="4"/>
        </w:numPr>
        <w:jc w:val="both"/>
        <w:rPr>
          <w:rFonts w:cs="SignaPro-CondBook" w:eastAsia="SignaPro-CondBook"/>
          <w:sz w:val="15"/>
          <w:szCs w:val="15"/>
        </w:rPr>
      </w:pPr>
      <w:r>
        <w:rPr>
          <w:rFonts w:cs="MetaSerifPro-Book" w:eastAsia="MetaSerifPro-Book"/>
          <w:color w:val="000000"/>
        </w:rPr>
        <w:t>HR2325030071100058560 pri Sberbank d.d. od 3.12.2009. g., koji je bio u povremenim blokadama od 6.5.2010 do 10.5.2010. g., od 28.7.2010 do 2.8.2010. g.,  od 27.4.2011 do 28.4.2011. g., od 12.7.2011 do 13.7.2011. g., od 14.6.2012 do 18.6.2012. g., od 19.7.2012 do 24.7.2012. g., od 31.7.2012 do 2.8.2012. g., od 6.9.2012 do 10.9.2012. g., od 6.3.2013 do 7.3.2013. g., od 12.3.2013 do 16.4.2013. g., od 13.6.2013 do 14.6.2013. g., od 28.6.2013 do 1.7.2013. g., od 25.9.2013 do 9.10.2013. g., od 11.12.2013 do 27.12.2013. g., od 10.2.2014 do 11.2.2014. g., od 14.8.2014 do 9.9.2014. g., od 3.10.2016 do 17.10.2016. g., od 22.11.2016 do 23.11.2016. g., te u trajnoj blokadi od 7.12.2016. g.</w:t>
      </w:r>
    </w:p>
    <w:p w:rsidRDefault="004C3A48" w:rsidR="004C3A48">
      <w:pPr>
        <w:autoSpaceDE w:val="false"/>
        <w:rPr>
          <w:rFonts w:cs="SignaPro-CondBook" w:eastAsia="SignaPro-CondBook"/>
          <w:sz w:val="15"/>
          <w:szCs w:val="15"/>
        </w:rPr>
      </w:pPr>
    </w:p>
    <w:p w:rsidRDefault="004C3A48" w:rsidR="004C3A48">
      <w:pPr>
        <w:jc w:val="both"/>
      </w:pPr>
    </w:p>
    <w:p w:rsidRDefault="00155D6D" w:rsidR="004C3A48">
      <w:pPr>
        <w:jc w:val="both"/>
      </w:pPr>
      <w:r>
        <w:rPr>
          <w:rFonts w:cs="Tahoma" w:eastAsia="Lucida Sans Unicode"/>
          <w:spacing w:val="-3"/>
        </w:rPr>
        <w:t>Dužnik je tijekom poslovanja zapošljavao 149 radnika, s time da na dan 19. listopada 2018. g. više nema zaposlenih radnika.</w:t>
      </w:r>
    </w:p>
    <w:p w:rsidRDefault="004C3A48" w:rsidR="004C3A48">
      <w:pPr>
        <w:jc w:val="both"/>
      </w:pPr>
    </w:p>
    <w:p w:rsidRDefault="00155D6D" w:rsidR="004C3A48">
      <w:pPr>
        <w:jc w:val="both"/>
        <w:rPr>
          <w:b/>
          <w:bCs/>
        </w:rPr>
      </w:pPr>
      <w:r>
        <w:rPr>
          <w:rFonts w:cs="Tahoma" w:eastAsia="Lucida Sans Unicode"/>
          <w:b/>
          <w:bCs/>
          <w:spacing w:val="-3"/>
        </w:rPr>
        <w:t>OPIS POSLOVANJA DUŽNIKA</w:t>
      </w:r>
    </w:p>
    <w:p w:rsidRDefault="004C3A48" w:rsidR="004C3A48">
      <w:pPr>
        <w:jc w:val="both"/>
        <w:rPr>
          <w:b/>
          <w:bCs/>
        </w:rPr>
      </w:pPr>
    </w:p>
    <w:p w:rsidRDefault="00155D6D" w:rsidR="004C3A48">
      <w:pPr>
        <w:jc w:val="both"/>
        <w:rPr>
          <w:rFonts w:cs="Tahoma" w:eastAsia="Lucida Sans Unicode"/>
          <w:b/>
          <w:bCs/>
          <w:spacing w:val="-3"/>
        </w:rPr>
      </w:pPr>
      <w:r>
        <w:rPr>
          <w:rFonts w:cs="Tahoma" w:eastAsia="Lucida Sans Unicode"/>
          <w:spacing w:val="-3"/>
        </w:rPr>
        <w:t xml:space="preserve">S obzirom na nemogućnost stupanja u kontakt sa zakonskim zastupnikom dužnika nije bilo moguće utvrditi detaljnije poslovanje istoga niti razloge koji su doveli do prestanka poslovanja i ostvarenja stečajnih razloga nad istim. Prema navodima knjigovodstvenog servisa dužnik je obavljao slastičarsku djelatnost na adresi Bogovićeva 7, Zagreb, te je društvo uredno poslovao sve do prosinca 2016. g. kada su poslovni udjeli dužnika preneseni na Aleksandra Petrovića koji nije nastavio poslovanje na dotadašnji način što je vjerojatno dovelo do ostvarenja stečajnih razloga nad dužnikom. </w:t>
      </w:r>
    </w:p>
    <w:p w:rsidRDefault="00155D6D" w:rsidR="004C3A48">
      <w:pPr>
        <w:jc w:val="both"/>
        <w:rPr>
          <w:b/>
          <w:bCs/>
        </w:rPr>
      </w:pPr>
      <w:r>
        <w:rPr>
          <w:rFonts w:cs="Tahoma" w:eastAsia="Lucida Sans Unicode"/>
          <w:b/>
          <w:bCs/>
          <w:spacing w:val="-3"/>
        </w:rPr>
        <w:t>FINANCIJSKO GOSPODARSKO STANJE DUŽNIKA</w:t>
      </w:r>
    </w:p>
    <w:p w:rsidRDefault="004C3A48" w:rsidR="004C3A48">
      <w:pPr>
        <w:jc w:val="both"/>
        <w:rPr>
          <w:b/>
          <w:bCs/>
        </w:rPr>
      </w:pPr>
    </w:p>
    <w:p w:rsidRDefault="00155D6D" w:rsidR="004C3A48">
      <w:pPr>
        <w:jc w:val="both"/>
        <w:rPr>
          <w:rFonts w:cs="Tahoma" w:eastAsia="Lucida Sans Unicode"/>
          <w:spacing w:val="-3"/>
        </w:rPr>
      </w:pPr>
      <w:r>
        <w:rPr>
          <w:rFonts w:cs="Tahoma" w:eastAsia="Lucida Sans Unicode"/>
          <w:spacing w:val="-3"/>
        </w:rPr>
        <w:t>Prema javno dostupnim podacima registra godišnjih financijskih izvještaja Financijske agencije dužnik je posljednje godišnje financijsko izvješće predao za 2015. g. iz kojih je razvidno slijedeće:</w:t>
      </w:r>
    </w:p>
    <w:p w:rsidRDefault="004C3A48" w:rsidR="004C3A48">
      <w:pPr>
        <w:jc w:val="both"/>
        <w:rPr>
          <w:rFonts w:cs="Tahoma" w:eastAsia="Lucida Sans Unicode"/>
          <w:spacing w:val="-3"/>
        </w:rPr>
      </w:pPr>
    </w:p>
    <w:p w:rsidRDefault="00155D6D" w:rsidR="004C3A48">
      <w:pPr>
        <w:numPr>
          <w:ilvl w:val="0"/>
          <w:numId w:val="1"/>
        </w:numPr>
        <w:jc w:val="both"/>
        <w:rPr>
          <w:rFonts w:cs="Tahoma" w:eastAsia="Lucida Sans Unicode"/>
          <w:spacing w:val="-3"/>
        </w:rPr>
      </w:pPr>
      <w:r>
        <w:rPr>
          <w:rFonts w:cs="Tahoma" w:eastAsia="Lucida Sans Unicode"/>
          <w:spacing w:val="-3"/>
        </w:rPr>
        <w:t>bilanca</w:t>
      </w:r>
    </w:p>
    <w:p w:rsidRDefault="004C3A48" w:rsidR="004C3A48">
      <w:pPr>
        <w:jc w:val="both"/>
        <w:rPr>
          <w:rFonts w:cs="Tahoma" w:eastAsia="Lucida Sans Unicode"/>
          <w:spacing w:val="-3"/>
        </w:rPr>
      </w:pPr>
    </w:p>
    <w:tbl>
      <w:tblPr>
        <w:tblW w:type="auto" w:w="0"/>
        <w:tblInd w:type="dxa" w:w="12"/>
        <w:tblLayout w:type="fixed"/>
        <w:tblCellMar>
          <w:top w:type="dxa" w:w="55"/>
          <w:left w:type="dxa" w:w="55"/>
          <w:bottom w:type="dxa" w:w="55"/>
          <w:right w:type="dxa" w:w="55"/>
        </w:tblCellMar>
        <w:tblLook w:val="0000" w:noVBand="0" w:noHBand="0" w:lastColumn="0" w:firstColumn="0" w:lastRow="0" w:firstRow="0"/>
      </w:tblPr>
      <w:tblGrid>
        <w:gridCol w:w="3881"/>
        <w:gridCol w:w="1837"/>
      </w:tblGrid>
      <w:tr w:rsidR="004C3A48">
        <w:trPr>
          <w:trHeight w:val="268"/>
        </w:trPr>
        <w:tc>
          <w:tcPr>
            <w:tcW w:type="dxa" w:w="3881"/>
            <w:tcBorders>
              <w:top w:space="0" w:sz="1" w:color="000000" w:val="single"/>
              <w:left w:space="0" w:sz="1" w:color="000000" w:val="single"/>
              <w:bottom w:space="0" w:sz="1" w:color="000000" w:val="single"/>
            </w:tcBorders>
            <w:shd w:fill="auto" w:color="auto" w:val="clear"/>
            <w:vAlign w:val="bottom"/>
          </w:tcPr>
          <w:p w:rsidRDefault="00155D6D" w:rsidR="004C3A48">
            <w:pPr>
              <w:autoSpaceDE w:val="false"/>
              <w:rPr>
                <w:b/>
                <w:bCs/>
              </w:rPr>
            </w:pPr>
            <w:r>
              <w:rPr>
                <w:b/>
                <w:bCs/>
              </w:rPr>
              <w:t>Pozicija</w:t>
            </w:r>
          </w:p>
        </w:tc>
        <w:tc>
          <w:tcPr>
            <w:tcW w:type="dxa" w:w="1837"/>
            <w:tcBorders>
              <w:top w:space="0" w:sz="1" w:color="000000" w:val="single"/>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rPr>
                <w:b/>
                <w:bCs/>
              </w:rPr>
              <w:t>2015</w:t>
            </w:r>
          </w:p>
        </w:tc>
      </w:tr>
      <w:tr w:rsidR="004C3A48">
        <w:trPr>
          <w:trHeight w:val="257"/>
        </w:trPr>
        <w:tc>
          <w:tcPr>
            <w:tcW w:type="dxa" w:w="3881"/>
            <w:tcBorders>
              <w:left w:space="0" w:sz="1" w:color="000000" w:val="single"/>
              <w:bottom w:space="0" w:sz="1" w:color="000000" w:val="single"/>
            </w:tcBorders>
            <w:shd w:fill="auto" w:color="auto" w:val="clear"/>
            <w:vAlign w:val="bottom"/>
          </w:tcPr>
          <w:p w:rsidRDefault="00155D6D" w:rsidR="004C3A48">
            <w:pPr>
              <w:autoSpaceDE w:val="false"/>
              <w:rPr>
                <w:b/>
                <w:bCs/>
              </w:rPr>
            </w:pPr>
            <w:r>
              <w:rPr>
                <w:b/>
                <w:bCs/>
              </w:rPr>
              <w:t>AKTIVA</w:t>
            </w:r>
          </w:p>
        </w:tc>
        <w:tc>
          <w:tcPr>
            <w:tcW w:type="dxa" w:w="1837"/>
            <w:tcBorders>
              <w:left w:space="0" w:sz="1" w:color="000000" w:val="single"/>
              <w:bottom w:space="0" w:sz="1" w:color="000000" w:val="single"/>
              <w:right w:space="0" w:sz="1" w:color="000000" w:val="single"/>
            </w:tcBorders>
            <w:shd w:fill="auto" w:color="auto" w:val="clear"/>
            <w:vAlign w:val="bottom"/>
          </w:tcPr>
          <w:p w:rsidRDefault="004C3A48" w:rsidR="004C3A48">
            <w:pPr>
              <w:autoSpaceDE w:val="false"/>
              <w:snapToGrid w:val="false"/>
              <w:rPr>
                <w:b/>
                <w:bCs/>
              </w:rPr>
            </w:pP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t>Dugotrajna imovina</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3,969,594.00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Nematerijalna imovina</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1,525,456.00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Materijalna imovina</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2,444,138.00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t>Kratkotrajna imovina</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3,956,758.00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Zalihe</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260,777.00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Potraživanja</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675,792.00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Kratkotrajna financijska imovina</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2,435,594.00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Novac u banci i blagajni</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584,595.00 kn</w:t>
            </w:r>
          </w:p>
        </w:tc>
      </w:tr>
      <w:tr w:rsidR="004C3A48">
        <w:trPr>
          <w:trHeight w:val="257"/>
        </w:trPr>
        <w:tc>
          <w:tcPr>
            <w:tcW w:type="dxa" w:w="3881"/>
            <w:tcBorders>
              <w:left w:space="0" w:sz="1" w:color="000000" w:val="single"/>
              <w:bottom w:space="0" w:sz="1" w:color="000000" w:val="single"/>
            </w:tcBorders>
            <w:shd w:fill="auto" w:color="auto" w:val="clear"/>
            <w:vAlign w:val="bottom"/>
          </w:tcPr>
          <w:p w:rsidRDefault="00155D6D" w:rsidR="004C3A48">
            <w:pPr>
              <w:autoSpaceDE w:val="false"/>
              <w:rPr>
                <w:b/>
                <w:bCs/>
              </w:rPr>
            </w:pPr>
            <w:r>
              <w:rPr>
                <w:b/>
                <w:bCs/>
              </w:rPr>
              <w:t>UKUPNO AKTIVA</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rPr>
                <w:b/>
                <w:bCs/>
              </w:rPr>
              <w:t>7,926,352.00 kn</w:t>
            </w:r>
          </w:p>
        </w:tc>
      </w:tr>
      <w:tr w:rsidR="004C3A48">
        <w:trPr>
          <w:trHeight w:val="257"/>
        </w:trPr>
        <w:tc>
          <w:tcPr>
            <w:tcW w:type="dxa" w:w="3881"/>
            <w:tcBorders>
              <w:left w:space="0" w:sz="1" w:color="000000" w:val="single"/>
              <w:bottom w:space="0" w:sz="1" w:color="000000" w:val="single"/>
            </w:tcBorders>
            <w:shd w:fill="auto" w:color="auto" w:val="clear"/>
            <w:vAlign w:val="bottom"/>
          </w:tcPr>
          <w:p w:rsidRDefault="004C3A48" w:rsidR="004C3A48">
            <w:pPr>
              <w:autoSpaceDE w:val="false"/>
              <w:snapToGrid w:val="false"/>
            </w:pPr>
          </w:p>
        </w:tc>
        <w:tc>
          <w:tcPr>
            <w:tcW w:type="dxa" w:w="1837"/>
            <w:tcBorders>
              <w:left w:space="0" w:sz="1" w:color="000000" w:val="single"/>
              <w:bottom w:space="0" w:sz="1" w:color="000000" w:val="single"/>
              <w:right w:space="0" w:sz="1" w:color="000000" w:val="single"/>
            </w:tcBorders>
            <w:shd w:fill="auto" w:color="auto" w:val="clear"/>
            <w:vAlign w:val="bottom"/>
          </w:tcPr>
          <w:p w:rsidRDefault="004C3A48" w:rsidR="004C3A48">
            <w:pPr>
              <w:autoSpaceDE w:val="false"/>
              <w:snapToGrid w:val="false"/>
            </w:pPr>
          </w:p>
        </w:tc>
      </w:tr>
      <w:tr w:rsidR="004C3A48">
        <w:trPr>
          <w:trHeight w:val="257"/>
        </w:trPr>
        <w:tc>
          <w:tcPr>
            <w:tcW w:type="dxa" w:w="3881"/>
            <w:tcBorders>
              <w:left w:space="0" w:sz="1" w:color="000000" w:val="single"/>
              <w:bottom w:space="0" w:sz="1" w:color="000000" w:val="single"/>
            </w:tcBorders>
            <w:shd w:fill="auto" w:color="auto" w:val="clear"/>
            <w:vAlign w:val="bottom"/>
          </w:tcPr>
          <w:p w:rsidRDefault="00155D6D" w:rsidR="004C3A48">
            <w:pPr>
              <w:autoSpaceDE w:val="false"/>
              <w:rPr>
                <w:b/>
                <w:bCs/>
              </w:rPr>
            </w:pPr>
            <w:r>
              <w:rPr>
                <w:b/>
                <w:bCs/>
              </w:rPr>
              <w:t>PASIVA</w:t>
            </w:r>
          </w:p>
        </w:tc>
        <w:tc>
          <w:tcPr>
            <w:tcW w:type="dxa" w:w="1837"/>
            <w:tcBorders>
              <w:left w:space="0" w:sz="1" w:color="000000" w:val="single"/>
              <w:bottom w:space="0" w:sz="1" w:color="000000" w:val="single"/>
              <w:right w:space="0" w:sz="1" w:color="000000" w:val="single"/>
            </w:tcBorders>
            <w:shd w:fill="auto" w:color="auto" w:val="clear"/>
            <w:vAlign w:val="bottom"/>
          </w:tcPr>
          <w:p w:rsidRDefault="004C3A48" w:rsidR="004C3A48">
            <w:pPr>
              <w:autoSpaceDE w:val="false"/>
              <w:snapToGrid w:val="false"/>
              <w:rPr>
                <w:b/>
                <w:bCs/>
              </w:rPr>
            </w:pP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t>Kapital i rezerve</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4,177,365.00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Temeljni kapital</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1,600,000.00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Kapitalne rezerve</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1,000,000.00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Zadržana dobit ili preneseni gubitak</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587,538.00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rPr>
                <w:i/>
                <w:iCs/>
              </w:rPr>
              <w:t>Dobit ili gubitak poslovne godine</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989,827.00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t>Dugoročne obveze</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940,293.00 kn</w:t>
            </w:r>
          </w:p>
        </w:tc>
      </w:tr>
      <w:tr w:rsidR="004C3A48">
        <w:trPr>
          <w:trHeight w:val="268"/>
        </w:trPr>
        <w:tc>
          <w:tcPr>
            <w:tcW w:type="dxa" w:w="3881"/>
            <w:tcBorders>
              <w:left w:space="0" w:sz="1" w:color="000000" w:val="single"/>
              <w:bottom w:space="0" w:sz="1" w:color="000000" w:val="single"/>
            </w:tcBorders>
            <w:shd w:fill="auto" w:color="auto" w:val="clear"/>
            <w:vAlign w:val="bottom"/>
          </w:tcPr>
          <w:p w:rsidRDefault="00155D6D" w:rsidR="004C3A48">
            <w:pPr>
              <w:autoSpaceDE w:val="false"/>
            </w:pPr>
            <w:r>
              <w:t>Kratkoročne obveze</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2,808,694.00 kn</w:t>
            </w:r>
          </w:p>
        </w:tc>
      </w:tr>
      <w:tr w:rsidR="004C3A48">
        <w:trPr>
          <w:trHeight w:val="257"/>
        </w:trPr>
        <w:tc>
          <w:tcPr>
            <w:tcW w:type="dxa" w:w="3881"/>
            <w:tcBorders>
              <w:left w:space="0" w:sz="1" w:color="000000" w:val="single"/>
              <w:bottom w:space="0" w:sz="1" w:color="000000" w:val="single"/>
            </w:tcBorders>
            <w:shd w:fill="auto" w:color="auto" w:val="clear"/>
            <w:vAlign w:val="bottom"/>
          </w:tcPr>
          <w:p w:rsidRDefault="00155D6D" w:rsidR="004C3A48">
            <w:pPr>
              <w:autoSpaceDE w:val="false"/>
              <w:rPr>
                <w:b/>
                <w:bCs/>
              </w:rPr>
            </w:pPr>
            <w:r>
              <w:rPr>
                <w:b/>
                <w:bCs/>
              </w:rPr>
              <w:t>UKUPNO PASIVA</w:t>
            </w:r>
          </w:p>
        </w:tc>
        <w:tc>
          <w:tcPr>
            <w:tcW w:type="dxa" w:w="1837"/>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rPr>
                <w:b/>
                <w:bCs/>
              </w:rPr>
              <w:t>7,926,352.00 kn</w:t>
            </w:r>
          </w:p>
        </w:tc>
      </w:tr>
    </w:tbl>
    <w:p w:rsidRDefault="004C3A48" w:rsidR="004C3A48">
      <w:pPr>
        <w:jc w:val="both"/>
        <w:rPr>
          <w:rFonts w:cs="Tahoma" w:eastAsia="Lucida Sans Unicode"/>
          <w:spacing w:val="-3"/>
        </w:rPr>
      </w:pPr>
    </w:p>
    <w:p w:rsidRDefault="00155D6D" w:rsidR="004C3A48">
      <w:pPr>
        <w:numPr>
          <w:ilvl w:val="0"/>
          <w:numId w:val="2"/>
        </w:numPr>
        <w:jc w:val="both"/>
        <w:rPr>
          <w:rFonts w:cs="Tahoma" w:eastAsia="Lucida Sans Unicode"/>
          <w:spacing w:val="-3"/>
        </w:rPr>
      </w:pPr>
      <w:r>
        <w:rPr>
          <w:rFonts w:cs="Tahoma" w:eastAsia="Lucida Sans Unicode"/>
          <w:spacing w:val="-3"/>
        </w:rPr>
        <w:t>račun dobiti i gubitka</w:t>
      </w:r>
    </w:p>
    <w:p w:rsidRDefault="004C3A48" w:rsidR="004C3A48">
      <w:pPr>
        <w:jc w:val="both"/>
        <w:rPr>
          <w:rFonts w:cs="Tahoma" w:eastAsia="Lucida Sans Unicode"/>
          <w:spacing w:val="-3"/>
        </w:rPr>
      </w:pPr>
    </w:p>
    <w:tbl>
      <w:tblPr>
        <w:tblW w:type="auto" w:w="0"/>
        <w:tblInd w:type="dxa" w:w="23"/>
        <w:tblLayout w:type="fixed"/>
        <w:tblCellMar>
          <w:top w:type="dxa" w:w="55"/>
          <w:left w:type="dxa" w:w="55"/>
          <w:bottom w:type="dxa" w:w="55"/>
          <w:right w:type="dxa" w:w="55"/>
        </w:tblCellMar>
        <w:tblLook w:val="0000" w:noVBand="0" w:noHBand="0" w:lastColumn="0" w:firstColumn="0" w:lastRow="0" w:firstRow="0"/>
      </w:tblPr>
      <w:tblGrid>
        <w:gridCol w:w="3619"/>
        <w:gridCol w:w="1975"/>
      </w:tblGrid>
      <w:tr w:rsidR="004C3A48">
        <w:trPr>
          <w:trHeight w:val="268"/>
        </w:trPr>
        <w:tc>
          <w:tcPr>
            <w:tcW w:type="dxa" w:w="3619"/>
            <w:tcBorders>
              <w:top w:space="0" w:sz="1" w:color="000000" w:val="single"/>
              <w:left w:space="0" w:sz="1" w:color="000000" w:val="single"/>
              <w:bottom w:space="0" w:sz="1" w:color="000000" w:val="single"/>
            </w:tcBorders>
            <w:shd w:fill="auto" w:color="auto" w:val="clear"/>
            <w:vAlign w:val="bottom"/>
          </w:tcPr>
          <w:p w:rsidRDefault="00155D6D" w:rsidR="004C3A48">
            <w:pPr>
              <w:autoSpaceDE w:val="false"/>
              <w:rPr>
                <w:b/>
                <w:bCs/>
              </w:rPr>
            </w:pPr>
            <w:r>
              <w:rPr>
                <w:b/>
                <w:bCs/>
              </w:rPr>
              <w:t>Pozicija</w:t>
            </w:r>
          </w:p>
        </w:tc>
        <w:tc>
          <w:tcPr>
            <w:tcW w:type="dxa" w:w="1975"/>
            <w:tcBorders>
              <w:top w:space="0" w:sz="1" w:color="000000" w:val="single"/>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rPr>
                <w:b/>
                <w:bCs/>
              </w:rPr>
              <w:t>2015</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t>Poslovni prihodi</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8,767,752.00 kn</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t>Poslovni rashodi</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7,656,983.00 kn</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t>Financijski prihodi</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79,532.00 kn</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t>Financijski rashodi</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133,342.00 kn</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t>Ukupni prihodi</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8,847,284.00 kn</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t>Ukupni rashodi</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7,790,325.00 kn</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t>Dobit ili gubtak prije oporezivanja</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1,056,959.00 kn</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lastRenderedPageBreak/>
              <w:t>Porez na dobit</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67,132.00 kn</w:t>
            </w:r>
          </w:p>
        </w:tc>
      </w:tr>
      <w:tr w:rsidR="004C3A48">
        <w:trPr>
          <w:trHeight w:val="268"/>
        </w:trPr>
        <w:tc>
          <w:tcPr>
            <w:tcW w:type="dxa" w:w="3619"/>
            <w:tcBorders>
              <w:left w:space="0" w:sz="1" w:color="000000" w:val="single"/>
              <w:bottom w:space="0" w:sz="1" w:color="000000" w:val="single"/>
            </w:tcBorders>
            <w:shd w:fill="auto" w:color="auto" w:val="clear"/>
            <w:vAlign w:val="bottom"/>
          </w:tcPr>
          <w:p w:rsidRDefault="00155D6D" w:rsidR="004C3A48">
            <w:pPr>
              <w:autoSpaceDE w:val="false"/>
            </w:pPr>
            <w:r>
              <w:t>Dobit ili gubitak razdoblja</w:t>
            </w:r>
          </w:p>
        </w:tc>
        <w:tc>
          <w:tcPr>
            <w:tcW w:type="dxa" w:w="1975"/>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right"/>
            </w:pPr>
            <w:r>
              <w:t>989,827.00 kn</w:t>
            </w:r>
          </w:p>
        </w:tc>
      </w:tr>
    </w:tbl>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Iz prikazanog je razvidno da je dužnik 2015. g. okončao s dobiti, te je ostvario značajne prihode, no istovremeno je poslovanje bilo opterećeno i visokim obvezama, osobito kratkoročnima.</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 xml:space="preserve">Iz bilješki uz financijske izvještaje za 2015. g. nije razvidno u čemu se sastojala imovina dužnika na dan 31. prosinca 2015. g. No, iz bilješki uz financijske izvještaje za 2008. g. razvidno je da se </w:t>
      </w:r>
    </w:p>
    <w:p w:rsidRDefault="00155D6D" w:rsidR="004C3A48">
      <w:pPr>
        <w:jc w:val="both"/>
        <w:rPr>
          <w:rFonts w:cs="Tahoma" w:eastAsia="Lucida Sans Unicode"/>
          <w:spacing w:val="-3"/>
        </w:rPr>
      </w:pPr>
      <w:r>
        <w:rPr>
          <w:rFonts w:cs="Tahoma" w:eastAsia="Lucida Sans Unicode"/>
          <w:spacing w:val="-3"/>
        </w:rPr>
        <w:t>imovina dužnika sastojala od:</w:t>
      </w:r>
    </w:p>
    <w:p w:rsidRDefault="00155D6D" w:rsidR="004C3A48">
      <w:pPr>
        <w:numPr>
          <w:ilvl w:val="0"/>
          <w:numId w:val="3"/>
        </w:numPr>
        <w:jc w:val="both"/>
        <w:rPr>
          <w:rFonts w:cs="Tahoma" w:eastAsia="Lucida Sans Unicode"/>
          <w:spacing w:val="-3"/>
        </w:rPr>
      </w:pPr>
      <w:r>
        <w:rPr>
          <w:rFonts w:cs="Tahoma" w:eastAsia="Lucida Sans Unicode"/>
          <w:spacing w:val="-3"/>
        </w:rPr>
        <w:t>nematerijalne imovine vrijednosti 1.693.758,99 Kn a koja se odnosila pretežno na ulaganje u tuđoj imovini u iznosu od 1.675.358,99 Kn,</w:t>
      </w:r>
    </w:p>
    <w:p w:rsidRDefault="00155D6D" w:rsidR="004C3A48">
      <w:pPr>
        <w:numPr>
          <w:ilvl w:val="0"/>
          <w:numId w:val="3"/>
        </w:numPr>
        <w:jc w:val="both"/>
        <w:rPr>
          <w:rFonts w:cs="Tahoma" w:eastAsia="Lucida Sans Unicode"/>
          <w:spacing w:val="-3"/>
        </w:rPr>
      </w:pPr>
      <w:r>
        <w:rPr>
          <w:rFonts w:cs="Tahoma" w:eastAsia="Lucida Sans Unicode"/>
          <w:spacing w:val="-3"/>
        </w:rPr>
        <w:t xml:space="preserve">postrojenja i opreme vrijednosti 1.640.878,88 Kn, </w:t>
      </w:r>
    </w:p>
    <w:p w:rsidRDefault="00155D6D" w:rsidR="004C3A48">
      <w:pPr>
        <w:numPr>
          <w:ilvl w:val="0"/>
          <w:numId w:val="3"/>
        </w:numPr>
        <w:jc w:val="both"/>
        <w:rPr>
          <w:rFonts w:cs="Tahoma" w:eastAsia="Lucida Sans Unicode"/>
          <w:spacing w:val="-3"/>
        </w:rPr>
      </w:pPr>
      <w:r>
        <w:rPr>
          <w:rFonts w:cs="Tahoma" w:eastAsia="Lucida Sans Unicode"/>
          <w:spacing w:val="-3"/>
        </w:rPr>
        <w:t>alata inventara i transportnih sredstava vrijednosti 2.300,40 Kn,</w:t>
      </w:r>
    </w:p>
    <w:p w:rsidRDefault="00155D6D" w:rsidR="004C3A48">
      <w:pPr>
        <w:numPr>
          <w:ilvl w:val="0"/>
          <w:numId w:val="3"/>
        </w:numPr>
        <w:jc w:val="both"/>
        <w:rPr>
          <w:rFonts w:cs="Tahoma" w:eastAsia="Lucida Sans Unicode"/>
          <w:spacing w:val="-3"/>
        </w:rPr>
      </w:pPr>
      <w:r>
        <w:rPr>
          <w:rFonts w:cs="Tahoma" w:eastAsia="Lucida Sans Unicode"/>
          <w:spacing w:val="-3"/>
        </w:rPr>
        <w:t>dugotrajne financijske imovine u vidu danih pozajmica u iznosu od 387.302,05 Kn,</w:t>
      </w:r>
    </w:p>
    <w:p w:rsidRDefault="00155D6D" w:rsidR="004C3A48">
      <w:pPr>
        <w:numPr>
          <w:ilvl w:val="0"/>
          <w:numId w:val="3"/>
        </w:numPr>
        <w:jc w:val="both"/>
        <w:rPr>
          <w:rFonts w:cs="Tahoma" w:eastAsia="Lucida Sans Unicode"/>
          <w:spacing w:val="-3"/>
        </w:rPr>
      </w:pPr>
      <w:r>
        <w:rPr>
          <w:rFonts w:cs="Tahoma" w:eastAsia="Lucida Sans Unicode"/>
          <w:spacing w:val="-3"/>
        </w:rPr>
        <w:t>zaliha – repromaterijala vrijednosti 805.849,54 Kn,</w:t>
      </w:r>
    </w:p>
    <w:p w:rsidRDefault="00155D6D" w:rsidR="004C3A48">
      <w:pPr>
        <w:numPr>
          <w:ilvl w:val="0"/>
          <w:numId w:val="3"/>
        </w:numPr>
        <w:jc w:val="both"/>
        <w:rPr>
          <w:rFonts w:cs="Tahoma" w:eastAsia="Lucida Sans Unicode"/>
          <w:spacing w:val="-3"/>
        </w:rPr>
      </w:pPr>
      <w:r>
        <w:rPr>
          <w:rFonts w:cs="Tahoma" w:eastAsia="Lucida Sans Unicode"/>
          <w:spacing w:val="-3"/>
        </w:rPr>
        <w:t>potraživanja u visini od 107.059,63 Kn.</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Iz navedenog se može zaključiti da se i krajem 2015. g. u posjedu dužnika vjerojatno nalazila ista imovina. Radi utvrđivanja stanja imovine dužnika pokušala sam stupiti u kontakt s bivšim zakonskim zastupnikom dužnika  Imbrili Abdurahimijem. Pozivom na telefonski broj 01/481-0849 dobivena je djelatnica slastičarnice na adresi Bogovićeva 7, Zagreb, koja navodi da na istoj adresi posluje društvo Amorino j.d.o.o. koje aktivno posluje. Pregledom sudskog registra utvrđeno je da je isti podatak točan te da je zakonski zastupnik društva Ajet Memedi iz Italije, Bressanone, Via Ronccato 20. Od iste djelatnice dobiven je kontakt telefon Imbrila Abdurahimija, bivšeg zakonskog zastupnika dužnika, kojemu je upućen poziv, te je isti u razgovoru naveo da je dužnik ''prodan'' Aleksandru Petrović kojemu je predana sva poslovna dokumentacija dužnika, a da dužnik u vrijeme prodaje nije imao nikakvu imovinu u svom vlasništvu.</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Radi utvrđivanja sastava i postojanja imovine dužnika od Porezne uprave zatražena je dostava priloga uz prijavu poreza na dobit za 2015. g. te dostava posljednjeg predanog OPZ-STAT-1 obrasca radi utvrđivanja potraživanja dužnika, kao i preslika odluka o povećanju temeljnog kapitala, no isti podaci do dana predaje ovog izvješća nisu primljeni.</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Prema uvjerenju Državne geodetske uprave od 24. listopada 2018. g. dužnik nije upisan u katastarski operat.</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Od zemljišnoknjižnog odjela Općinskog građanskog suda u Zagrebu zatražen je podatak o tome da li je dužnik evidentiran kao vlasnik nekretnina na području nadležnosti istoga suda, no do dana predaje ovoga izvješća traženi podaci nisu primljeni.</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Prema uvjerenju Centra za vozila Hrvatske od 25. listopada 2018. g. dužnik nije evidentiran kao vlasnik vozila.</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Prema obavijesti Porezne uprave od 5. studenog 2018. g. dužnik nije dostavio sve obrasce koje je bio u obvezi dostaviti i to osobito prijavu poreza na dobit za 2016. i 2017. g., PDV obrasce od prosinca 2016. g. do danas. Prema stanju računa poreznih obveznika na dan 5. studenog 2011. g. dužnik ima ukupan iznos nepodmirenih obveza po osnovi javnih davanja u visini od 905.308,35 Kn.</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Prema potvrdi Financijske agencije od 30. listopad 2018. g. dužnik ima neprekidnu blokadu računa i novčanih sredstava u trajanju od 692 dana radi nepodmirenih obveza u visini od 2.828.326,35 Kn evidentiranih u Očevidniku redoslijeda osnova za plaćanje.</w:t>
      </w:r>
    </w:p>
    <w:p w:rsidRDefault="004C3A48" w:rsidR="004C3A48">
      <w:pPr>
        <w:jc w:val="both"/>
        <w:rPr>
          <w:rFonts w:cs="Tahoma" w:eastAsia="Lucida Sans Unicode"/>
          <w:spacing w:val="-3"/>
        </w:rPr>
      </w:pPr>
    </w:p>
    <w:p w:rsidRDefault="00155D6D" w:rsidR="004C3A48">
      <w:pPr>
        <w:jc w:val="both"/>
        <w:rPr>
          <w:rFonts w:cs="Tahoma" w:eastAsia="Lucida Sans Unicode"/>
          <w:b/>
          <w:bCs/>
          <w:spacing w:val="-3"/>
        </w:rPr>
      </w:pPr>
      <w:r>
        <w:rPr>
          <w:rFonts w:cs="Tahoma" w:eastAsia="Lucida Sans Unicode"/>
          <w:b/>
          <w:bCs/>
          <w:spacing w:val="-3"/>
        </w:rPr>
        <w:t>ZAKLJUČAK</w:t>
      </w:r>
    </w:p>
    <w:p w:rsidRDefault="004C3A48" w:rsidR="004C3A48">
      <w:pPr>
        <w:jc w:val="both"/>
        <w:rPr>
          <w:rFonts w:cs="Tahoma" w:eastAsia="Lucida Sans Unicode"/>
          <w:b/>
          <w:bCs/>
          <w:spacing w:val="-3"/>
        </w:rPr>
      </w:pPr>
    </w:p>
    <w:p w:rsidRDefault="00155D6D" w:rsidR="004C3A48">
      <w:pPr>
        <w:jc w:val="both"/>
        <w:rPr>
          <w:rFonts w:cs="Tahoma" w:eastAsia="Lucida Sans Unicode"/>
          <w:spacing w:val="-3"/>
        </w:rPr>
      </w:pPr>
      <w:r>
        <w:rPr>
          <w:rFonts w:cs="Tahoma" w:eastAsia="Lucida Sans Unicode"/>
          <w:spacing w:val="-3"/>
        </w:rPr>
        <w:t>Dužnik ne obavlja gospodarsku djelatnost i nema zaposlenih radnika. Dužnik nema imovine i vozila u svom vlasništvu. Radi nedostatka knjigovodstvene dokumentacije dužnika nije bilo moguće utvrditi da li dužnik ima druge pokretne imovine u svom vlasništvu. Dužnik ima nepodmirenih obveza po osnovi javnih davanja u visini od 905.308,35 Kn i nepodmirenih obveza u visini od 2.828.326,35 Kn evidentiranih u Očevidniku redoslijeda osnova za plaćanje. Temeljem iznesenog razvidno je da je kod dužnika ostvaren stečajni razlog prezaduženosti iz čl. 7. Stečajnog zakona.</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Dužnik ima neprekidnu blokadu računa i novčanih sredstava u trajanju od 692 dana radi nepodmirenih obveza u visini od 2.828.326,35 Kn evidentiranih u Očevidniku redoslijeda osnova za plaćanje, čime je ostvaren stečajni razlog nesposobnosti za plaćanje iz čl. 6. Stečajnog zakona.</w:t>
      </w:r>
    </w:p>
    <w:p w:rsidRDefault="004C3A48" w:rsidR="004C3A48">
      <w:pPr>
        <w:jc w:val="both"/>
        <w:rPr>
          <w:rFonts w:cs="Tahoma" w:eastAsia="Lucida Sans Unicode"/>
          <w:spacing w:val="-3"/>
        </w:rPr>
      </w:pPr>
    </w:p>
    <w:p w:rsidRDefault="00155D6D" w:rsidR="004C3A48">
      <w:pPr>
        <w:jc w:val="both"/>
        <w:rPr>
          <w:rFonts w:cs="Tahoma" w:eastAsia="Lucida Sans Unicode"/>
          <w:spacing w:val="-3"/>
        </w:rPr>
      </w:pPr>
      <w:r>
        <w:rPr>
          <w:rFonts w:cs="Tahoma" w:eastAsia="Lucida Sans Unicode"/>
          <w:spacing w:val="-3"/>
        </w:rPr>
        <w:t>Predvidivi troškovi prethodnog i stečajnog postupka nad dužnikom iznose 17,197.50 kn a sastoje se od slijedećeg:</w:t>
      </w:r>
    </w:p>
    <w:p w:rsidRDefault="004C3A48" w:rsidR="004C3A48">
      <w:pPr>
        <w:jc w:val="both"/>
        <w:rPr>
          <w:rFonts w:cs="Tahoma" w:eastAsia="Lucida Sans Unicode"/>
          <w:spacing w:val="-3"/>
        </w:rPr>
      </w:pPr>
    </w:p>
    <w:tbl>
      <w:tblPr>
        <w:tblW w:type="auto" w:w="0"/>
        <w:tblInd w:type="dxa" w:w="24"/>
        <w:tblLayout w:type="fixed"/>
        <w:tblCellMar>
          <w:top w:type="dxa" w:w="55"/>
          <w:left w:type="dxa" w:w="55"/>
          <w:bottom w:type="dxa" w:w="55"/>
          <w:right w:type="dxa" w:w="55"/>
        </w:tblCellMar>
        <w:tblLook w:val="0000" w:noVBand="0" w:noHBand="0" w:lastColumn="0" w:firstColumn="0" w:lastRow="0" w:firstRow="0"/>
      </w:tblPr>
      <w:tblGrid>
        <w:gridCol w:w="7314"/>
        <w:gridCol w:w="1734"/>
      </w:tblGrid>
      <w:tr w:rsidR="004C3A48">
        <w:tc>
          <w:tcPr>
            <w:tcW w:type="dxa" w:w="7314"/>
            <w:tcBorders>
              <w:top w:space="0" w:sz="1" w:color="000000" w:val="single"/>
              <w:left w:space="0" w:sz="1" w:color="000000" w:val="single"/>
              <w:bottom w:space="0" w:sz="1" w:color="000000" w:val="single"/>
            </w:tcBorders>
            <w:shd w:fill="auto" w:color="auto" w:val="clear"/>
            <w:vAlign w:val="bottom"/>
          </w:tcPr>
          <w:p w:rsidRDefault="00155D6D" w:rsidR="004C3A48">
            <w:pPr>
              <w:autoSpaceDE w:val="false"/>
              <w:rPr>
                <w:b/>
                <w:bCs/>
              </w:rPr>
            </w:pPr>
            <w:r>
              <w:rPr>
                <w:b/>
                <w:bCs/>
              </w:rPr>
              <w:t>OPIS TROŠKOVA</w:t>
            </w:r>
          </w:p>
        </w:tc>
        <w:tc>
          <w:tcPr>
            <w:tcW w:type="dxa" w:w="1734"/>
            <w:tcBorders>
              <w:top w:space="0" w:sz="1" w:color="000000" w:val="single"/>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rPr>
                <w:b/>
                <w:bCs/>
              </w:rPr>
              <w:t>IZNOS</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pPr>
            <w:r>
              <w:t>Izrada pečata</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t>150.00 kn</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pPr>
            <w:r>
              <w:t>Trošak javnog bilježnika radi ovjere potpisa stečajnog upravitelja</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t>47.50 kn</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pPr>
            <w:r>
              <w:t>Otvaranje, održavanje i zatvaranje žiroračuna</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t>1,000.00 kn</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pPr>
            <w:r>
              <w:t>Arhiviranje poslovne dokumentacije</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t>2,000.00 kn</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pPr>
            <w:r>
              <w:t>Bruto nagrada privremenom stečajnom upravitelju</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t>3,000.00 kn</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pPr>
            <w:r>
              <w:t>Bruto nagrada stečajnom upravitelju</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t>3,000.00 kn</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pPr>
            <w:r>
              <w:t>Materijalni troškovi (poštarina, uredski materijal i sl.)</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t>500.00 kn</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pPr>
            <w:r>
              <w:t>Knjigovodstvene usluge za jednu godinu (12 x 625,00 kn)</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t>7,500.00 kn</w:t>
            </w:r>
          </w:p>
        </w:tc>
      </w:tr>
      <w:tr w:rsidR="004C3A48">
        <w:tc>
          <w:tcPr>
            <w:tcW w:type="dxa" w:w="7314"/>
            <w:tcBorders>
              <w:left w:space="0" w:sz="1" w:color="000000" w:val="single"/>
              <w:bottom w:space="0" w:sz="1" w:color="000000" w:val="single"/>
            </w:tcBorders>
            <w:shd w:fill="auto" w:color="auto" w:val="clear"/>
            <w:vAlign w:val="bottom"/>
          </w:tcPr>
          <w:p w:rsidRDefault="00155D6D" w:rsidR="004C3A48">
            <w:pPr>
              <w:autoSpaceDE w:val="false"/>
              <w:rPr>
                <w:b/>
                <w:bCs/>
              </w:rPr>
            </w:pPr>
            <w:r>
              <w:t>UKUPNO</w:t>
            </w:r>
          </w:p>
        </w:tc>
        <w:tc>
          <w:tcPr>
            <w:tcW w:type="dxa" w:w="1734"/>
            <w:tcBorders>
              <w:left w:space="0" w:sz="1" w:color="000000" w:val="single"/>
              <w:bottom w:space="0" w:sz="1" w:color="000000" w:val="single"/>
              <w:right w:space="0" w:sz="1" w:color="000000" w:val="single"/>
            </w:tcBorders>
            <w:shd w:fill="auto" w:color="auto" w:val="clear"/>
            <w:vAlign w:val="bottom"/>
          </w:tcPr>
          <w:p w:rsidRDefault="00155D6D" w:rsidR="004C3A48">
            <w:pPr>
              <w:autoSpaceDE w:val="false"/>
              <w:jc w:val="both"/>
            </w:pPr>
            <w:r>
              <w:rPr>
                <w:b/>
                <w:bCs/>
              </w:rPr>
              <w:t>17,197.50 kn</w:t>
            </w:r>
          </w:p>
        </w:tc>
      </w:tr>
    </w:tbl>
    <w:p w:rsidRDefault="004C3A48" w:rsidR="004C3A48">
      <w:pPr>
        <w:jc w:val="both"/>
        <w:rPr>
          <w:rFonts w:cs="Times New Roman" w:eastAsia="CourierNew"/>
          <w:color w:val="000000"/>
          <w:spacing w:val="-3"/>
        </w:rPr>
      </w:pPr>
    </w:p>
    <w:p w:rsidRDefault="00155D6D" w:rsidR="004C3A48">
      <w:pPr>
        <w:jc w:val="both"/>
        <w:rPr>
          <w:rFonts w:cs="Times New Roman" w:eastAsia="CourierNew"/>
          <w:color w:val="000000"/>
          <w:spacing w:val="-3"/>
        </w:rPr>
      </w:pPr>
      <w:r>
        <w:rPr>
          <w:rFonts w:cs="Times New Roman" w:eastAsia="CourierNew"/>
          <w:color w:val="000000"/>
          <w:spacing w:val="-3"/>
        </w:rPr>
        <w:t xml:space="preserve">S obzirom da nije izvjesno postojanje imovine iz koje bi se namirili troškovi stečajnog postupka nad dužnikom to se predlaže naslovnom sudu temeljem čl. 132. st. 1. Stečajnog zakona pozvati osobe koje imaju pravni interes da u roku od 15 dana predujme troškove prethodnog i stečajnog postupka u iznosu </w:t>
      </w:r>
      <w:r>
        <w:rPr>
          <w:rFonts w:cs="Tahoma" w:eastAsia="Lucida Sans Unicode"/>
          <w:color w:val="000000"/>
          <w:spacing w:val="-3"/>
        </w:rPr>
        <w:t>17,197.50 kn</w:t>
      </w:r>
      <w:r>
        <w:rPr>
          <w:rFonts w:cs="Times New Roman" w:eastAsia="CourierNew"/>
          <w:color w:val="000000"/>
          <w:spacing w:val="-3"/>
        </w:rPr>
        <w:t>, te ukoliko traženi predujam troškova ne bude uplaćen donijeti rješenje o istovremenom otvaranju i zaključenju stečajnom postupka nad dužnikom sukladno čl. 132. st. 2. Stečajnog zakona.</w:t>
      </w:r>
    </w:p>
    <w:p w:rsidRDefault="004C3A48" w:rsidR="004C3A48">
      <w:pPr>
        <w:jc w:val="both"/>
        <w:rPr>
          <w:rFonts w:cs="Times New Roman" w:eastAsia="CourierNew"/>
          <w:color w:val="000000"/>
          <w:spacing w:val="-3"/>
        </w:rPr>
      </w:pPr>
    </w:p>
    <w:p w:rsidRDefault="00155D6D" w:rsidR="004C3A48">
      <w:pPr>
        <w:jc w:val="both"/>
        <w:rPr>
          <w:rFonts w:cs="Times New Roman" w:eastAsia="CourierNew"/>
          <w:color w:val="000000"/>
          <w:spacing w:val="-3"/>
        </w:rPr>
      </w:pPr>
      <w:r>
        <w:rPr>
          <w:rFonts w:cs="Times New Roman" w:eastAsia="CourierNew"/>
          <w:color w:val="000000"/>
          <w:spacing w:val="-3"/>
        </w:rPr>
        <w:t>Prilog: - povijesni izvadak iz sudskog registra na ime dužnika,</w:t>
      </w:r>
    </w:p>
    <w:p w:rsidRDefault="00155D6D" w:rsidR="004C3A48">
      <w:pPr>
        <w:jc w:val="both"/>
        <w:rPr>
          <w:rFonts w:cs="Times New Roman" w:eastAsia="CourierNew"/>
          <w:color w:val="000000"/>
          <w:spacing w:val="-3"/>
        </w:rPr>
      </w:pPr>
      <w:r>
        <w:rPr>
          <w:rFonts w:cs="Times New Roman" w:eastAsia="CourierNew"/>
          <w:color w:val="000000"/>
          <w:spacing w:val="-3"/>
        </w:rPr>
        <w:tab/>
        <w:t>- ispis poziva zakonskom zastupniku dužika s preslikom povratnice,</w:t>
      </w:r>
    </w:p>
    <w:p w:rsidRDefault="00155D6D" w:rsidR="004C3A48">
      <w:pPr>
        <w:jc w:val="both"/>
        <w:rPr>
          <w:rFonts w:cs="Times New Roman" w:eastAsia="CourierNew"/>
          <w:color w:val="000000"/>
          <w:spacing w:val="-3"/>
        </w:rPr>
      </w:pPr>
      <w:r>
        <w:rPr>
          <w:rFonts w:cs="Times New Roman" w:eastAsia="CourierNew"/>
          <w:color w:val="000000"/>
          <w:spacing w:val="-3"/>
        </w:rPr>
        <w:tab/>
        <w:t>- ispis s portala insolvinfo.hr na ime dužnika,</w:t>
      </w:r>
    </w:p>
    <w:p w:rsidRDefault="00155D6D" w:rsidR="004C3A48">
      <w:pPr>
        <w:jc w:val="both"/>
        <w:rPr>
          <w:rFonts w:cs="Times New Roman" w:eastAsia="CourierNew"/>
          <w:color w:val="000000"/>
          <w:spacing w:val="-3"/>
        </w:rPr>
      </w:pPr>
      <w:r>
        <w:rPr>
          <w:rFonts w:cs="Times New Roman" w:eastAsia="CourierNew"/>
          <w:color w:val="000000"/>
          <w:spacing w:val="-3"/>
        </w:rPr>
        <w:tab/>
        <w:t>- obavijest Porezne uprave od 5. studenog 2018. g.,</w:t>
      </w:r>
    </w:p>
    <w:p w:rsidRDefault="00155D6D" w:rsidR="004C3A48">
      <w:pPr>
        <w:jc w:val="both"/>
        <w:rPr>
          <w:rFonts w:cs="Tahoma" w:eastAsia="Lucida Sans Unicode"/>
          <w:color w:val="000000"/>
          <w:spacing w:val="-3"/>
        </w:rPr>
      </w:pPr>
      <w:r>
        <w:rPr>
          <w:rFonts w:cs="Times New Roman" w:eastAsia="CourierNew"/>
          <w:color w:val="000000"/>
          <w:spacing w:val="-3"/>
        </w:rPr>
        <w:tab/>
        <w:t xml:space="preserve">- preslika </w:t>
      </w:r>
      <w:r>
        <w:rPr>
          <w:rFonts w:cs="Tahoma" w:eastAsia="Lucida Sans Unicode"/>
          <w:color w:val="000000"/>
          <w:spacing w:val="-3"/>
        </w:rPr>
        <w:t xml:space="preserve">sporazuma o raskidu ugovora o obavljanju knjigovodstvenih usluga od </w:t>
      </w:r>
    </w:p>
    <w:p w:rsidRDefault="00155D6D" w:rsidR="004C3A48">
      <w:pPr>
        <w:jc w:val="both"/>
        <w:rPr>
          <w:rFonts w:cs="Tahoma" w:eastAsia="Lucida Sans Unicode"/>
          <w:color w:val="000000"/>
          <w:spacing w:val="-3"/>
        </w:rPr>
      </w:pPr>
      <w:r>
        <w:rPr>
          <w:rFonts w:cs="Tahoma" w:eastAsia="Lucida Sans Unicode"/>
          <w:color w:val="000000"/>
          <w:spacing w:val="-3"/>
        </w:rPr>
        <w:lastRenderedPageBreak/>
        <w:tab/>
        <w:t xml:space="preserve">   27. prosinca 2016. g.,</w:t>
      </w:r>
    </w:p>
    <w:p w:rsidRDefault="00155D6D" w:rsidR="004C3A48">
      <w:pPr>
        <w:jc w:val="both"/>
        <w:rPr>
          <w:rFonts w:cs="Tahoma" w:eastAsia="Lucida Sans Unicode"/>
          <w:color w:val="000000"/>
          <w:spacing w:val="-3"/>
        </w:rPr>
      </w:pPr>
      <w:r>
        <w:rPr>
          <w:rFonts w:cs="Tahoma" w:eastAsia="Lucida Sans Unicode"/>
          <w:color w:val="000000"/>
          <w:spacing w:val="-3"/>
        </w:rPr>
        <w:tab/>
        <w:t>- potvrda HZMO od 19. listopada 2018. g.,</w:t>
      </w:r>
    </w:p>
    <w:p w:rsidRDefault="00155D6D" w:rsidR="004C3A48">
      <w:pPr>
        <w:jc w:val="both"/>
        <w:rPr>
          <w:rFonts w:cs="Tahoma" w:eastAsia="Lucida Sans Unicode"/>
          <w:color w:val="000000"/>
          <w:spacing w:val="-3"/>
        </w:rPr>
      </w:pPr>
      <w:r>
        <w:rPr>
          <w:rFonts w:cs="Tahoma" w:eastAsia="Lucida Sans Unicode"/>
          <w:color w:val="000000"/>
          <w:spacing w:val="-3"/>
        </w:rPr>
        <w:tab/>
        <w:t>- bilanca i račun dobiti i gubitka za 2015. g.,</w:t>
      </w:r>
    </w:p>
    <w:p w:rsidRDefault="00155D6D" w:rsidR="004C3A48">
      <w:pPr>
        <w:jc w:val="both"/>
        <w:rPr>
          <w:rFonts w:cs="Tahoma" w:eastAsia="Lucida Sans Unicode"/>
          <w:color w:val="000000"/>
          <w:spacing w:val="-3"/>
        </w:rPr>
      </w:pPr>
      <w:r>
        <w:rPr>
          <w:rFonts w:cs="Tahoma" w:eastAsia="Lucida Sans Unicode"/>
          <w:color w:val="000000"/>
          <w:spacing w:val="-3"/>
        </w:rPr>
        <w:tab/>
        <w:t>- bilješke uz financijska izvješća za 2008. g.,</w:t>
      </w:r>
    </w:p>
    <w:p w:rsidRDefault="00155D6D" w:rsidR="004C3A48">
      <w:pPr>
        <w:jc w:val="both"/>
        <w:rPr>
          <w:rFonts w:cs="Tahoma" w:eastAsia="Lucida Sans Unicode"/>
          <w:spacing w:val="-3"/>
        </w:rPr>
      </w:pPr>
      <w:r>
        <w:rPr>
          <w:rFonts w:cs="Tahoma" w:eastAsia="Lucida Sans Unicode"/>
          <w:color w:val="000000"/>
          <w:spacing w:val="-3"/>
        </w:rPr>
        <w:tab/>
        <w:t xml:space="preserve">- uvjerenju Državne geodetske uprave od 24. listopada 2018. g. </w:t>
      </w:r>
    </w:p>
    <w:p w:rsidRDefault="00155D6D" w:rsidR="004C3A48">
      <w:pPr>
        <w:jc w:val="both"/>
        <w:rPr>
          <w:rFonts w:cs="Tahoma" w:eastAsia="Lucida Sans Unicode"/>
          <w:spacing w:val="-3"/>
        </w:rPr>
      </w:pPr>
      <w:r>
        <w:rPr>
          <w:rFonts w:cs="Tahoma" w:eastAsia="Lucida Sans Unicode"/>
          <w:spacing w:val="-3"/>
        </w:rPr>
        <w:tab/>
        <w:t xml:space="preserve">- uvjerenje Centra za vozila Hrvatske od 25. listopada 2018. g. </w:t>
      </w:r>
    </w:p>
    <w:p w:rsidRDefault="00155D6D" w:rsidR="004C3A48">
      <w:pPr>
        <w:jc w:val="both"/>
        <w:rPr>
          <w:rFonts w:cs="Tahoma" w:eastAsia="Lucida Sans Unicode"/>
          <w:color w:val="000000"/>
          <w:spacing w:val="-3"/>
        </w:rPr>
      </w:pPr>
      <w:r>
        <w:rPr>
          <w:rFonts w:cs="Tahoma" w:eastAsia="Lucida Sans Unicode"/>
          <w:spacing w:val="-3"/>
        </w:rPr>
        <w:tab/>
        <w:t>- stanje računa poreznog obveznika na dan 5. studenog 2018. g.,</w:t>
      </w:r>
    </w:p>
    <w:p w:rsidRDefault="00155D6D" w:rsidR="004C3A48">
      <w:pPr>
        <w:jc w:val="both"/>
        <w:rPr>
          <w:rFonts w:cs="Tahoma" w:eastAsia="Lucida Sans Unicode"/>
          <w:spacing w:val="-3"/>
        </w:rPr>
      </w:pPr>
      <w:r>
        <w:rPr>
          <w:rFonts w:cs="Tahoma" w:eastAsia="Lucida Sans Unicode"/>
          <w:color w:val="000000"/>
          <w:spacing w:val="-3"/>
        </w:rPr>
        <w:tab/>
        <w:t xml:space="preserve">- potvrda Financijske agencije od 30. listopad 2018. g. </w:t>
      </w:r>
    </w:p>
    <w:p w:rsidRDefault="004C3A48" w:rsidR="004C3A48">
      <w:pPr>
        <w:jc w:val="both"/>
        <w:rPr>
          <w:rFonts w:cs="Tahoma" w:eastAsia="Lucida Sans Unicode"/>
          <w:spacing w:val="-3"/>
        </w:rPr>
      </w:pPr>
    </w:p>
    <w:p w:rsidRDefault="004C3A48" w:rsidR="004C3A48">
      <w:pPr>
        <w:jc w:val="both"/>
        <w:rPr>
          <w:rFonts w:cs="Tahoma" w:eastAsia="Lucida Sans Unicode"/>
          <w:spacing w:val="-3"/>
        </w:rPr>
      </w:pPr>
    </w:p>
    <w:p w:rsidRDefault="00155D6D" w:rsidR="004C3A48">
      <w:pPr>
        <w:jc w:val="center"/>
        <w:rPr>
          <w:rFonts w:cs="Tahoma" w:eastAsia="Lucida Sans Unicode"/>
          <w:spacing w:val="-3"/>
        </w:rPr>
      </w:pPr>
      <w:r>
        <w:rPr>
          <w:rFonts w:cs="Tahoma" w:eastAsia="Lucida Sans Unicode"/>
          <w:spacing w:val="-3"/>
        </w:rPr>
        <w:t>U Osijeku, 19. listopada 2018. g.</w:t>
      </w:r>
    </w:p>
    <w:p w:rsidRDefault="004C3A48" w:rsidR="004C3A48">
      <w:pPr>
        <w:jc w:val="center"/>
        <w:rPr>
          <w:rFonts w:cs="Tahoma" w:eastAsia="Lucida Sans Unicode"/>
          <w:spacing w:val="-3"/>
        </w:rPr>
      </w:pPr>
    </w:p>
    <w:p w:rsidRDefault="00155D6D" w:rsidR="004C3A48">
      <w:pPr>
        <w:jc w:val="right"/>
      </w:pPr>
      <w:r>
        <w:rPr>
          <w:rFonts w:cs="Tahoma" w:eastAsia="Lucida Sans Unicode"/>
          <w:spacing w:val="-3"/>
        </w:rPr>
        <w:t>Ivana Kalkan, privremena stečajna upraviteljica</w:t>
      </w:r>
    </w:p>
    <w:sectPr w:rsidR="004C3A48">
      <w:pgSz w:h="16838" w:w="11906"/>
      <w:pgMar w:gutter="0" w:footer="720" w:header="720" w:left="1417" w:bottom="1417" w:right="1417" w:top="1417"/>
      <w:cols w:space="720"/>
      <w:docGrid w:charSpace="32768"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EE"/>
    <w:family w:val="swiss"/>
    <w:pitch w:val="variable"/>
    <w:sig w:csb1="00000000" w:csb0="000101FF" w:usb3="00000000" w:usb2="00000029" w:usb1="C000605B" w:usb0="E1002EFF"/>
  </w:font>
  <w:font w:name="MetaSerifPro-Book">
    <w:charset w:val="00"/>
    <w:family w:val="roman"/>
    <w:pitch w:val="default"/>
  </w:font>
  <w:font w:name="SignaPro-CondBook">
    <w:charset w:val="00"/>
    <w:family w:val="auto"/>
    <w:pitch w:val="default"/>
  </w:font>
  <w:font w:name="CourierNew">
    <w:charset w:val="EE"/>
    <w:family w:val="modern"/>
    <w:pitch w:val="default"/>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rPr>
        <w:rFonts w:cs="Times New Roman" w:hAnsi="Times New Roman" w:ascii="Times New Roman"/>
        <w:lang w:val="hr-HR"/>
      </w:rPr>
    </w:lvl>
    <w:lvl w:ilvl="1">
      <w:start w:val="1"/>
      <w:numFmt w:val="decimal"/>
      <w:lvlText w:val="%2."/>
      <w:lvlJc w:val="left"/>
      <w:pPr>
        <w:tabs>
          <w:tab w:pos="1080" w:val="num"/>
        </w:tabs>
        <w:ind w:hanging="360" w:left="1080"/>
      </w:pPr>
      <w:rPr>
        <w:rFonts w:cs="Courier New" w:hAnsi="Courier New" w:ascii="Courier New" w:hint="default"/>
      </w:rPr>
    </w:lvl>
    <w:lvl w:ilvl="2">
      <w:start w:val="1"/>
      <w:numFmt w:val="decimal"/>
      <w:lvlText w:val="%3."/>
      <w:lvlJc w:val="left"/>
      <w:pPr>
        <w:tabs>
          <w:tab w:pos="1440" w:val="num"/>
        </w:tabs>
        <w:ind w:hanging="360" w:left="1440"/>
      </w:pPr>
      <w:rPr>
        <w:rFonts w:cs="Wingdings" w:hAnsi="Wingdings" w:ascii="Wingdings" w:hint="default"/>
      </w:rPr>
    </w:lvl>
    <w:lvl w:ilvl="3">
      <w:start w:val="1"/>
      <w:numFmt w:val="decimal"/>
      <w:lvlText w:val="%4."/>
      <w:lvlJc w:val="left"/>
      <w:pPr>
        <w:tabs>
          <w:tab w:pos="1800" w:val="num"/>
        </w:tabs>
        <w:ind w:hanging="360" w:left="1800"/>
      </w:pPr>
      <w:rPr>
        <w:rFonts w:cs="Symbol" w:hAnsi="Symbol" w:ascii="Symbol" w:hint="default"/>
      </w:r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2"/>
    <w:multiLevelType w:val="multilevel"/>
    <w:tmpl w:val="00000002"/>
    <w:name w:val="WW8Num2"/>
    <w:lvl w:ilvl="0">
      <w:start w:val="2"/>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3">
    <w:nsid w:val="00000004"/>
    <w:multiLevelType w:val="multilevel"/>
    <w:tmpl w:val="00000004"/>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5"/>
    <w:multiLevelType w:val="multilevel"/>
    <w:tmpl w:val="00000005"/>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NotTrackMove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55D6D"/>
    <w:rsid w:val="00155D6D"/>
    <w:rsid w:val="004C3A48"/>
    <w:rsid w:val="00A609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colormenu v:ext="edit" shadowcolor="none [2]" fillcolor="none [4]" strokecolor="none [1]"/>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spacing w:lineRule="atLeast" w:line="100"/>
    </w:pPr>
    <w:rPr>
      <w:rFonts w:cs="Mangal" w:eastAsia="SimSun"/>
      <w:kern w:val="1"/>
      <w:sz w:val="24"/>
      <w:szCs w:val="24"/>
      <w:lang w:bidi="hi-IN" w:eastAsia="hi-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lang w:val="hr-HR"/>
    </w:rPr>
  </w:style>
  <w:style w:customStyle="true" w:styleId="WW8Num1z1" w:type="character">
    <w:name w:val="WW8Num1z1"/>
    <w:rPr>
      <w:rFonts w:cs="Courier New" w:hAnsi="Courier New" w:ascii="Courier New" w:hint="default"/>
    </w:rPr>
  </w:style>
  <w:style w:customStyle="true" w:styleId="WW8Num1z2" w:type="character">
    <w:name w:val="WW8Num1z2"/>
    <w:rPr>
      <w:rFonts w:cs="Wingdings" w:hAnsi="Wingdings" w:ascii="Wingdings" w:hint="default"/>
    </w:rPr>
  </w:style>
  <w:style w:customStyle="true" w:styleId="WW8Num1z3" w:type="character">
    <w:name w:val="WW8Num1z3"/>
    <w:rPr>
      <w:rFonts w:cs="Symbol" w:hAnsi="Symbol" w:ascii="Symbol" w:hint="default"/>
    </w:rPr>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0" w:type="character">
    <w:name w:val="WW8Num3z0"/>
    <w:rPr>
      <w:rFonts w:cs="OpenSymbol" w:hAnsi="Symbol" w:ascii="Symbol"/>
    </w:rPr>
  </w:style>
  <w:style w:customStyle="true" w:styleId="WW8Num4z0" w:type="character">
    <w:name w:val="WW8Num4z0"/>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Zadanifontodlomka1" w:type="character">
    <w:name w:val="Zadani font odlomka1"/>
  </w:style>
  <w:style w:customStyle="true" w:styleId="WW-DefaultParagraphFont" w:type="character">
    <w:name w:val="WW-Default Paragraph Font"/>
  </w:style>
  <w:style w:styleId="Hiperveza" w:type="character">
    <w:name w:val="Hyperlink"/>
    <w:rPr>
      <w:color w:val="000080"/>
      <w:u w:val="single"/>
    </w:rPr>
  </w:style>
  <w:style w:customStyle="true" w:styleId="NumberingSymbols" w:type="character">
    <w:name w:val="Numbering Symbols"/>
  </w:style>
  <w:style w:customStyle="true" w:styleId="Bullets" w:type="character">
    <w:name w:val="Bullets"/>
    <w:rPr>
      <w:rFonts w:cs="OpenSymbol" w:eastAsia="OpenSymbol" w:hAnsi="OpenSymbol" w:ascii="OpenSymbol"/>
    </w:rPr>
  </w:style>
  <w:style w:customStyle="true" w:styleId="Heading" w:type="paragraph">
    <w:name w:val="Heading"/>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customStyle="true" w:styleId="Opisslike1" w:type="paragraph">
    <w:name w:val="Opis slike1"/>
    <w:basedOn w:val="Normal"/>
    <w:pPr>
      <w:suppressLineNumbers/>
      <w:spacing w:after="120" w:before="120"/>
    </w:pPr>
    <w:rPr>
      <w:i/>
      <w:iCs/>
    </w:rPr>
  </w:style>
  <w:style w:customStyle="true" w:styleId="Index" w:type="paragraph">
    <w:name w:val="Index"/>
    <w:basedOn w:val="Normal"/>
    <w:pPr>
      <w:suppressLineNumbers/>
    </w:pPr>
  </w:style>
  <w:style w:customStyle="true" w:styleId="Odlomakpopisa1" w:type="paragraph">
    <w:name w:val="Odlomak popisa1"/>
    <w:basedOn w:val="Normal"/>
    <w:pPr>
      <w:ind w:left="720"/>
    </w:pPr>
    <w:rPr>
      <w:szCs w:val="21"/>
    </w:rPr>
  </w:style>
  <w:style w:customStyle="true" w:styleId="Standard" w:type="paragraph">
    <w:name w:val="Standard"/>
    <w:pPr>
      <w:widowControl w:val="false"/>
      <w:suppressAutoHyphens/>
      <w:textAlignment w:val="baseline"/>
    </w:pPr>
    <w:rPr>
      <w:rFonts w:cs="Mangal" w:eastAsia="SimSun"/>
      <w:kern w:val="1"/>
      <w:sz w:val="24"/>
      <w:szCs w:val="24"/>
      <w:lang w:bidi="hi-IN" w:eastAsia="hi-IN" w:val="en-US"/>
    </w:r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A60922"/>
    <w:rPr>
      <w:color w:val="808080"/>
      <w:bdr w:space="0" w:sz="0" w:color="auto" w:val="none"/>
      <w:shd w:fill="auto" w:color="auto" w:val="clear"/>
    </w:rPr>
  </w:style>
  <w:style w:customStyle="true" w:styleId="eSPISCCParagraphDefaultFont" w:type="character">
    <w:name w:val="eSPIS_CC_Paragraph Default Font"/>
    <w:basedOn w:val="Zadanifontodlomka"/>
    <w:rsid w:val="00A60922"/>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A60922"/>
    <w:rPr>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A60922"/>
    <w:rPr>
      <w:rFonts w:cs="Times New Roman" w:hAnsi="Times New Roman" w:ascii="Times New Roman"/>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A60922"/>
    <w:rPr>
      <w:rFonts w:cs="Times New Roman" w:hAnsi="Times New Roman" w:ascii="Times New Roman"/>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pixelsPerInch w:val="120"/>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dvjetnica.ivana.kalk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1799</properties:Words>
  <properties:Characters>10413</properties:Characters>
  <properties:Lines>292</properties:Lines>
  <properties:Paragraphs>144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2018-11-20T08:06:00Z</dcterms:created>
  <dc:creator>Rudolf Kalkan</dc:creator>
  <cp:lastModifiedBy>Snježana Andrijanić</cp:lastModifiedBy>
  <cp:lastPrinted>2018-11-19T11:28:00Z</cp:lastPrinted>
  <dcterms:modified xmlns:xsi="http://www.w3.org/2001/XMLSchema-instance" xsi:type="dcterms:W3CDTF">2018-11-20T08:43:00Z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16.0000</vt:lpwstr>
  </prop:property>
  <prop:property name="DocSecurity" pid="3" fmtid="{D5CDD505-2E9C-101B-9397-08002B2CF9AE}">
    <vt:r8>0.0</vt:r8>
  </prop:property>
  <prop:property name="HyperlinksChanged" pid="4" fmtid="{D5CDD505-2E9C-101B-9397-08002B2CF9AE}">
    <vt:bool>false</vt:bool>
  </prop:property>
  <prop:property name="LinksUpToDate" pid="5" fmtid="{D5CDD505-2E9C-101B-9397-08002B2CF9AE}">
    <vt:bool>false</vt:bool>
  </prop:property>
  <prop:property name="ScaleCrop" pid="6" fmtid="{D5CDD505-2E9C-101B-9397-08002B2CF9AE}">
    <vt:bool>false</vt:bool>
  </prop:property>
  <prop:property name="ShareDoc" pid="7" fmtid="{D5CDD505-2E9C-101B-9397-08002B2CF9AE}">
    <vt:bool>false</vt:bool>
  </prop:property>
  <prop:property name="Saved" pid="8" fmtid="{D5CDD505-2E9C-101B-9397-08002B2CF9AE}">
    <vt:bool>true</vt:bool>
  </prop:property>
  <prop:property name="Naslov" pid="9" fmtid="{D5CDD505-2E9C-101B-9397-08002B2CF9AE}">
    <vt:lpwstr>St-626/2018-8 / Podnesak - Izvješće stečajnog upravitelja (Kolači i sladoledi - Milenijum d.o.o. - izvješće privremene stečajne upraviteljice.docx)</vt:lpwstr>
  </prop:property>
  <prop:property name="CC_coloring" pid="10" fmtid="{D5CDD505-2E9C-101B-9397-08002B2CF9AE}">
    <vt:bool>false</vt:bool>
  </prop:property>
  <prop:property name="BrojStranica" pid="11" fmtid="{D5CDD505-2E9C-101B-9397-08002B2CF9AE}">
    <vt:i4>6</vt:i4>
  </prop:property>
</prop:Properties>
</file>