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c95cb" w14:paraId="d3c95cb"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2E15C4" w:rsidP="002E15C4" w:rsidR="002E15C4">
      <w:pPr>
        <w:spacing w:after="0"/>
        <w:jc w:val="both"/>
      </w:pPr>
    </w:p>
    <w:p w:rsidRDefault="002E15C4" w:rsidP="002E15C4" w:rsidR="002E15C4">
      <w:pPr>
        <w:spacing w:after="0"/>
        <w:jc w:val="both"/>
      </w:pPr>
    </w:p>
    <w:p w:rsidRDefault="002E15C4" w:rsidP="002E15C4" w:rsidR="002E15C4">
      <w:pPr>
        <w:spacing w:after="0"/>
        <w:jc w:val="both"/>
      </w:pPr>
    </w:p>
    <w:p w:rsidRDefault="002E15C4" w:rsidP="002E15C4" w:rsidR="002E15C4">
      <w:pPr>
        <w:spacing w:after="0"/>
        <w:jc w:val="both"/>
      </w:pPr>
    </w:p>
    <w:p w:rsidRDefault="002E15C4" w:rsidP="002E15C4" w:rsidR="002E15C4">
      <w:pPr>
        <w:spacing w:after="0"/>
        <w:jc w:val="both"/>
      </w:pPr>
      <w:r>
        <w:t xml:space="preserve"> </w:t>
      </w:r>
    </w:p>
    <w:p w:rsidRDefault="002E15C4" w:rsidP="002E15C4" w:rsidR="002E15C4">
      <w:pPr>
        <w:spacing w:after="0"/>
        <w:jc w:val="both"/>
      </w:pPr>
    </w:p>
    <w:p w:rsidRDefault="002E15C4" w:rsidP="002E15C4" w:rsidR="002E15C4">
      <w:pPr>
        <w:spacing w:after="0"/>
        <w:jc w:val="both"/>
      </w:pPr>
    </w:p>
    <w:p w:rsidRDefault="002E15C4" w:rsidP="002E15C4" w:rsidR="002E15C4">
      <w:pPr>
        <w:spacing w:after="0"/>
        <w:jc w:val="center"/>
      </w:pPr>
      <w:r>
        <w:t>U   I M E   R E P U B L I K E   H R V A T S K E</w:t>
      </w:r>
    </w:p>
    <w:p w:rsidRDefault="002E15C4" w:rsidP="002E15C4" w:rsidR="002E15C4">
      <w:pPr>
        <w:spacing w:after="0"/>
        <w:jc w:val="center"/>
      </w:pPr>
    </w:p>
    <w:p w:rsidRDefault="002E15C4" w:rsidP="002E15C4" w:rsidR="002E15C4">
      <w:pPr>
        <w:spacing w:after="0"/>
        <w:jc w:val="center"/>
      </w:pPr>
      <w:r>
        <w:t>R J E Š E NJ E</w:t>
      </w:r>
    </w:p>
    <w:p w:rsidRDefault="002E15C4" w:rsidP="002E15C4" w:rsidR="002E15C4">
      <w:pPr>
        <w:spacing w:after="0"/>
        <w:jc w:val="both"/>
      </w:pPr>
    </w:p>
    <w:p w:rsidRDefault="002E15C4" w:rsidP="002E15C4" w:rsidR="002E15C4">
      <w:pPr>
        <w:spacing w:after="0"/>
        <w:jc w:val="both"/>
      </w:pPr>
    </w:p>
    <w:p w:rsidRDefault="002E15C4" w:rsidP="002E15C4" w:rsidR="002E15C4">
      <w:pPr>
        <w:spacing w:after="0"/>
        <w:jc w:val="both"/>
      </w:pPr>
      <w:r>
        <w:tab/>
        <w:t xml:space="preserve">Visoki trgovački sud Republike Hrvatske, u vijeću sastavljenom od sudaca Mirte Matić, predsjednice vijeća, Branke Šabarić Zovko, suca izvjestitelja i Draženke Deladio, člana vijeća, u predstečajnom postupku nad dužnikom VS GRADNJA d.o.o. za građevinarstvo, trgovinu i posredovanje, Slatina, Nikole Šubića Zrinskog 28, OIB 16640403502, odlučujući o žalbi vjerovnika TRGOCENTAR d.d., OIB 17649565367, Virovitica, kojeg zastupa punomoćnica Ana Petrić, odvjetnica iz Odvjetničkog društva Petrić i drugi, d.o.o., Virovitica; i REPUBLIKA HRVATSKA, Ministarstvo financija, Porezna uprava, Područni ured Virovitica, kojeg zastupa Županijsko državno odvjetništvo u Bjelovaru, protiv rješenja Trgovačkog suda u Bjelovaru poslovni broj St-240/2017-95 od 16. svibnja 2018., u sjednici vijeća održanoj 20. lipnja 2018. </w:t>
      </w:r>
    </w:p>
    <w:p w:rsidRDefault="002E15C4" w:rsidP="002E15C4" w:rsidR="002E15C4">
      <w:pPr>
        <w:spacing w:after="0"/>
        <w:jc w:val="both"/>
      </w:pPr>
    </w:p>
    <w:p w:rsidRDefault="002E15C4" w:rsidP="002E15C4" w:rsidR="002E15C4">
      <w:pPr>
        <w:spacing w:after="0"/>
        <w:jc w:val="center"/>
      </w:pPr>
      <w:r>
        <w:t>r i j e š i o   j e</w:t>
      </w:r>
    </w:p>
    <w:p w:rsidRDefault="002E15C4" w:rsidP="002E15C4" w:rsidR="002E15C4">
      <w:pPr>
        <w:spacing w:after="0"/>
        <w:jc w:val="both"/>
      </w:pPr>
    </w:p>
    <w:p w:rsidRDefault="002E15C4" w:rsidP="002E15C4" w:rsidR="002E15C4">
      <w:pPr>
        <w:spacing w:after="0"/>
        <w:jc w:val="both"/>
      </w:pPr>
      <w:r>
        <w:tab/>
        <w:t xml:space="preserve">Odbijaju se kao neosnovane žalbe vjerovnika Republika Hrvatska, Ministarstvo financija, Porezna uprava, Područni ured Virovitica i vjerovnika Trgocentar d.d. Virovitica i potvrđuje rješenje Trgovačkog suda u Bjelovaru poslovni broj St-240/2017-95 od 16. svibnja 2018. </w:t>
      </w:r>
    </w:p>
    <w:p w:rsidRDefault="002E15C4" w:rsidP="002E15C4" w:rsidR="002E15C4">
      <w:pPr>
        <w:spacing w:after="0"/>
        <w:jc w:val="both"/>
      </w:pPr>
    </w:p>
    <w:p w:rsidRDefault="002E15C4" w:rsidP="002E15C4" w:rsidR="002E15C4">
      <w:pPr>
        <w:spacing w:after="0"/>
        <w:jc w:val="center"/>
      </w:pPr>
      <w:r>
        <w:t>Obrazloženje</w:t>
      </w:r>
    </w:p>
    <w:p w:rsidRDefault="002E15C4" w:rsidP="002E15C4" w:rsidR="002E15C4">
      <w:pPr>
        <w:spacing w:after="0"/>
        <w:jc w:val="both"/>
      </w:pPr>
    </w:p>
    <w:p w:rsidRDefault="002E15C4" w:rsidP="002E15C4" w:rsidR="002E15C4">
      <w:pPr>
        <w:spacing w:after="0"/>
        <w:jc w:val="both"/>
      </w:pPr>
      <w:r>
        <w:tab/>
        <w:t>Pobijanim u izreci označenim rješenjem odlučeno je:</w:t>
      </w:r>
    </w:p>
    <w:p w:rsidRDefault="002E15C4" w:rsidP="002E15C4" w:rsidR="002E15C4">
      <w:pPr>
        <w:spacing w:after="0"/>
        <w:jc w:val="both"/>
      </w:pPr>
      <w:r>
        <w:tab/>
        <w:t xml:space="preserve">„1. U predstečajnom postupku nad dužnikom VS GRADNJA d.o.o. iz Slatine, povjerenik Branko Valentić iz Virovitice, Ferde Rusana 100, OIB 85378232573, prestaje obavljati dužnost dosadašnjeg povjerenika slijedom čega se razrješava dužnosti dosadašnjeg povjerenika u ovom predstečajnom postupku nad dužnikom VS GRADNJA d.o.o. za građevinarstvo, trgovinu i posredovanje iz Slatine, Nikole Šubića Zrinskog 28. </w:t>
      </w:r>
    </w:p>
    <w:p w:rsidRDefault="002E15C4" w:rsidP="002E15C4" w:rsidR="002E15C4">
      <w:pPr>
        <w:spacing w:after="0"/>
        <w:jc w:val="both"/>
      </w:pPr>
      <w:r>
        <w:tab/>
        <w:t xml:space="preserve">2. Za novog povjerenika u predstečajnom postupku nad dužnikom VS GRADNJA d.o.o. iz Slatine imenuje se Paula Čandrlić Mesarić iz Osijeka, Zagrebačka 6, OIB 89394772015.  </w:t>
      </w:r>
    </w:p>
    <w:p w:rsidRDefault="002E15C4" w:rsidP="002E15C4" w:rsidR="002E15C4">
      <w:pPr>
        <w:spacing w:after="0"/>
        <w:jc w:val="both"/>
      </w:pPr>
      <w:r>
        <w:tab/>
        <w:t xml:space="preserve">3. Dosadašnji povjerenik Branko Valentić dužan je predati svoje dužnosti novom povjereniku  Pauli Čandrlić Mesarić iz Osijeka, Zagrebačka 6, OIB 89394772015, u roku od 3 dana, te o tome dostaviti ovom sudu zapisnik o izvršenoj primopredaji dužnosti povjerenika u predstečajnom postupku nad dužnikom VS GRADNJA d.o.o. iz Slatine. </w:t>
      </w:r>
    </w:p>
    <w:p w:rsidRDefault="002E15C4" w:rsidP="002E15C4" w:rsidR="002E15C4">
      <w:pPr>
        <w:spacing w:after="0"/>
        <w:jc w:val="both"/>
      </w:pPr>
      <w:r>
        <w:lastRenderedPageBreak/>
        <w:tab/>
        <w:t xml:space="preserve">4. Nalaže se Trgovačkom sudu u Bjelovaru da nakon pravomoćnosti ovog rješenja izvrši u svom registru upis promjene povjerenika u predstečajnom postupku koji se vodi nad </w:t>
      </w:r>
    </w:p>
    <w:p w:rsidRDefault="002E15C4" w:rsidP="002E15C4" w:rsidR="002E15C4">
      <w:pPr>
        <w:spacing w:after="0"/>
        <w:jc w:val="both"/>
      </w:pPr>
      <w:r>
        <w:t>dužnikom VS GRADNJA d.o.o. iz Slatine na način da upiše novo imenovanog povjerenika Paulu Čandrlić Mesarić iz Osijeka, Zagrebačka 6, OIB 89394772015 u ovom predstečajnom postupku, te da izvrši brisanje dosadašnjeg povjerenika Branka Valentić u ovom postupku predstečajne nagodbe koji se vodi nad dužnikom VS GRADNJA d.o.o. iz Slatine.“</w:t>
      </w:r>
    </w:p>
    <w:p w:rsidRDefault="002E15C4" w:rsidP="002E15C4" w:rsidR="002E15C4">
      <w:pPr>
        <w:spacing w:after="0"/>
        <w:jc w:val="both"/>
      </w:pPr>
    </w:p>
    <w:p w:rsidRDefault="002E15C4" w:rsidP="002E15C4" w:rsidR="002E15C4">
      <w:pPr>
        <w:spacing w:after="0"/>
        <w:jc w:val="both"/>
      </w:pPr>
      <w:r>
        <w:tab/>
        <w:t xml:space="preserve">Tako je odlučio prvostupanjski sud sukladno odredbama čl. 23. st. 2., čl. 105., čl. 106. te čl. 84. Stečajnog zakona („Narodne novine“ broj 71/15 i 104/17; dalje: SZ). </w:t>
      </w:r>
    </w:p>
    <w:p w:rsidRDefault="002E15C4" w:rsidP="002E15C4" w:rsidR="002E15C4">
      <w:pPr>
        <w:spacing w:after="0"/>
        <w:jc w:val="both"/>
      </w:pPr>
    </w:p>
    <w:p w:rsidRDefault="002E15C4" w:rsidP="002E15C4" w:rsidR="002E15C4">
      <w:pPr>
        <w:spacing w:after="0"/>
        <w:jc w:val="both"/>
      </w:pPr>
      <w:r>
        <w:tab/>
        <w:t>Protiv tog rješenja, žalbe su podnijeli stečajni vjerovnici Trgocentar d.d.,Virovitica i Republika Hrvatska, Ministarstvo financija, Porezna uprava, Područni ured Virovitica, zbog pogrešno utvrđenog činjeničnog stanja i pogrešne primjene materijalnog prava. Predlažu ovome sudu rješenje ukinuti i vratiti predmet prvostupanjskom sud na ponovan postupak.</w:t>
      </w:r>
    </w:p>
    <w:p w:rsidRDefault="002E15C4" w:rsidP="002E15C4" w:rsidR="002E15C4">
      <w:pPr>
        <w:spacing w:after="0"/>
        <w:jc w:val="both"/>
      </w:pPr>
    </w:p>
    <w:p w:rsidRDefault="002E15C4" w:rsidP="002E15C4" w:rsidR="002E15C4">
      <w:pPr>
        <w:spacing w:after="0"/>
        <w:jc w:val="both"/>
      </w:pPr>
      <w:r>
        <w:tab/>
        <w:t>Vjerovnik Republika Hrvatska, Ministarstvo financija, Porezna uprava, Područni ured Virovitica u žalbi u bitnom navodi da je sud pogrešno primijenio materijalno pravo prema odredbama čl. 105. i čl. 106. SZ-a, koje se odnose na skupštinu vjerovnika, koje kao tijelo stečajnog postupak ne egzistira u predstečajnom postupku, pri čemu se pozvao na odluku Visokog trgovačkog suda Republike Hrvatske poslovni broj Pž-7365/2017 od 13. prosinca 2017. Nadalje, navodi da je pobijano rješenje nezakonito iz razloga što je prvostupanjski sud u obzir uzeo glasove vjerovnika kojima pravo glasa ne pripada, budući da su predmetne zadužnice izdane tek nakon podnošenja prijedloga za otvaranje predstečajnog postupka.</w:t>
      </w:r>
    </w:p>
    <w:p w:rsidRDefault="002E15C4" w:rsidP="002E15C4" w:rsidR="002E15C4">
      <w:pPr>
        <w:spacing w:after="0"/>
        <w:jc w:val="both"/>
      </w:pPr>
    </w:p>
    <w:p w:rsidRDefault="002E15C4" w:rsidP="002E15C4" w:rsidR="002E15C4">
      <w:pPr>
        <w:spacing w:after="0"/>
        <w:jc w:val="both"/>
      </w:pPr>
      <w:r>
        <w:tab/>
        <w:t>Vjerovnik Trgocentar d.d. u bitnome navodi da je pobijano rješenje doneseno u suprotnosti s prisilnim propisima Stečajnog zakona, jer odluku o razrješenju povjerenika u predstečajnom postupku donosi isključivo sud, a ne vjerovnici.</w:t>
      </w:r>
    </w:p>
    <w:p w:rsidRDefault="002E15C4" w:rsidP="002E15C4" w:rsidR="002E15C4">
      <w:pPr>
        <w:spacing w:after="0"/>
        <w:jc w:val="both"/>
      </w:pPr>
      <w:r>
        <w:tab/>
      </w:r>
    </w:p>
    <w:p w:rsidRDefault="002E15C4" w:rsidP="002E15C4" w:rsidR="002E15C4">
      <w:pPr>
        <w:spacing w:after="0"/>
        <w:jc w:val="both"/>
      </w:pPr>
      <w:r>
        <w:tab/>
        <w:t>Odgovor na žalbe nije podnesen.</w:t>
      </w:r>
    </w:p>
    <w:p w:rsidRDefault="002E15C4" w:rsidP="002E15C4" w:rsidR="002E15C4">
      <w:pPr>
        <w:spacing w:after="0"/>
        <w:jc w:val="both"/>
      </w:pPr>
    </w:p>
    <w:p w:rsidRDefault="002E15C4" w:rsidP="002E15C4" w:rsidR="002E15C4">
      <w:pPr>
        <w:spacing w:after="0"/>
        <w:jc w:val="both"/>
      </w:pPr>
      <w:r>
        <w:tab/>
        <w:t>Žalbe nisu osnovane.</w:t>
      </w:r>
    </w:p>
    <w:p w:rsidRDefault="002E15C4" w:rsidP="002E15C4" w:rsidR="002E15C4">
      <w:pPr>
        <w:spacing w:after="0"/>
        <w:jc w:val="both"/>
      </w:pPr>
    </w:p>
    <w:p w:rsidRDefault="002E15C4" w:rsidP="002E15C4" w:rsidR="002E15C4">
      <w:pPr>
        <w:spacing w:after="0"/>
        <w:jc w:val="both"/>
      </w:pPr>
      <w:r>
        <w:tab/>
        <w:t xml:space="preserve">Ispitavši pobijano rješenje sukladno odredbama čl. 381. i čl. 365. st. 2. Zakona o parničnom postupku („Narodne novine“ broj: 53/91, 91/92, 112/99, 88/01, 117/03, 88/05, 2/07, 84/08, 96/08, 123/08, 57/11, 148/11-pročišćeni tekst, 25/13, 28/13 i 89/14; dalje: ZPP) u vezi s čl. 10. SZ-a, u granicama razloga navedenih u žalbi, pazeći po službenoj dužnosti na bitne povrede odredaba postupka iz čl. 354. st. 2. t. 2., 4., 8., 9., 11., 13. i 14. ZPP-a i na pravilnu primjenu materijalnog prava, ovaj sud nalazi da je prvostupanjsko rješenje pravilno i osnovano na zakonu. </w:t>
      </w:r>
    </w:p>
    <w:p w:rsidRDefault="002E15C4" w:rsidP="002E15C4" w:rsidR="002E15C4">
      <w:pPr>
        <w:spacing w:after="0"/>
        <w:jc w:val="both"/>
      </w:pPr>
    </w:p>
    <w:p w:rsidRDefault="002E15C4" w:rsidP="002E15C4" w:rsidR="002E15C4">
      <w:pPr>
        <w:spacing w:after="0"/>
        <w:jc w:val="both"/>
      </w:pPr>
      <w:r>
        <w:tab/>
        <w:t xml:space="preserve">Iz obrazloženja pobijanog rješenja proizlazi da je prvostupanjski sud u predstečajnom postupku, na prijedlog pet stečajnih vjerovnika održao ročište radi odlučivanju o prestanku obavljanja dužnosti povjerenika Branka Valentića te da su na taj način vjerovnici donijeli odluku o prestanku obavljanja dužnosti tog povjerenika na temelju odredbe čl. 23. st. 2. SZ. </w:t>
      </w:r>
    </w:p>
    <w:p w:rsidRDefault="002E15C4" w:rsidP="002E15C4" w:rsidR="002E15C4">
      <w:pPr>
        <w:spacing w:after="0"/>
        <w:jc w:val="both"/>
      </w:pPr>
    </w:p>
    <w:p w:rsidRDefault="002E15C4" w:rsidP="002E15C4" w:rsidR="002E15C4">
      <w:pPr>
        <w:spacing w:after="0"/>
        <w:jc w:val="both"/>
      </w:pPr>
      <w:r>
        <w:tab/>
        <w:t>Sud u obrazloženju odluke navodi da je na temelju odredbe čl. 105. SZ-a, donesena odluka da povjerenik Branko Valentić, prestaje obavljati dužnost povjerenika u ovom predstečajnom postupku, jer zbroj iznosa tražbina vjerovnika koji su glasovali za tu odluku iznosi više od zbroja iznosa tražbina vjerovnika koji su glasali protiv te odluke.</w:t>
      </w:r>
    </w:p>
    <w:p w:rsidRDefault="002E15C4" w:rsidP="002E15C4" w:rsidR="002E15C4">
      <w:pPr>
        <w:spacing w:after="0"/>
        <w:jc w:val="both"/>
      </w:pPr>
    </w:p>
    <w:p w:rsidRDefault="002E15C4" w:rsidP="002E15C4" w:rsidR="002E15C4">
      <w:pPr>
        <w:spacing w:after="0"/>
        <w:jc w:val="both"/>
      </w:pPr>
      <w:r>
        <w:lastRenderedPageBreak/>
        <w:tab/>
        <w:t xml:space="preserve">Za ovu odluku sukladno odredbi čl. 106. SZ-a, na ročištu izjasnili su se potvrdno, odnosno glasali su za donošenje te odluke o prestanku obavljanja dužnosti povjerenika Branka Valentića, vjerovnici čije tražbine ukupno iznose 23.590.667,01 kn, a protiv ove odluke izjasnili su se, odnosno glasali su protiv te odluke vjerovnici čije tražbine ukupno iznose 1.620.234,38 kn. </w:t>
      </w:r>
    </w:p>
    <w:p w:rsidRDefault="002E15C4" w:rsidP="002E15C4" w:rsidR="002E15C4">
      <w:pPr>
        <w:spacing w:after="0"/>
        <w:jc w:val="both"/>
      </w:pPr>
    </w:p>
    <w:p w:rsidRDefault="002E15C4" w:rsidP="002E15C4" w:rsidR="002E15C4">
      <w:pPr>
        <w:spacing w:after="0"/>
        <w:jc w:val="both"/>
      </w:pPr>
      <w:r>
        <w:tab/>
        <w:t xml:space="preserve">Prema odredbi čl. 23. st. 2. SZ-a, povjerenik prestaje obavljati dužnost na dan donošenja rješenja o potvrdi predstečajnog sporazuma, na dan otvaranja stečajnoga postupka ili odlukom vjerovnika. </w:t>
      </w:r>
    </w:p>
    <w:p w:rsidRDefault="002E15C4" w:rsidP="002E15C4" w:rsidR="002E15C4">
      <w:pPr>
        <w:spacing w:after="0"/>
        <w:jc w:val="both"/>
      </w:pPr>
    </w:p>
    <w:p w:rsidRDefault="002E15C4" w:rsidP="002E15C4" w:rsidR="002E15C4">
      <w:pPr>
        <w:spacing w:after="0"/>
        <w:jc w:val="both"/>
      </w:pPr>
      <w:r>
        <w:tab/>
        <w:t>Slijedom navedenoga neosnovanim se ukazuje žalbeni navod da odluku o razrješenju povjerenika u predstečajnom postupku donosi isključivo sud, a ne vjerovnici.</w:t>
      </w:r>
    </w:p>
    <w:p w:rsidRDefault="002E15C4" w:rsidP="002E15C4" w:rsidR="002E15C4">
      <w:pPr>
        <w:spacing w:after="0"/>
        <w:jc w:val="both"/>
      </w:pPr>
    </w:p>
    <w:p w:rsidRDefault="002E15C4" w:rsidP="002E15C4" w:rsidR="002E15C4">
      <w:pPr>
        <w:spacing w:after="0"/>
        <w:jc w:val="both"/>
      </w:pPr>
      <w:r>
        <w:tab/>
        <w:t xml:space="preserve">Dakle, dužnost povjerenika može prestati i odlukom vjerovnika, kako to navodi odredba čl. 23. st. 2. SZ-a. </w:t>
      </w:r>
    </w:p>
    <w:p w:rsidRDefault="002E15C4" w:rsidP="002E15C4" w:rsidR="002E15C4">
      <w:pPr>
        <w:spacing w:after="0"/>
        <w:jc w:val="both"/>
      </w:pPr>
    </w:p>
    <w:p w:rsidRDefault="002E15C4" w:rsidP="002E15C4" w:rsidR="002E15C4">
      <w:pPr>
        <w:spacing w:after="0"/>
        <w:jc w:val="both"/>
      </w:pPr>
      <w:r>
        <w:tab/>
        <w:t xml:space="preserve">Stoga neosnovano žalitelji smatraju da sud nije mogao donijeti takvu odluku iz razloga što skupština vjerovnika kao tijelo predstečajnog postupka ne postoji. Točno je da skupština vjerovnika kao tijelo predstečajnog postupka ne postoji, međutim odredbom čl. 23. st. 2. SZ  propisano je da povjerenik prestaje obavljati dužnost, između ostaloga i „odlukom vjerovnika“. Iz navedene odredbe proizlazi da vjerovnici takvu odluku, mogu donijeti. </w:t>
      </w:r>
    </w:p>
    <w:p w:rsidRDefault="002E15C4" w:rsidP="002E15C4" w:rsidR="002E15C4">
      <w:pPr>
        <w:spacing w:after="0"/>
        <w:jc w:val="both"/>
      </w:pPr>
    </w:p>
    <w:p w:rsidRDefault="002E15C4" w:rsidP="002E15C4" w:rsidR="002E15C4">
      <w:pPr>
        <w:spacing w:after="0"/>
        <w:jc w:val="both"/>
      </w:pPr>
      <w:r>
        <w:tab/>
        <w:t>Međutim, zakonodavac pri tome nije propisao po kojim pravilima, kada i na koji način, vjerovnici donose takvu odluku pa se postavlja pitanje koji se propisi u postupku donošenja odluke vjerovnika primjenjuju.</w:t>
      </w:r>
    </w:p>
    <w:p w:rsidRDefault="002E15C4" w:rsidP="002E15C4" w:rsidR="002E15C4">
      <w:pPr>
        <w:spacing w:after="0"/>
        <w:jc w:val="both"/>
      </w:pPr>
    </w:p>
    <w:p w:rsidRDefault="002E15C4" w:rsidP="002E15C4" w:rsidR="002E15C4">
      <w:pPr>
        <w:spacing w:after="0"/>
        <w:jc w:val="both"/>
      </w:pPr>
      <w:r>
        <w:tab/>
        <w:t>Kako se u predstečajnom postupku održavaju samo dva ročišta i to ročište radi ispitivanja tražbina (čl. 46. SZ-a) i ročište za glasanje o planu restrukturiranja (čl. 55. SZ-a), a na kojima vjerovnici ne bi mogli donijeti odluku o prestanku obavljanja dužnosti povjerenika, budući je zakon propisao  o čemu se odlučuje na tim ročištima. Sud je u konkretnoj situaciji održao ročište radi odlučivanju o prestanku obavljanja dužnosti povjerenika, odgovarajućom primjenom odredaba čl. 104., čl. 105. i čl. 106. SZ-a.</w:t>
      </w:r>
    </w:p>
    <w:p w:rsidRDefault="002E15C4" w:rsidP="002E15C4" w:rsidR="002E15C4">
      <w:pPr>
        <w:spacing w:after="0"/>
        <w:jc w:val="both"/>
      </w:pPr>
    </w:p>
    <w:p w:rsidRDefault="002E15C4" w:rsidP="002E15C4" w:rsidR="002E15C4">
      <w:pPr>
        <w:spacing w:after="0"/>
        <w:jc w:val="both"/>
      </w:pPr>
      <w:r>
        <w:tab/>
        <w:t xml:space="preserve">Budući da je zakon dao mogućnost vjerovnicima donijeti odluku o prestanku obavljanja dužnosti povjerenika, pri čemu nije propisao pravila po kojima se takva odluka donosi, to je sud na prijedlog pet vjerovnika održao posebno ročište. Sud je, dakle održao ročište radi odlučivanju o prestanku obavljanja dužnosti povjerenika, na kojem su ročištu vjerovnici većinom glasova donijeli predmetnu odluku na temelju odredbe čl. 23. st. 2. SZ-a, koja im odredba daje ovlaštenje za to. </w:t>
      </w:r>
    </w:p>
    <w:p w:rsidRDefault="002E15C4" w:rsidP="002E15C4" w:rsidR="002E15C4">
      <w:pPr>
        <w:spacing w:after="0"/>
        <w:jc w:val="both"/>
      </w:pPr>
    </w:p>
    <w:p w:rsidRDefault="002E15C4" w:rsidP="002E15C4" w:rsidR="002E15C4">
      <w:pPr>
        <w:spacing w:after="0"/>
        <w:jc w:val="both"/>
      </w:pPr>
      <w:r>
        <w:tab/>
        <w:t>U nedostatku propisa koji je broj vjerovnika potreban za prijedlog za sazivanje ročišta radi donošenja odluke, mišljenje je ovog suda, da bi bila potrebna ona većina vjerovnika koja je potrebna za sazivanje skupštine (čl. 104., čl. 105. SZ-a). Isto je pitanje i kod načina glasovanja, pri kojem je sud primijenio pravila o glasovanju na skupštini vjerovnika (čl. 106. SZ-a). Prvostupanjski je sud na ročištu radi odlučivanju o prestanku obavljanja dužnosti povjerenika, analognom primjenom odredaba čl. 104., čl. 105. i čl. 106. SZ-a, donio predmetnu odluku.</w:t>
      </w:r>
    </w:p>
    <w:p w:rsidRDefault="002E15C4" w:rsidP="002E15C4" w:rsidR="002E15C4">
      <w:pPr>
        <w:spacing w:after="0"/>
        <w:jc w:val="both"/>
      </w:pPr>
    </w:p>
    <w:p w:rsidRDefault="002E15C4" w:rsidP="002E15C4" w:rsidR="002E15C4">
      <w:pPr>
        <w:spacing w:after="0"/>
        <w:jc w:val="both"/>
      </w:pPr>
      <w:r>
        <w:tab/>
        <w:t xml:space="preserve">Neosnovanim se ukazuju i žalbeni navodi da je pobijano rješenje nezakonito iz razloga što je prvostupanjski sud u obzir uzeo glasove vjerovnika kojima pravo glasa ne pripada, </w:t>
      </w:r>
      <w:r>
        <w:lastRenderedPageBreak/>
        <w:t xml:space="preserve">budući da su predmetne zadužnice izdane tek nakon podnošenja prijedloga za otvaranje predstečajnog postupka. </w:t>
      </w:r>
    </w:p>
    <w:p w:rsidRDefault="002E15C4" w:rsidP="002E15C4" w:rsidR="002E15C4">
      <w:pPr>
        <w:spacing w:after="0"/>
        <w:jc w:val="both"/>
      </w:pPr>
    </w:p>
    <w:p w:rsidRDefault="002E15C4" w:rsidP="002E15C4" w:rsidR="002E15C4">
      <w:pPr>
        <w:spacing w:after="0"/>
        <w:jc w:val="both"/>
      </w:pPr>
      <w:r>
        <w:tab/>
        <w:t>Ovo iz razloga što je odredbom čl. 106. st. 2. SZ-a propisano pravo glasa vjerovnicima osporenih tražbina, na način da će se smatrati da vjerovnik ima pravo glasa, iako je njegova tražbina osporena, ako postojanje svoje tražbine dokazuje ovršnom ispravom, osim ako se javnom ili javno ovjerovljenom ispravom ne dokaže prestanak postojanja tražbine. Kako vjerovnici, ovdje žalitelji nisu dokazali prestanak postojanja takve tražbine, pravilno je sud priznao pravo glasa vjerovnicima osporenih tražbina koji postojanje svoje tražbine dokazuje ovršnom ispravom.</w:t>
      </w:r>
    </w:p>
    <w:p w:rsidRDefault="002E15C4" w:rsidP="002E15C4" w:rsidR="002E15C4">
      <w:pPr>
        <w:spacing w:after="0"/>
        <w:jc w:val="both"/>
      </w:pPr>
      <w:r>
        <w:tab/>
      </w:r>
      <w:r>
        <w:tab/>
      </w:r>
      <w:r>
        <w:tab/>
      </w:r>
    </w:p>
    <w:p w:rsidRDefault="002E15C4" w:rsidP="002E15C4" w:rsidR="002E15C4">
      <w:pPr>
        <w:spacing w:after="0"/>
        <w:jc w:val="both"/>
      </w:pPr>
      <w:r>
        <w:tab/>
        <w:t>Žalbenim navodima žalitelj nije doveo u sumnju pravilnost i zakonitost pobijanog rješenja.</w:t>
      </w:r>
    </w:p>
    <w:p w:rsidRDefault="002E15C4" w:rsidP="002E15C4" w:rsidR="002E15C4">
      <w:pPr>
        <w:spacing w:after="0"/>
        <w:jc w:val="both"/>
      </w:pPr>
    </w:p>
    <w:p w:rsidRDefault="002E15C4" w:rsidP="002E15C4" w:rsidR="002E15C4">
      <w:pPr>
        <w:spacing w:after="0"/>
        <w:jc w:val="both"/>
      </w:pPr>
      <w:r>
        <w:tab/>
        <w:t>Valjalo je stoga odbiti žalbe kao neosnovane i na temelju čl. 368. ZPP-a u vezi s čl. 10. SZ-a potvrditi rješenje prvostupanjskog suda.</w:t>
      </w:r>
    </w:p>
    <w:p w:rsidRDefault="002E15C4" w:rsidP="002E15C4" w:rsidR="002E15C4">
      <w:pPr>
        <w:spacing w:after="0"/>
        <w:jc w:val="both"/>
      </w:pPr>
    </w:p>
    <w:p w:rsidRDefault="002E15C4" w:rsidP="002E15C4" w:rsidR="002E15C4">
      <w:pPr>
        <w:spacing w:after="0"/>
        <w:jc w:val="center"/>
      </w:pPr>
      <w:r>
        <w:t>Zagreb, 20. lipnja 2018.</w:t>
      </w:r>
    </w:p>
    <w:p w:rsidRDefault="002E15C4" w:rsidP="002E15C4" w:rsidR="002E15C4">
      <w:pPr>
        <w:pStyle w:val="Bezproreda"/>
        <w:ind w:left="4536"/>
        <w:jc w:val="center"/>
      </w:pPr>
    </w:p>
    <w:p w:rsidRDefault="002E15C4" w:rsidP="002E15C4" w:rsidR="002E15C4">
      <w:pPr>
        <w:pStyle w:val="Bezproreda"/>
        <w:ind w:left="4536"/>
        <w:jc w:val="center"/>
      </w:pPr>
      <w:r>
        <w:t>Predsjednica vijeća</w:t>
      </w:r>
    </w:p>
    <w:p w:rsidRDefault="002E15C4" w:rsidP="002E15C4" w:rsidR="002E15C4">
      <w:pPr>
        <w:pStyle w:val="Bezproreda"/>
        <w:ind w:left="4536"/>
        <w:jc w:val="center"/>
      </w:pPr>
      <w:r>
        <w:t>Mirta Matić, v. r.</w:t>
      </w:r>
    </w:p>
    <w:p w:rsidRDefault="002E15C4" w:rsidP="002E15C4" w:rsidR="002E15C4">
      <w:pPr>
        <w:pStyle w:val="Bezproreda"/>
      </w:pPr>
    </w:p>
    <w:p w:rsidRDefault="002E15C4" w:rsidP="002E15C4" w:rsidR="002E15C4">
      <w:pPr>
        <w:pStyle w:val="Bezproreda"/>
        <w:ind w:left="4536"/>
        <w:jc w:val="center"/>
      </w:pPr>
      <w:r>
        <w:t>Za točnost otpravka – ovlašteni službenik</w:t>
      </w:r>
    </w:p>
    <w:p w:rsidRDefault="002E15C4" w:rsidP="002E15C4" w:rsidR="002E15C4">
      <w:pPr>
        <w:pStyle w:val="Bezproreda"/>
        <w:ind w:left="4536"/>
        <w:jc w:val="center"/>
      </w:pPr>
      <w:r>
        <w:t>Brankica Curman</w:t>
      </w:r>
    </w:p>
    <w:p w:rsidRDefault="002E15C4" w:rsidP="002E15C4" w:rsidR="002E15C4">
      <w:pPr>
        <w:spacing w:after="0"/>
        <w:jc w:val="both"/>
      </w:pPr>
    </w:p>
    <w:p w:rsidRDefault="002E15C4" w:rsidP="002E15C4" w:rsidR="002E15C4">
      <w:pPr>
        <w:spacing w:after="0"/>
        <w:jc w:val="both"/>
      </w:pPr>
    </w:p>
    <w:p w:rsidRDefault="002E15C4" w:rsidP="002E15C4" w:rsidR="002E15C4">
      <w:pPr>
        <w:spacing w:after="0"/>
        <w:jc w:val="both"/>
      </w:pPr>
    </w:p>
    <w:p w:rsidRDefault="002E15C4" w:rsidP="002E15C4" w:rsidR="002E15C4">
      <w:pPr>
        <w:spacing w:after="0"/>
        <w:jc w:val="both"/>
      </w:pPr>
    </w:p>
    <w:p w:rsidRDefault="002E15C4" w:rsidP="002E15C4" w:rsidR="002E15C4">
      <w:pPr>
        <w:spacing w:after="0"/>
        <w:jc w:val="both"/>
      </w:pPr>
    </w:p>
    <w:p w:rsidRDefault="002E15C4" w:rsidP="002E15C4" w:rsidR="002E15C4">
      <w:pPr>
        <w:spacing w:after="0"/>
        <w:jc w:val="both"/>
      </w:pPr>
    </w:p>
    <w:p w:rsidRDefault="002E15C4" w:rsidP="002E15C4" w:rsidR="002E15C4">
      <w:pPr>
        <w:spacing w:after="0"/>
        <w:jc w:val="both"/>
      </w:pPr>
    </w:p>
    <w:p w:rsidRDefault="002E15C4" w:rsidP="002E15C4" w:rsidR="002E15C4">
      <w:pPr>
        <w:spacing w:after="0"/>
        <w:jc w:val="both"/>
      </w:pP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66CF" w:rsidP="00BD5A69" w:rsidR="00FC66CF">
      <w:pPr>
        <w:spacing w:after="0"/>
      </w:pPr>
      <w:r>
        <w:separator/>
      </w:r>
    </w:p>
  </w:endnote>
  <w:endnote w:id="0" w:type="continuationSeparator">
    <w:p w:rsidRDefault="00FC66CF" w:rsidP="00BD5A69" w:rsidR="00FC66CF">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110C09">
          <w:rPr>
            <w:noProof/>
          </w:rPr>
          <w:t>4</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66CF" w:rsidP="00BD5A69" w:rsidR="00FC66CF">
      <w:pPr>
        <w:spacing w:after="0"/>
      </w:pPr>
      <w:r>
        <w:separator/>
      </w:r>
    </w:p>
  </w:footnote>
  <w:footnote w:id="0" w:type="continuationSeparator">
    <w:p w:rsidRDefault="00FC66CF" w:rsidP="00BD5A69" w:rsidR="00FC66CF">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2E15C4">
      <w:t>39 Pž-3675/2018-3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10C09"/>
    <w:rsid w:val="00162C1B"/>
    <w:rsid w:val="001705BB"/>
    <w:rsid w:val="001F6D10"/>
    <w:rsid w:val="00233ACE"/>
    <w:rsid w:val="002E15C4"/>
    <w:rsid w:val="002E6EBB"/>
    <w:rsid w:val="003D0BF9"/>
    <w:rsid w:val="004E49A1"/>
    <w:rsid w:val="005474F3"/>
    <w:rsid w:val="006D7A34"/>
    <w:rsid w:val="00896057"/>
    <w:rsid w:val="009538B5"/>
    <w:rsid w:val="00B92656"/>
    <w:rsid w:val="00BD5A69"/>
    <w:rsid w:val="00C22ACB"/>
    <w:rsid w:val="00CE72EB"/>
    <w:rsid w:val="00E53009"/>
    <w:rsid w:val="00F738D3"/>
    <w:rsid w:val="00FC66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110C09"/>
    <w:rPr>
      <w:color w:val="808080"/>
      <w:bdr w:space="0" w:sz="0" w:color="auto" w:val="none"/>
      <w:shd w:fill="auto" w:color="auto" w:val="clear"/>
    </w:rPr>
  </w:style>
  <w:style w:customStyle="true" w:styleId="eSPISCCParagraphDefaultFont" w:type="character">
    <w:name w:val="eSPIS_CC_Paragraph Default Font"/>
    <w:basedOn w:val="Zadanifontodlomka"/>
    <w:rsid w:val="00110C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0C09"/>
    <w:rPr>
      <w:bdr w:space="0" w:sz="0" w:color="auto" w:val="none"/>
      <w:shd w:fill="FFFFCC" w:color="auto" w:val="clear"/>
      <w:lang w:val="hr-HR"/>
    </w:rPr>
  </w:style>
  <w:style w:customStyle="true" w:styleId="PozadinaSvijetloCrvena" w:type="character">
    <w:name w:val="Pozadina_SvijetloCrvena"/>
    <w:basedOn w:val="eSPISCCParagraphDefaultFont"/>
    <w:rsid w:val="00110C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0C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110C09"/>
    <w:rPr>
      <w:color w:val="808080"/>
      <w:bdr w:color="auto" w:space="0" w:sz="0" w:val="none"/>
      <w:shd w:color="auto" w:fill="auto" w:val="clear"/>
    </w:rPr>
  </w:style>
  <w:style w:customStyle="1" w:styleId="eSPISCCParagraphDefaultFont" w:type="character">
    <w:name w:val="eSPIS_CC_Paragraph Default Font"/>
    <w:basedOn w:val="Zadanifontodlomka"/>
    <w:rsid w:val="00110C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0C09"/>
    <w:rPr>
      <w:bdr w:color="auto" w:space="0" w:sz="0" w:val="none"/>
      <w:shd w:color="auto" w:fill="FFFFCC" w:val="clear"/>
      <w:lang w:val="hr-HR"/>
    </w:rPr>
  </w:style>
  <w:style w:customStyle="1" w:styleId="PozadinaSvijetloCrvena" w:type="character">
    <w:name w:val="Pozadina_SvijetloCrvena"/>
    <w:basedOn w:val="eSPISCCParagraphDefaultFont"/>
    <w:rsid w:val="00110C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0C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9705281">
      <w:bodyDiv w:val="true"/>
      <w:marLeft w:val="0"/>
      <w:marRight w:val="0"/>
      <w:marTop w:val="0"/>
      <w:marBottom w:val="0"/>
      <w:divBdr>
        <w:top w:space="0" w:sz="0" w:color="auto" w:val="none"/>
        <w:left w:space="0" w:sz="0" w:color="auto" w:val="none"/>
        <w:bottom w:space="0" w:sz="0" w:color="auto" w:val="none"/>
        <w:right w:space="0" w:sz="0" w:color="auto" w:val="none"/>
      </w:divBdr>
    </w:div>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1423</properties:Words>
  <properties:Characters>8270</properties:Characters>
  <properties:Lines>181</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2018-07-03T11:18:00Z</dcterms:created>
  <dc:creator>Ljiljana Cafuk</dc:creator>
  <cp:lastModifiedBy>Ljiljana Cafuk</cp:lastModifiedBy>
  <dcterms:modified xmlns:xsi="http://www.w3.org/2001/XMLSchema-instance" xsi:type="dcterms:W3CDTF">2018-07-03T11:20:00Z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odbijena žalba kao neosnovana - potvrđeno rješenje 1.st. (St-240-17 - Pž-3675-18.docx)</vt:lpwstr>
  </prop:property>
  <prop:property name="CC_coloring" pid="4" fmtid="{D5CDD505-2E9C-101B-9397-08002B2CF9AE}">
    <vt:bool>false</vt:bool>
  </prop:property>
  <prop:property name="BrojStranica" pid="5" fmtid="{D5CDD505-2E9C-101B-9397-08002B2CF9AE}">
    <vt:i4>4</vt:i4>
  </prop:property>
</prop:Properties>
</file>