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3a22a" w14:paraId="6a3a22a" w:rsidRDefault="00AE649C" w:rsidP="00FA5B5E" w:rsidR="00AE649C" w:rsidRPr="00B76F3C">
      <w:pPr>
        <w:pStyle w:val="Naslov3"/>
        <w15:collapsed w:val="false"/>
      </w:pPr>
    </w:p>
    <w:p w:rsidRDefault="00DC3029" w:rsidP="00DC3029" w:rsidR="00DC3029" w:rsidRPr="00DC3029">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bookmarkStart w:name="_GoBack" w:id="0"/>
      <w:bookmarkEnd w:id="0"/>
    </w:p>
    <w:p w:rsidRDefault="00DC3029" w:rsidP="00DC3029" w:rsidR="00DC3029" w:rsidRPr="00DC3029">
      <w:pPr>
        <w:overflowPunct w:val="false"/>
        <w:autoSpaceDE w:val="false"/>
        <w:autoSpaceDN w:val="false"/>
        <w:adjustRightInd w:val="false"/>
        <w:spacing w:after="0"/>
        <w:rPr>
          <w:rFonts w:cs="Times New Roman" w:eastAsia="Times New Roman"/>
          <w:noProof/>
          <w:lang w:eastAsia="hr-HR"/>
        </w:rPr>
      </w:pPr>
    </w:p>
    <w:p w:rsidRDefault="00DC3029" w:rsidP="00DC3029" w:rsidR="00DC3029" w:rsidRPr="00DC3029">
      <w:pPr>
        <w:overflowPunct w:val="false"/>
        <w:autoSpaceDE w:val="false"/>
        <w:autoSpaceDN w:val="false"/>
        <w:adjustRightInd w:val="false"/>
        <w:spacing w:after="0"/>
        <w:ind w:firstLine="5387"/>
        <w:rPr>
          <w:rFonts w:cs="Times New Roman" w:eastAsia="Times New Roman"/>
          <w:noProof/>
          <w:szCs w:val="20"/>
          <w:lang w:eastAsia="hr-HR"/>
        </w:rPr>
      </w:pPr>
      <w:r w:rsidRPr="00DC3029">
        <w:rPr>
          <w:rFonts w:cs="Times New Roman" w:eastAsia="Times New Roman"/>
          <w:noProof/>
          <w:szCs w:val="20"/>
          <w:lang w:eastAsia="hr-HR"/>
        </w:rPr>
        <w:t xml:space="preserve">            6 St-666/2016-10</w:t>
      </w:r>
    </w:p>
    <w:p w:rsidRDefault="00DC3029" w:rsidP="00DC3029" w:rsidR="00DC3029" w:rsidRPr="00DC3029">
      <w:pPr>
        <w:overflowPunct w:val="false"/>
        <w:autoSpaceDE w:val="false"/>
        <w:autoSpaceDN w:val="false"/>
        <w:adjustRightInd w:val="false"/>
        <w:spacing w:after="0"/>
        <w:ind w:firstLine="5387"/>
        <w:rPr>
          <w:rFonts w:cs="Times New Roman" w:eastAsia="Times New Roman"/>
          <w:noProof/>
          <w:szCs w:val="20"/>
          <w:lang w:eastAsia="hr-HR"/>
        </w:rPr>
      </w:pPr>
    </w:p>
    <w:p w:rsidRDefault="00DC3029" w:rsidP="00DC3029" w:rsidR="00DC3029" w:rsidRPr="00DC3029">
      <w:pPr>
        <w:overflowPunct w:val="false"/>
        <w:autoSpaceDE w:val="false"/>
        <w:autoSpaceDN w:val="false"/>
        <w:adjustRightInd w:val="false"/>
        <w:spacing w:after="0"/>
        <w:rPr>
          <w:rFonts w:cs="Times New Roman" w:eastAsia="Times New Roman"/>
          <w:noProof/>
          <w:szCs w:val="20"/>
          <w:lang w:eastAsia="hr-HR"/>
        </w:rPr>
      </w:pPr>
    </w:p>
    <w:p w:rsidRDefault="00DC3029" w:rsidP="00DC3029" w:rsidR="00DC3029" w:rsidRPr="00DC3029">
      <w:pPr>
        <w:overflowPunct w:val="false"/>
        <w:autoSpaceDE w:val="false"/>
        <w:autoSpaceDN w:val="false"/>
        <w:adjustRightInd w:val="false"/>
        <w:spacing w:after="0"/>
        <w:ind w:firstLine="5387"/>
        <w:rPr>
          <w:rFonts w:cs="Times New Roman" w:eastAsia="Times New Roman"/>
          <w:noProof/>
          <w:szCs w:val="20"/>
          <w:lang w:eastAsia="hr-HR"/>
        </w:rPr>
      </w:pPr>
    </w:p>
    <w:p w:rsidRDefault="00DC3029" w:rsidP="00DC3029" w:rsidR="00DC3029" w:rsidRPr="00DC3029">
      <w:pPr>
        <w:overflowPunct w:val="false"/>
        <w:autoSpaceDE w:val="false"/>
        <w:autoSpaceDN w:val="false"/>
        <w:adjustRightInd w:val="false"/>
        <w:spacing w:after="0"/>
        <w:jc w:val="center"/>
        <w:rPr>
          <w:rFonts w:cs="Times New Roman" w:eastAsia="Times New Roman"/>
          <w:b/>
          <w:noProof/>
          <w:szCs w:val="20"/>
          <w:lang w:eastAsia="hr-HR"/>
        </w:rPr>
      </w:pPr>
    </w:p>
    <w:p w:rsidRDefault="00DC3029" w:rsidP="00DC3029" w:rsidR="00DC3029" w:rsidRPr="00DC3029">
      <w:pPr>
        <w:overflowPunct w:val="false"/>
        <w:autoSpaceDE w:val="false"/>
        <w:autoSpaceDN w:val="false"/>
        <w:adjustRightInd w:val="false"/>
        <w:spacing w:after="0"/>
        <w:jc w:val="center"/>
        <w:rPr>
          <w:rFonts w:cs="Times New Roman" w:eastAsia="Times New Roman"/>
          <w:noProof/>
          <w:szCs w:val="20"/>
          <w:lang w:eastAsia="hr-HR"/>
        </w:rPr>
      </w:pPr>
      <w:r w:rsidRPr="00DC3029">
        <w:rPr>
          <w:rFonts w:cs="Times New Roman" w:eastAsia="Times New Roman"/>
          <w:noProof/>
          <w:szCs w:val="20"/>
          <w:lang w:eastAsia="hr-HR"/>
        </w:rPr>
        <w:t>R E P U B L I K A  H R V A T S K A</w:t>
      </w:r>
    </w:p>
    <w:p w:rsidRDefault="00DC3029" w:rsidP="00DC3029" w:rsidR="00DC3029" w:rsidRPr="00DC3029">
      <w:pPr>
        <w:overflowPunct w:val="false"/>
        <w:autoSpaceDE w:val="false"/>
        <w:autoSpaceDN w:val="false"/>
        <w:adjustRightInd w:val="false"/>
        <w:spacing w:after="0"/>
        <w:jc w:val="center"/>
        <w:rPr>
          <w:rFonts w:cs="Times New Roman" w:eastAsia="Times New Roman"/>
          <w:noProof/>
          <w:szCs w:val="20"/>
          <w:lang w:eastAsia="hr-HR"/>
        </w:rPr>
      </w:pPr>
    </w:p>
    <w:p w:rsidRDefault="00DC3029" w:rsidP="00DC3029" w:rsidR="00DC3029" w:rsidRPr="00DC3029">
      <w:pPr>
        <w:overflowPunct w:val="false"/>
        <w:autoSpaceDE w:val="false"/>
        <w:autoSpaceDN w:val="false"/>
        <w:adjustRightInd w:val="false"/>
        <w:spacing w:after="0"/>
        <w:jc w:val="center"/>
        <w:rPr>
          <w:rFonts w:cs="Times New Roman" w:eastAsia="Times New Roman"/>
          <w:noProof/>
          <w:szCs w:val="20"/>
          <w:lang w:eastAsia="hr-HR"/>
        </w:rPr>
      </w:pPr>
      <w:r w:rsidRPr="00DC3029">
        <w:rPr>
          <w:rFonts w:cs="Times New Roman" w:eastAsia="Times New Roman"/>
          <w:noProof/>
          <w:szCs w:val="20"/>
          <w:lang w:eastAsia="hr-HR"/>
        </w:rPr>
        <w:t>R J E Š E N J E</w:t>
      </w:r>
    </w:p>
    <w:p w:rsidRDefault="00DC3029" w:rsidP="00DC3029" w:rsidR="00DC3029" w:rsidRPr="00DC3029">
      <w:pPr>
        <w:overflowPunct w:val="false"/>
        <w:autoSpaceDE w:val="false"/>
        <w:autoSpaceDN w:val="false"/>
        <w:adjustRightInd w:val="false"/>
        <w:spacing w:after="0"/>
        <w:jc w:val="center"/>
        <w:rPr>
          <w:rFonts w:cs="Times New Roman" w:eastAsia="Times New Roman"/>
          <w:noProof/>
          <w:szCs w:val="20"/>
          <w:lang w:eastAsia="hr-HR"/>
        </w:rPr>
      </w:pPr>
    </w:p>
    <w:p w:rsidRDefault="00DC3029" w:rsidP="00DC3029" w:rsidR="00DC3029" w:rsidRPr="00DC3029">
      <w:pPr>
        <w:overflowPunct w:val="false"/>
        <w:autoSpaceDE w:val="false"/>
        <w:autoSpaceDN w:val="false"/>
        <w:adjustRightInd w:val="false"/>
        <w:spacing w:after="0"/>
        <w:rPr>
          <w:rFonts w:cs="Times New Roman" w:eastAsia="Times New Roman"/>
          <w:noProof/>
          <w:szCs w:val="20"/>
          <w:lang w:eastAsia="hr-HR"/>
        </w:rPr>
      </w:pPr>
    </w:p>
    <w:p w:rsidRDefault="00DC3029" w:rsidP="00DC3029" w:rsidR="00DC3029" w:rsidRPr="00DC3029">
      <w:pPr>
        <w:overflowPunct w:val="false"/>
        <w:autoSpaceDE w:val="false"/>
        <w:autoSpaceDN w:val="false"/>
        <w:adjustRightInd w:val="false"/>
        <w:spacing w:after="0"/>
        <w:ind w:firstLine="851"/>
        <w:jc w:val="both"/>
        <w:rPr>
          <w:rFonts w:cs="Times New Roman" w:eastAsia="Times New Roman"/>
          <w:szCs w:val="20"/>
          <w:lang w:eastAsia="hr-HR"/>
        </w:rPr>
      </w:pPr>
      <w:r w:rsidRPr="00DC3029">
        <w:rPr>
          <w:rFonts w:cs="Times New Roman" w:eastAsia="Times New Roman"/>
          <w:szCs w:val="20"/>
          <w:lang w:eastAsia="hr-HR"/>
        </w:rPr>
        <w:t xml:space="preserve">TRGOVAČKI SUD U BJELOVARU, po sucu pojedincu Mariji Petrina Kubica, u skraćenom stečajnom postupku nad dužnikom FORTUNA NEKRETNINE društvo s ograničenom odgovornošću za poslovanje nekretninama, turistička agencija, Zagreb, Teslina 14, MBS: 080903604, OIB: 50829344928, odlučujući o dužnikovoj žalbi protiv rješenja višeg sudskog savjetnika poslovni broj St-666/2016-5 od 25. srpnja 2016., temeljem odredbe čl.436. Stečajnog zakona </w:t>
      </w:r>
      <w:r w:rsidRPr="00DC3029">
        <w:rPr>
          <w:rFonts w:cs="Times New Roman" w:eastAsia="Times New Roman"/>
          <w:noProof/>
          <w:szCs w:val="20"/>
          <w:lang w:eastAsia="hr-HR"/>
        </w:rPr>
        <w:t>(Narodne novine br. 44/96, 29/99, 123/03, 82/06, 116/10, 25/12, 133/12 i 71/15, dalje: SZ</w:t>
      </w:r>
      <w:r w:rsidRPr="00DC3029">
        <w:rPr>
          <w:rFonts w:cs="Times New Roman" w:eastAsia="Times New Roman"/>
          <w:szCs w:val="20"/>
          <w:lang w:eastAsia="hr-HR"/>
        </w:rPr>
        <w:t>), 30. kolovoza 2016.</w:t>
      </w:r>
    </w:p>
    <w:p w:rsidRDefault="00DC3029" w:rsidP="00DC3029" w:rsidR="00DC3029" w:rsidRPr="00DC3029">
      <w:pPr>
        <w:overflowPunct w:val="false"/>
        <w:autoSpaceDE w:val="false"/>
        <w:autoSpaceDN w:val="false"/>
        <w:adjustRightInd w:val="false"/>
        <w:spacing w:after="0"/>
        <w:ind w:firstLine="851"/>
        <w:jc w:val="both"/>
        <w:rPr>
          <w:rFonts w:cs="Times New Roman" w:eastAsia="Times New Roman"/>
          <w:szCs w:val="20"/>
          <w:lang w:eastAsia="hr-HR"/>
        </w:rPr>
      </w:pPr>
    </w:p>
    <w:p w:rsidRDefault="00DC3029" w:rsidP="00DC3029" w:rsidR="00DC3029" w:rsidRPr="00DC3029">
      <w:pPr>
        <w:overflowPunct w:val="false"/>
        <w:autoSpaceDE w:val="false"/>
        <w:autoSpaceDN w:val="false"/>
        <w:adjustRightInd w:val="false"/>
        <w:spacing w:after="0"/>
        <w:jc w:val="both"/>
        <w:outlineLvl w:val="0"/>
        <w:rPr>
          <w:rFonts w:cs="Times New Roman" w:eastAsia="Times New Roman"/>
          <w:i/>
          <w:szCs w:val="20"/>
          <w:lang w:eastAsia="hr-HR"/>
        </w:rPr>
      </w:pPr>
    </w:p>
    <w:p w:rsidRDefault="00DC3029" w:rsidP="00DC3029" w:rsidR="00DC3029" w:rsidRPr="00DC3029">
      <w:pPr>
        <w:overflowPunct w:val="false"/>
        <w:autoSpaceDE w:val="false"/>
        <w:autoSpaceDN w:val="false"/>
        <w:adjustRightInd w:val="false"/>
        <w:spacing w:after="0"/>
        <w:jc w:val="center"/>
        <w:outlineLvl w:val="0"/>
        <w:rPr>
          <w:rFonts w:cs="Times New Roman" w:eastAsia="Times New Roman"/>
          <w:szCs w:val="20"/>
          <w:lang w:eastAsia="hr-HR"/>
        </w:rPr>
      </w:pPr>
      <w:r w:rsidRPr="00DC3029">
        <w:rPr>
          <w:rFonts w:cs="Times New Roman" w:eastAsia="Times New Roman"/>
          <w:szCs w:val="20"/>
          <w:lang w:eastAsia="hr-HR"/>
        </w:rPr>
        <w:t>r i j e š i o  j e</w:t>
      </w:r>
    </w:p>
    <w:p w:rsidRDefault="00DC3029" w:rsidP="00DC3029" w:rsidR="00DC3029" w:rsidRPr="00DC3029">
      <w:pPr>
        <w:overflowPunct w:val="false"/>
        <w:autoSpaceDE w:val="false"/>
        <w:autoSpaceDN w:val="false"/>
        <w:adjustRightInd w:val="false"/>
        <w:spacing w:after="0"/>
        <w:jc w:val="center"/>
        <w:outlineLvl w:val="0"/>
        <w:rPr>
          <w:rFonts w:cs="Times New Roman" w:eastAsia="Times New Roman"/>
          <w:szCs w:val="20"/>
          <w:lang w:eastAsia="hr-HR"/>
        </w:rPr>
      </w:pPr>
    </w:p>
    <w:p w:rsidRDefault="00DC3029" w:rsidP="00DC3029" w:rsidR="00DC3029" w:rsidRPr="00DC3029">
      <w:pPr>
        <w:overflowPunct w:val="false"/>
        <w:autoSpaceDE w:val="false"/>
        <w:autoSpaceDN w:val="false"/>
        <w:adjustRightInd w:val="false"/>
        <w:spacing w:after="0"/>
        <w:jc w:val="center"/>
        <w:outlineLvl w:val="0"/>
        <w:rPr>
          <w:rFonts w:cs="Times New Roman" w:eastAsia="Times New Roman"/>
          <w:szCs w:val="20"/>
          <w:lang w:eastAsia="hr-HR"/>
        </w:rPr>
      </w:pPr>
    </w:p>
    <w:p w:rsidRDefault="00DC3029" w:rsidP="00DC3029" w:rsidR="00DC3029" w:rsidRPr="00DC3029">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DC3029">
        <w:rPr>
          <w:rFonts w:cs="Times New Roman" w:eastAsia="Times New Roman"/>
          <w:szCs w:val="20"/>
          <w:lang w:eastAsia="hr-HR"/>
        </w:rPr>
        <w:t xml:space="preserve">Ukida se rješenje Trgovačkog suda u Bjelovaru poslovni broj St-666/2016-5 od 25. srpnja 2016.   </w:t>
      </w:r>
    </w:p>
    <w:p w:rsidRDefault="00DC3029" w:rsidP="00DC3029" w:rsidR="00DC3029" w:rsidRPr="00DC3029">
      <w:pPr>
        <w:overflowPunct w:val="false"/>
        <w:autoSpaceDE w:val="false"/>
        <w:autoSpaceDN w:val="false"/>
        <w:adjustRightInd w:val="false"/>
        <w:spacing w:after="0"/>
        <w:outlineLvl w:val="0"/>
        <w:rPr>
          <w:rFonts w:cs="Times New Roman" w:eastAsia="Times New Roman"/>
          <w:b/>
          <w:szCs w:val="20"/>
          <w:lang w:eastAsia="hr-HR"/>
        </w:rPr>
      </w:pPr>
    </w:p>
    <w:p w:rsidRDefault="00DC3029" w:rsidP="00DC3029" w:rsidR="00DC3029" w:rsidRPr="00DC3029">
      <w:pPr>
        <w:overflowPunct w:val="false"/>
        <w:autoSpaceDE w:val="false"/>
        <w:autoSpaceDN w:val="false"/>
        <w:adjustRightInd w:val="false"/>
        <w:spacing w:after="0"/>
        <w:jc w:val="center"/>
        <w:outlineLvl w:val="0"/>
        <w:rPr>
          <w:rFonts w:cs="Times New Roman" w:eastAsia="Times New Roman"/>
          <w:szCs w:val="20"/>
          <w:lang w:eastAsia="hr-HR"/>
        </w:rPr>
      </w:pPr>
      <w:r w:rsidRPr="00DC3029">
        <w:rPr>
          <w:rFonts w:cs="Times New Roman" w:eastAsia="Times New Roman"/>
          <w:szCs w:val="20"/>
          <w:lang w:eastAsia="hr-HR"/>
        </w:rPr>
        <w:t>Obrazloženje</w:t>
      </w:r>
    </w:p>
    <w:p w:rsidRDefault="00DC3029" w:rsidP="00DC3029" w:rsidR="00DC3029" w:rsidRPr="00DC3029">
      <w:pPr>
        <w:overflowPunct w:val="false"/>
        <w:autoSpaceDE w:val="false"/>
        <w:autoSpaceDN w:val="false"/>
        <w:adjustRightInd w:val="false"/>
        <w:spacing w:after="0"/>
        <w:jc w:val="both"/>
        <w:rPr>
          <w:rFonts w:cs="Times New Roman" w:eastAsia="Times New Roman"/>
          <w:szCs w:val="20"/>
          <w:lang w:eastAsia="hr-HR"/>
        </w:rPr>
      </w:pPr>
    </w:p>
    <w:p w:rsidRDefault="00DC3029" w:rsidP="00DC3029" w:rsidR="00DC3029" w:rsidRPr="00DC3029">
      <w:pPr>
        <w:overflowPunct w:val="false"/>
        <w:autoSpaceDE w:val="false"/>
        <w:autoSpaceDN w:val="false"/>
        <w:adjustRightInd w:val="false"/>
        <w:spacing w:after="0"/>
        <w:jc w:val="both"/>
        <w:rPr>
          <w:rFonts w:cs="Times New Roman" w:eastAsia="Times New Roman"/>
          <w:szCs w:val="20"/>
          <w:lang w:eastAsia="hr-HR"/>
        </w:rPr>
      </w:pPr>
    </w:p>
    <w:p w:rsidRDefault="00DC3029" w:rsidP="00DC3029" w:rsidR="00DC3029" w:rsidRPr="00DC3029">
      <w:pPr>
        <w:overflowPunct w:val="false"/>
        <w:autoSpaceDE w:val="false"/>
        <w:autoSpaceDN w:val="false"/>
        <w:adjustRightInd w:val="false"/>
        <w:spacing w:after="0"/>
        <w:ind w:firstLine="851"/>
        <w:jc w:val="both"/>
        <w:rPr>
          <w:rFonts w:cs="Times New Roman" w:eastAsia="Times New Roman"/>
          <w:szCs w:val="20"/>
          <w:lang w:eastAsia="hr-HR"/>
        </w:rPr>
      </w:pPr>
      <w:r w:rsidRPr="00DC3029">
        <w:rPr>
          <w:rFonts w:cs="Times New Roman" w:eastAsia="Times New Roman"/>
          <w:szCs w:val="20"/>
          <w:lang w:eastAsia="hr-HR"/>
        </w:rPr>
        <w:t xml:space="preserve">Rješenjem višeg sudskog savjetnika ovog suda Siniše </w:t>
      </w:r>
      <w:proofErr w:type="spellStart"/>
      <w:r w:rsidRPr="00DC3029">
        <w:rPr>
          <w:rFonts w:cs="Times New Roman" w:eastAsia="Times New Roman"/>
          <w:szCs w:val="20"/>
          <w:lang w:eastAsia="hr-HR"/>
        </w:rPr>
        <w:t>Rajnovića</w:t>
      </w:r>
      <w:proofErr w:type="spellEnd"/>
      <w:r w:rsidRPr="00DC3029">
        <w:rPr>
          <w:rFonts w:cs="Times New Roman" w:eastAsia="Times New Roman"/>
          <w:szCs w:val="20"/>
          <w:lang w:eastAsia="hr-HR"/>
        </w:rPr>
        <w:t xml:space="preserve"> broj St-666/2015-5 od 25. srpnja 2016. otvoren je skraćeni stečajni postupak nad dužnikom FORTUNA NEKRETNINE društvo s ograničenom odgovornošću, Zagreb (</w:t>
      </w:r>
      <w:proofErr w:type="spellStart"/>
      <w:r w:rsidRPr="00DC3029">
        <w:rPr>
          <w:rFonts w:cs="Times New Roman" w:eastAsia="Times New Roman"/>
          <w:szCs w:val="20"/>
          <w:lang w:eastAsia="hr-HR"/>
        </w:rPr>
        <w:t>toč.I</w:t>
      </w:r>
      <w:proofErr w:type="spellEnd"/>
      <w:r w:rsidRPr="00DC3029">
        <w:rPr>
          <w:rFonts w:cs="Times New Roman" w:eastAsia="Times New Roman"/>
          <w:szCs w:val="20"/>
          <w:lang w:eastAsia="hr-HR"/>
        </w:rPr>
        <w:t xml:space="preserve">. izreke); za stečajnog upravitelja imenovana je Snježana </w:t>
      </w:r>
      <w:proofErr w:type="spellStart"/>
      <w:r w:rsidRPr="00DC3029">
        <w:rPr>
          <w:rFonts w:cs="Times New Roman" w:eastAsia="Times New Roman"/>
          <w:szCs w:val="20"/>
          <w:lang w:eastAsia="hr-HR"/>
        </w:rPr>
        <w:t>Hopp</w:t>
      </w:r>
      <w:proofErr w:type="spellEnd"/>
      <w:r w:rsidRPr="00DC3029">
        <w:rPr>
          <w:rFonts w:cs="Times New Roman" w:eastAsia="Times New Roman"/>
          <w:szCs w:val="20"/>
          <w:lang w:eastAsia="hr-HR"/>
        </w:rPr>
        <w:t xml:space="preserve"> iz Daruvara (</w:t>
      </w:r>
      <w:proofErr w:type="spellStart"/>
      <w:r w:rsidRPr="00DC3029">
        <w:rPr>
          <w:rFonts w:cs="Times New Roman" w:eastAsia="Times New Roman"/>
          <w:szCs w:val="20"/>
          <w:lang w:eastAsia="hr-HR"/>
        </w:rPr>
        <w:t>toč.II</w:t>
      </w:r>
      <w:proofErr w:type="spellEnd"/>
      <w:r w:rsidRPr="00DC3029">
        <w:rPr>
          <w:rFonts w:cs="Times New Roman" w:eastAsia="Times New Roman"/>
          <w:szCs w:val="20"/>
          <w:lang w:eastAsia="hr-HR"/>
        </w:rPr>
        <w:t>. izreke); zaključen je skraćeni stečajni postupak nad istim dužnikom (</w:t>
      </w:r>
      <w:proofErr w:type="spellStart"/>
      <w:r w:rsidRPr="00DC3029">
        <w:rPr>
          <w:rFonts w:cs="Times New Roman" w:eastAsia="Times New Roman"/>
          <w:szCs w:val="20"/>
          <w:lang w:eastAsia="hr-HR"/>
        </w:rPr>
        <w:t>toč.III</w:t>
      </w:r>
      <w:proofErr w:type="spellEnd"/>
      <w:r w:rsidRPr="00DC3029">
        <w:rPr>
          <w:rFonts w:cs="Times New Roman" w:eastAsia="Times New Roman"/>
          <w:szCs w:val="20"/>
          <w:lang w:eastAsia="hr-HR"/>
        </w:rPr>
        <w:t>. izreke), skraćeni stečajni postupak otvoren je i zaključen s danom 25. srpnja 2016. u 8,30 sati, kada je to rješenje objavljeno na e-oglasnoj ploči ovoga suda (</w:t>
      </w:r>
      <w:proofErr w:type="spellStart"/>
      <w:r w:rsidRPr="00DC3029">
        <w:rPr>
          <w:rFonts w:cs="Times New Roman" w:eastAsia="Times New Roman"/>
          <w:szCs w:val="20"/>
          <w:lang w:eastAsia="hr-HR"/>
        </w:rPr>
        <w:t>toč.IV</w:t>
      </w:r>
      <w:proofErr w:type="spellEnd"/>
      <w:r w:rsidRPr="00DC3029">
        <w:rPr>
          <w:rFonts w:cs="Times New Roman" w:eastAsia="Times New Roman"/>
          <w:szCs w:val="20"/>
          <w:lang w:eastAsia="hr-HR"/>
        </w:rPr>
        <w:t>. izreke). Istim rješenjem (</w:t>
      </w:r>
      <w:proofErr w:type="spellStart"/>
      <w:r w:rsidRPr="00DC3029">
        <w:rPr>
          <w:rFonts w:cs="Times New Roman" w:eastAsia="Times New Roman"/>
          <w:szCs w:val="20"/>
          <w:lang w:eastAsia="hr-HR"/>
        </w:rPr>
        <w:t>toč.V</w:t>
      </w:r>
      <w:proofErr w:type="spellEnd"/>
      <w:r w:rsidRPr="00DC3029">
        <w:rPr>
          <w:rFonts w:cs="Times New Roman" w:eastAsia="Times New Roman"/>
          <w:szCs w:val="20"/>
          <w:lang w:eastAsia="hr-HR"/>
        </w:rPr>
        <w:t>.) navedeno je da će, u</w:t>
      </w:r>
      <w:r w:rsidRPr="00DC3029">
        <w:rPr>
          <w:rFonts w:cs="Times New Roman" w:eastAsia="Calibri"/>
          <w:szCs w:val="20"/>
          <w:lang w:eastAsia="hr-HR"/>
        </w:rPr>
        <w:t xml:space="preserve"> skladu s odredbom čl.133. st.1. Stečajnog zakona, stečajni upravitelj nakon zaključenja stečajnog postupka u ime i za račun stečajne mase unovčiti imovinu dužnika i prikupljenim sredstvima podmiriti nastale troškove stečajnog postupka, a neiskorišteni ostatak uplatiti u Fond za namirenje troškova stečajnog postupka te je određeno da će se n</w:t>
      </w:r>
      <w:r w:rsidRPr="00DC3029">
        <w:rPr>
          <w:rFonts w:cs="Times New Roman" w:eastAsia="Times New Roman"/>
          <w:szCs w:val="20"/>
          <w:lang w:eastAsia="hr-HR"/>
        </w:rPr>
        <w:t>akon pravomoćnosti tog rješenja stečajni dužnik brisati iz sudskog registra (</w:t>
      </w:r>
      <w:proofErr w:type="spellStart"/>
      <w:r w:rsidRPr="00DC3029">
        <w:rPr>
          <w:rFonts w:cs="Times New Roman" w:eastAsia="Times New Roman"/>
          <w:szCs w:val="20"/>
          <w:lang w:eastAsia="hr-HR"/>
        </w:rPr>
        <w:t>toč.VI</w:t>
      </w:r>
      <w:proofErr w:type="spellEnd"/>
      <w:r w:rsidRPr="00DC3029">
        <w:rPr>
          <w:rFonts w:cs="Times New Roman" w:eastAsia="Times New Roman"/>
          <w:szCs w:val="20"/>
          <w:lang w:eastAsia="hr-HR"/>
        </w:rPr>
        <w:t>. izreke).</w:t>
      </w:r>
    </w:p>
    <w:p w:rsidRDefault="00DC3029" w:rsidP="00DC3029" w:rsidR="00DC3029" w:rsidRPr="00DC3029">
      <w:pPr>
        <w:overflowPunct w:val="false"/>
        <w:autoSpaceDE w:val="false"/>
        <w:autoSpaceDN w:val="false"/>
        <w:adjustRightInd w:val="false"/>
        <w:spacing w:after="0"/>
        <w:ind w:firstLine="851"/>
        <w:jc w:val="both"/>
        <w:rPr>
          <w:rFonts w:cs="Times New Roman" w:eastAsia="Times New Roman"/>
          <w:szCs w:val="20"/>
          <w:lang w:eastAsia="hr-HR"/>
        </w:rPr>
      </w:pPr>
    </w:p>
    <w:p w:rsidRDefault="00DC3029" w:rsidP="00DC3029" w:rsidR="00DC3029" w:rsidRPr="00DC3029">
      <w:pPr>
        <w:overflowPunct w:val="false"/>
        <w:autoSpaceDE w:val="false"/>
        <w:autoSpaceDN w:val="false"/>
        <w:adjustRightInd w:val="false"/>
        <w:spacing w:after="0"/>
        <w:ind w:firstLine="851"/>
        <w:jc w:val="both"/>
        <w:rPr>
          <w:rFonts w:cs="Times New Roman" w:eastAsia="Times New Roman"/>
          <w:szCs w:val="20"/>
          <w:lang w:eastAsia="hr-HR"/>
        </w:rPr>
      </w:pPr>
      <w:r w:rsidRPr="00DC3029">
        <w:rPr>
          <w:rFonts w:cs="Times New Roman" w:eastAsia="Times New Roman"/>
          <w:szCs w:val="20"/>
          <w:lang w:eastAsia="hr-HR"/>
        </w:rPr>
        <w:t xml:space="preserve">Iz pobijanog rješenja proizlazi da je po zahtjevu FINE za provedbu skraćenog stečajnog postupka nad dužnikom sud oglasom koji je objavljen na mrežnoj stranici e-oglasna ploča Trgovačkog suda u Bjelovaru 1. lipnja 2016., sud pozvao osobu ovlaštenu za zastupanje </w:t>
      </w:r>
      <w:r w:rsidRPr="00DC3029">
        <w:rPr>
          <w:rFonts w:cs="Times New Roman" w:eastAsia="Times New Roman"/>
          <w:szCs w:val="20"/>
          <w:lang w:eastAsia="hr-HR"/>
        </w:rPr>
        <w:lastRenderedPageBreak/>
        <w:t>dužnika da u roku od 15 dana od objave oglasa na mrežnoj stranici e-oglasne ploče podnese sudu javnobilježnički ovjerovljen popis imovine i obveza na propisanom obrascu. 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 Kako osoba ovlaštena za zastupanje dužnika nije u roku od 15 dana od objave oglasa dostavila javnobilježnički ovjerovljen popis imovine i obveza dužnika, a vjerovnici nisu u roku od 45 dana od objave oglasa predložili otvaranje stečajnog postupka, sud je sukladno odredbi čl.431. SZ smatrao da je dužnik nesposoban za plaćanje. S obzirom da iz podataka navedenih u zahtjevu nije mogao sa sigurnošću utvrditi da dužnik ima imovinu koja bi ušla u stečajnu masu i koja bi bila dovoljna za namirenje troškova stečajnog postupka, sud je temeljem čl.431. SZ donio pobijano rješenje, koje je objavljeno je 25. srpnja 2016. na e-oglasnoj ploči Trgovačkog suda u Bjelovaru.</w:t>
      </w:r>
    </w:p>
    <w:p w:rsidRDefault="00DC3029" w:rsidP="00DC3029" w:rsidR="00DC3029" w:rsidRPr="00DC3029">
      <w:pPr>
        <w:overflowPunct w:val="false"/>
        <w:autoSpaceDE w:val="false"/>
        <w:autoSpaceDN w:val="false"/>
        <w:adjustRightInd w:val="false"/>
        <w:spacing w:after="0"/>
        <w:ind w:firstLine="851"/>
        <w:jc w:val="both"/>
        <w:rPr>
          <w:rFonts w:cs="Times New Roman" w:eastAsia="Times New Roman"/>
          <w:szCs w:val="20"/>
          <w:lang w:eastAsia="hr-HR"/>
        </w:rPr>
      </w:pPr>
    </w:p>
    <w:p w:rsidRDefault="00DC3029" w:rsidP="00DC3029" w:rsidR="00DC3029" w:rsidRPr="00DC3029">
      <w:pPr>
        <w:overflowPunct w:val="false"/>
        <w:autoSpaceDE w:val="false"/>
        <w:autoSpaceDN w:val="false"/>
        <w:adjustRightInd w:val="false"/>
        <w:spacing w:after="0"/>
        <w:ind w:firstLine="851"/>
        <w:jc w:val="both"/>
        <w:rPr>
          <w:rFonts w:cs="Times New Roman" w:eastAsia="Times New Roman"/>
          <w:szCs w:val="20"/>
          <w:lang w:eastAsia="hr-HR"/>
        </w:rPr>
      </w:pPr>
      <w:r w:rsidRPr="00DC3029">
        <w:rPr>
          <w:rFonts w:cs="Times New Roman" w:eastAsia="Times New Roman"/>
          <w:szCs w:val="20"/>
          <w:lang w:eastAsia="hr-HR"/>
        </w:rPr>
        <w:t xml:space="preserve">Protiv rješenja je dužnik podnio žalbu u kojoj navodi da je društvo izašlo iz blokade 20. siječnja 2016., kada je podmirilo sva dugovanja. U trenutku donošenja pobijanog rješenja društvo nije imalo nikakvih dugovanja, račun društva bio je aktivan sa stanjem od oko 70.000,00 kn, bez nenamirenih potraživanja. Dužnik je predložio da sud postupak obustavi kako bi mogao normalno nastaviti poslovanje. Uz žalbu je dostavio očevidnik FINE o danima insolventnosti od 18. kolovoza 2016. (list 23), potvrdu FINE od 18. kolovoza 2016. (list 24), izvješće o primicima, porezu na dohodak i prirezu te doprinosima za obvezna osiguranja na dan 27. srpnja 2016. i 1. kolovoza 2016. (list 25-29) i potvrdu o zaposlenicima dužnika (list 26 i 30). </w:t>
      </w:r>
    </w:p>
    <w:p w:rsidRDefault="00DC3029" w:rsidP="00DC3029" w:rsidR="00DC3029" w:rsidRPr="00DC3029">
      <w:pPr>
        <w:overflowPunct w:val="false"/>
        <w:autoSpaceDE w:val="false"/>
        <w:autoSpaceDN w:val="false"/>
        <w:adjustRightInd w:val="false"/>
        <w:spacing w:after="0"/>
        <w:ind w:firstLine="851"/>
        <w:jc w:val="both"/>
        <w:rPr>
          <w:rFonts w:cs="Times New Roman" w:eastAsia="Times New Roman"/>
          <w:szCs w:val="20"/>
          <w:lang w:eastAsia="hr-HR"/>
        </w:rPr>
      </w:pPr>
    </w:p>
    <w:p w:rsidRDefault="00DC3029" w:rsidP="00DC3029" w:rsidR="00DC3029" w:rsidRPr="00DC3029">
      <w:pPr>
        <w:overflowPunct w:val="false"/>
        <w:autoSpaceDE w:val="false"/>
        <w:autoSpaceDN w:val="false"/>
        <w:adjustRightInd w:val="false"/>
        <w:spacing w:after="0"/>
        <w:ind w:firstLine="851"/>
        <w:jc w:val="both"/>
        <w:rPr>
          <w:rFonts w:cs="Times New Roman" w:eastAsia="Times New Roman"/>
          <w:szCs w:val="20"/>
          <w:lang w:eastAsia="hr-HR"/>
        </w:rPr>
      </w:pPr>
      <w:r w:rsidRPr="00DC3029">
        <w:rPr>
          <w:rFonts w:cs="Times New Roman" w:eastAsia="Times New Roman"/>
          <w:szCs w:val="20"/>
          <w:lang w:eastAsia="hr-HR"/>
        </w:rPr>
        <w:t>Žalba dužnika je osnovana.</w:t>
      </w:r>
    </w:p>
    <w:p w:rsidRDefault="00DC3029" w:rsidP="00DC3029" w:rsidR="00DC3029" w:rsidRPr="00DC3029">
      <w:pPr>
        <w:overflowPunct w:val="false"/>
        <w:autoSpaceDE w:val="false"/>
        <w:autoSpaceDN w:val="false"/>
        <w:adjustRightInd w:val="false"/>
        <w:spacing w:after="0"/>
        <w:ind w:firstLine="851"/>
        <w:jc w:val="both"/>
        <w:rPr>
          <w:rFonts w:cs="Times New Roman" w:eastAsia="Times New Roman"/>
          <w:szCs w:val="20"/>
          <w:lang w:eastAsia="hr-HR"/>
        </w:rPr>
      </w:pPr>
    </w:p>
    <w:p w:rsidRDefault="00DC3029" w:rsidP="00DC3029" w:rsidR="00DC3029" w:rsidRPr="00DC3029">
      <w:pPr>
        <w:overflowPunct w:val="false"/>
        <w:autoSpaceDE w:val="false"/>
        <w:autoSpaceDN w:val="false"/>
        <w:adjustRightInd w:val="false"/>
        <w:spacing w:after="0"/>
        <w:ind w:firstLine="851"/>
        <w:jc w:val="both"/>
        <w:rPr>
          <w:rFonts w:cs="Times New Roman" w:eastAsia="Times New Roman"/>
          <w:szCs w:val="20"/>
          <w:lang w:eastAsia="hr-HR"/>
        </w:rPr>
      </w:pPr>
      <w:r w:rsidRPr="00DC3029">
        <w:rPr>
          <w:rFonts w:cs="Times New Roman" w:eastAsia="Times New Roman"/>
          <w:szCs w:val="20"/>
          <w:lang w:eastAsia="hr-HR"/>
        </w:rPr>
        <w:t xml:space="preserve">Iz navoda dužnika i uvida u dokaze dostavljene uz žalbu proizlazi da dužnik u vrijeme donošenja pobijanog rješenja nije bio nesposoban za plaćanje te nije bilo uvjeta za donošenje pobijanog rješenja. </w:t>
      </w:r>
    </w:p>
    <w:p w:rsidRDefault="00DC3029" w:rsidP="00DC3029" w:rsidR="00DC3029" w:rsidRPr="00DC3029">
      <w:pPr>
        <w:overflowPunct w:val="false"/>
        <w:autoSpaceDE w:val="false"/>
        <w:autoSpaceDN w:val="false"/>
        <w:adjustRightInd w:val="false"/>
        <w:spacing w:after="0"/>
        <w:ind w:firstLine="851"/>
        <w:jc w:val="both"/>
        <w:rPr>
          <w:rFonts w:cs="Times New Roman" w:eastAsia="Times New Roman"/>
          <w:szCs w:val="20"/>
          <w:lang w:eastAsia="hr-HR"/>
        </w:rPr>
      </w:pPr>
    </w:p>
    <w:p w:rsidRDefault="00DC3029" w:rsidP="00DC3029" w:rsidR="00DC3029" w:rsidRPr="00DC3029">
      <w:pPr>
        <w:overflowPunct w:val="false"/>
        <w:autoSpaceDE w:val="false"/>
        <w:autoSpaceDN w:val="false"/>
        <w:adjustRightInd w:val="false"/>
        <w:spacing w:after="0"/>
        <w:ind w:firstLine="851"/>
        <w:jc w:val="both"/>
        <w:rPr>
          <w:rFonts w:cs="Times New Roman" w:eastAsia="Times New Roman"/>
          <w:szCs w:val="20"/>
          <w:lang w:eastAsia="hr-HR"/>
        </w:rPr>
      </w:pPr>
      <w:r w:rsidRPr="00DC3029">
        <w:rPr>
          <w:rFonts w:cs="Times New Roman" w:eastAsia="Times New Roman"/>
          <w:szCs w:val="20"/>
          <w:lang w:eastAsia="hr-HR"/>
        </w:rPr>
        <w:t>Slijedom navedenog sud je riješio kao u izreci.</w:t>
      </w:r>
    </w:p>
    <w:p w:rsidRDefault="00DC3029" w:rsidP="00DC3029" w:rsidR="00DC3029" w:rsidRPr="00DC3029">
      <w:pPr>
        <w:overflowPunct w:val="false"/>
        <w:autoSpaceDE w:val="false"/>
        <w:autoSpaceDN w:val="false"/>
        <w:adjustRightInd w:val="false"/>
        <w:spacing w:after="0"/>
        <w:ind w:firstLine="851"/>
        <w:jc w:val="center"/>
        <w:rPr>
          <w:rFonts w:cs="Times New Roman" w:eastAsia="Times New Roman"/>
          <w:noProof/>
          <w:szCs w:val="20"/>
          <w:lang w:eastAsia="hr-HR"/>
        </w:rPr>
      </w:pPr>
    </w:p>
    <w:p w:rsidRDefault="00DC3029" w:rsidP="00DC3029" w:rsidR="00DC3029" w:rsidRPr="00DC3029">
      <w:pPr>
        <w:overflowPunct w:val="false"/>
        <w:autoSpaceDE w:val="false"/>
        <w:autoSpaceDN w:val="false"/>
        <w:adjustRightInd w:val="false"/>
        <w:spacing w:after="0"/>
        <w:jc w:val="center"/>
        <w:rPr>
          <w:rFonts w:cs="Times New Roman" w:eastAsia="Times New Roman"/>
          <w:noProof/>
          <w:szCs w:val="20"/>
          <w:lang w:eastAsia="hr-HR"/>
        </w:rPr>
      </w:pPr>
      <w:r w:rsidRPr="00DC3029">
        <w:rPr>
          <w:rFonts w:cs="Times New Roman" w:eastAsia="Times New Roman"/>
          <w:noProof/>
          <w:szCs w:val="20"/>
          <w:lang w:eastAsia="hr-HR"/>
        </w:rPr>
        <w:t xml:space="preserve">U Bjelovaru, 30. kolovoza 2016.  </w:t>
      </w:r>
    </w:p>
    <w:p w:rsidRDefault="00DC3029" w:rsidP="00DC3029" w:rsidR="00DC3029" w:rsidRPr="00DC3029">
      <w:pPr>
        <w:overflowPunct w:val="false"/>
        <w:autoSpaceDE w:val="false"/>
        <w:autoSpaceDN w:val="false"/>
        <w:adjustRightInd w:val="false"/>
        <w:spacing w:after="0"/>
        <w:jc w:val="both"/>
        <w:rPr>
          <w:rFonts w:cs="Times New Roman" w:eastAsia="Times New Roman"/>
          <w:noProof/>
          <w:szCs w:val="20"/>
          <w:lang w:eastAsia="hr-HR"/>
        </w:rPr>
      </w:pPr>
    </w:p>
    <w:p w:rsidRDefault="00DC3029" w:rsidP="00DC3029" w:rsidR="00DC3029" w:rsidRPr="00DC3029">
      <w:pPr>
        <w:overflowPunct w:val="false"/>
        <w:autoSpaceDE w:val="false"/>
        <w:autoSpaceDN w:val="false"/>
        <w:adjustRightInd w:val="false"/>
        <w:spacing w:after="0"/>
        <w:ind w:firstLine="5245"/>
        <w:jc w:val="both"/>
        <w:rPr>
          <w:rFonts w:cs="Times New Roman" w:eastAsia="Times New Roman"/>
          <w:noProof/>
          <w:szCs w:val="20"/>
          <w:lang w:eastAsia="hr-HR"/>
        </w:rPr>
      </w:pPr>
      <w:r w:rsidRPr="00DC3029">
        <w:rPr>
          <w:rFonts w:cs="Times New Roman" w:eastAsia="Times New Roman"/>
          <w:noProof/>
          <w:szCs w:val="20"/>
          <w:lang w:eastAsia="hr-HR"/>
        </w:rPr>
        <w:t xml:space="preserve">         SUDAC</w:t>
      </w:r>
    </w:p>
    <w:p w:rsidRDefault="00DC3029" w:rsidP="00DC3029" w:rsidR="00DC3029" w:rsidRPr="00DC3029">
      <w:pPr>
        <w:overflowPunct w:val="false"/>
        <w:autoSpaceDE w:val="false"/>
        <w:autoSpaceDN w:val="false"/>
        <w:adjustRightInd w:val="false"/>
        <w:spacing w:after="0"/>
        <w:ind w:firstLine="4678"/>
        <w:jc w:val="both"/>
        <w:rPr>
          <w:rFonts w:cs="Times New Roman" w:eastAsia="Times New Roman"/>
          <w:noProof/>
          <w:szCs w:val="20"/>
          <w:lang w:eastAsia="hr-HR"/>
        </w:rPr>
      </w:pPr>
      <w:r w:rsidRPr="00DC3029">
        <w:rPr>
          <w:rFonts w:cs="Times New Roman" w:eastAsia="Times New Roman"/>
          <w:noProof/>
          <w:szCs w:val="20"/>
          <w:lang w:eastAsia="hr-HR"/>
        </w:rPr>
        <w:t xml:space="preserve">MARIJA PETRINA KUBICA </w:t>
      </w:r>
    </w:p>
    <w:p w:rsidRDefault="00DC3029" w:rsidP="00DC3029" w:rsidR="00DC3029" w:rsidRPr="00DC3029">
      <w:pPr>
        <w:overflowPunct w:val="false"/>
        <w:autoSpaceDE w:val="false"/>
        <w:autoSpaceDN w:val="false"/>
        <w:adjustRightInd w:val="false"/>
        <w:spacing w:after="0"/>
        <w:jc w:val="both"/>
        <w:rPr>
          <w:rFonts w:cs="Times New Roman" w:eastAsia="Times New Roman"/>
          <w:szCs w:val="20"/>
          <w:lang w:eastAsia="hr-HR"/>
        </w:rPr>
      </w:pPr>
    </w:p>
    <w:p w:rsidRDefault="00DC3029" w:rsidP="00DC3029" w:rsidR="00DC3029" w:rsidRPr="00DC3029">
      <w:pPr>
        <w:overflowPunct w:val="false"/>
        <w:autoSpaceDE w:val="false"/>
        <w:autoSpaceDN w:val="false"/>
        <w:adjustRightInd w:val="false"/>
        <w:spacing w:after="0"/>
        <w:jc w:val="both"/>
        <w:rPr>
          <w:rFonts w:cs="Times New Roman" w:eastAsia="Times New Roman"/>
          <w:szCs w:val="20"/>
          <w:lang w:eastAsia="hr-HR"/>
        </w:rPr>
      </w:pPr>
    </w:p>
    <w:p w:rsidRDefault="00DC3029" w:rsidP="00DC3029" w:rsidR="00DC3029" w:rsidRPr="00DC3029">
      <w:pPr>
        <w:overflowPunct w:val="false"/>
        <w:autoSpaceDE w:val="false"/>
        <w:autoSpaceDN w:val="false"/>
        <w:adjustRightInd w:val="false"/>
        <w:spacing w:after="0"/>
        <w:jc w:val="both"/>
        <w:rPr>
          <w:rFonts w:cs="Times New Roman" w:eastAsia="Times New Roman"/>
          <w:szCs w:val="20"/>
          <w:lang w:eastAsia="hr-HR"/>
        </w:rPr>
      </w:pPr>
    </w:p>
    <w:p w:rsidRDefault="00DC3029" w:rsidP="00DC3029" w:rsidR="00DC3029" w:rsidRPr="00DC3029">
      <w:pPr>
        <w:overflowPunct w:val="false"/>
        <w:autoSpaceDE w:val="false"/>
        <w:autoSpaceDN w:val="false"/>
        <w:adjustRightInd w:val="false"/>
        <w:spacing w:after="0"/>
        <w:jc w:val="both"/>
        <w:rPr>
          <w:rFonts w:cs="Times New Roman" w:eastAsia="Times New Roman"/>
          <w:szCs w:val="20"/>
          <w:lang w:eastAsia="hr-HR"/>
        </w:rPr>
      </w:pPr>
    </w:p>
    <w:p w:rsidRDefault="00DC3029" w:rsidP="00DC3029" w:rsidR="00DC3029" w:rsidRPr="00DC3029">
      <w:pPr>
        <w:overflowPunct w:val="false"/>
        <w:autoSpaceDE w:val="false"/>
        <w:autoSpaceDN w:val="false"/>
        <w:adjustRightInd w:val="false"/>
        <w:spacing w:after="0"/>
        <w:jc w:val="both"/>
        <w:rPr>
          <w:rFonts w:cs="Times New Roman" w:eastAsia="Times New Roman"/>
          <w:szCs w:val="20"/>
          <w:lang w:eastAsia="hr-HR"/>
        </w:rPr>
      </w:pPr>
      <w:r w:rsidRPr="00DC3029">
        <w:rPr>
          <w:rFonts w:cs="Times New Roman" w:eastAsia="Times New Roman"/>
          <w:szCs w:val="20"/>
          <w:lang w:eastAsia="hr-HR"/>
        </w:rPr>
        <w:t>POUKA O PRAVNOM LIJEKU: Protiv ovog rješenja može se podnijeti žalba u roku od 8 dana od dostave rješenja, na Visoki trgovački sud RH u Zagrebu, a putem ovoga suda (čl.19. st.1. i 2. Stečajnog zakona). Dostava se smatra obavljenom istekom osmog dana od dana objave ovog rješenja na e-oglasnoj ploči suda (čl.12. st.1. Stečajnog zakona). Žalba se podnosi u tri primjerka.</w:t>
      </w:r>
    </w:p>
    <w:p w:rsidRDefault="00DC3029" w:rsidP="00DC3029" w:rsidR="00DC3029" w:rsidRPr="00DC3029">
      <w:pPr>
        <w:overflowPunct w:val="false"/>
        <w:autoSpaceDE w:val="false"/>
        <w:autoSpaceDN w:val="false"/>
        <w:adjustRightInd w:val="false"/>
        <w:spacing w:after="0"/>
        <w:jc w:val="both"/>
        <w:rPr>
          <w:rFonts w:cs="Times New Roman" w:eastAsia="Times New Roman"/>
          <w:szCs w:val="20"/>
          <w:lang w:eastAsia="hr-HR"/>
        </w:rPr>
      </w:pPr>
    </w:p>
    <w:p w:rsidRDefault="00DC3029" w:rsidP="00DC3029" w:rsidR="00DC3029" w:rsidRPr="00DC3029">
      <w:pPr>
        <w:overflowPunct w:val="false"/>
        <w:autoSpaceDE w:val="false"/>
        <w:autoSpaceDN w:val="false"/>
        <w:adjustRightInd w:val="false"/>
        <w:spacing w:after="0"/>
        <w:rPr>
          <w:rFonts w:cs="Times New Roman" w:eastAsia="Times New Roman"/>
          <w:noProof/>
          <w:szCs w:val="20"/>
          <w:lang w:eastAsia="hr-HR"/>
        </w:rPr>
      </w:pPr>
      <w:r w:rsidRPr="00DC3029">
        <w:rPr>
          <w:rFonts w:cs="Times New Roman" w:eastAsia="Times New Roman"/>
          <w:noProof/>
          <w:szCs w:val="20"/>
          <w:lang w:eastAsia="hr-HR"/>
        </w:rPr>
        <w:t>Rj.</w:t>
      </w:r>
    </w:p>
    <w:p w:rsidRDefault="00DC3029" w:rsidP="00DC3029" w:rsidR="00DC3029" w:rsidRPr="00DC3029">
      <w:pPr>
        <w:overflowPunct w:val="false"/>
        <w:autoSpaceDE w:val="false"/>
        <w:autoSpaceDN w:val="false"/>
        <w:adjustRightInd w:val="false"/>
        <w:spacing w:after="0"/>
        <w:rPr>
          <w:rFonts w:cs="Times New Roman" w:eastAsia="Times New Roman"/>
          <w:noProof/>
          <w:szCs w:val="20"/>
          <w:lang w:eastAsia="hr-HR"/>
        </w:rPr>
      </w:pPr>
      <w:r w:rsidRPr="00DC3029">
        <w:rPr>
          <w:rFonts w:cs="Times New Roman" w:eastAsia="Times New Roman"/>
          <w:noProof/>
          <w:szCs w:val="20"/>
          <w:lang w:eastAsia="hr-HR"/>
        </w:rPr>
        <w:t>1. DNA:predlagatelju putem e-oglasne ploče i sudskog dostavljača</w:t>
      </w:r>
    </w:p>
    <w:p w:rsidRDefault="00DC3029" w:rsidP="00DC3029" w:rsidR="00DC3029" w:rsidRPr="00DC3029">
      <w:pPr>
        <w:overflowPunct w:val="false"/>
        <w:autoSpaceDE w:val="false"/>
        <w:autoSpaceDN w:val="false"/>
        <w:adjustRightInd w:val="false"/>
        <w:spacing w:after="0"/>
        <w:rPr>
          <w:rFonts w:cs="Times New Roman" w:eastAsia="Times New Roman"/>
          <w:noProof/>
          <w:szCs w:val="20"/>
          <w:lang w:eastAsia="hr-HR"/>
        </w:rPr>
      </w:pPr>
      <w:r w:rsidRPr="00DC3029">
        <w:rPr>
          <w:rFonts w:cs="Times New Roman" w:eastAsia="Times New Roman"/>
          <w:noProof/>
          <w:szCs w:val="20"/>
          <w:lang w:eastAsia="hr-HR"/>
        </w:rPr>
        <w:t xml:space="preserve">              zakonskim zastupnicima dužnika putem e-oglasne ploče suda i poštom</w:t>
      </w:r>
    </w:p>
    <w:p w:rsidRDefault="00DC3029" w:rsidP="00DC3029" w:rsidR="00DC3029" w:rsidRPr="00DC3029">
      <w:pPr>
        <w:overflowPunct w:val="false"/>
        <w:autoSpaceDE w:val="false"/>
        <w:autoSpaceDN w:val="false"/>
        <w:adjustRightInd w:val="false"/>
        <w:spacing w:after="0"/>
        <w:rPr>
          <w:rFonts w:cs="Times New Roman" w:eastAsia="Times New Roman"/>
          <w:noProof/>
          <w:szCs w:val="20"/>
          <w:lang w:eastAsia="hr-HR"/>
        </w:rPr>
      </w:pPr>
      <w:r w:rsidRPr="00DC3029">
        <w:rPr>
          <w:rFonts w:cs="Times New Roman" w:eastAsia="Times New Roman"/>
          <w:noProof/>
          <w:szCs w:val="20"/>
          <w:lang w:eastAsia="hr-HR"/>
        </w:rPr>
        <w:t xml:space="preserve">              stečajnom upravitelju putem e-oglasne ploče i poštom</w:t>
      </w:r>
    </w:p>
    <w:p w:rsidRDefault="00DC3029" w:rsidP="00DC3029" w:rsidR="00DC3029" w:rsidRPr="00DC3029">
      <w:pPr>
        <w:overflowPunct w:val="false"/>
        <w:autoSpaceDE w:val="false"/>
        <w:autoSpaceDN w:val="false"/>
        <w:adjustRightInd w:val="false"/>
        <w:spacing w:after="0"/>
        <w:rPr>
          <w:rFonts w:cs="Times New Roman" w:eastAsia="Times New Roman"/>
          <w:noProof/>
          <w:szCs w:val="20"/>
          <w:lang w:eastAsia="hr-HR"/>
        </w:rPr>
      </w:pPr>
      <w:r w:rsidRPr="00DC3029">
        <w:rPr>
          <w:rFonts w:cs="Times New Roman" w:eastAsia="Times New Roman"/>
          <w:noProof/>
          <w:szCs w:val="20"/>
          <w:lang w:eastAsia="hr-HR"/>
        </w:rPr>
        <w:t xml:space="preserve">              ŽDO Bjelovar – putem e-oglasne ploče</w:t>
      </w:r>
    </w:p>
    <w:p w:rsidRDefault="00DC3029" w:rsidP="00DC3029" w:rsidR="00DC3029" w:rsidRPr="00DC3029">
      <w:pPr>
        <w:overflowPunct w:val="false"/>
        <w:autoSpaceDE w:val="false"/>
        <w:autoSpaceDN w:val="false"/>
        <w:adjustRightInd w:val="false"/>
        <w:spacing w:after="0"/>
        <w:rPr>
          <w:rFonts w:cs="Times New Roman" w:eastAsia="Times New Roman"/>
          <w:noProof/>
          <w:szCs w:val="20"/>
          <w:lang w:eastAsia="hr-HR"/>
        </w:rPr>
      </w:pPr>
      <w:r w:rsidRPr="00DC3029">
        <w:rPr>
          <w:rFonts w:cs="Times New Roman" w:eastAsia="Times New Roman"/>
          <w:noProof/>
          <w:szCs w:val="20"/>
          <w:lang w:eastAsia="hr-HR"/>
        </w:rPr>
        <w:t xml:space="preserve">              Porezna uprava, Ispostava Zagreb – putem e-oglasne ploče</w:t>
      </w:r>
    </w:p>
    <w:p w:rsidRDefault="00DC3029" w:rsidP="00DC3029" w:rsidR="00DC3029" w:rsidRPr="00DC3029">
      <w:pPr>
        <w:overflowPunct w:val="false"/>
        <w:autoSpaceDE w:val="false"/>
        <w:autoSpaceDN w:val="false"/>
        <w:adjustRightInd w:val="false"/>
        <w:spacing w:after="0"/>
        <w:rPr>
          <w:rFonts w:cs="Times New Roman" w:eastAsia="Times New Roman"/>
          <w:noProof/>
          <w:szCs w:val="20"/>
          <w:lang w:eastAsia="hr-HR"/>
        </w:rPr>
      </w:pPr>
      <w:r w:rsidRPr="00DC3029">
        <w:rPr>
          <w:rFonts w:cs="Times New Roman" w:eastAsia="Times New Roman"/>
          <w:noProof/>
          <w:szCs w:val="20"/>
          <w:lang w:eastAsia="hr-HR"/>
        </w:rPr>
        <w:t xml:space="preserve">              e-oglasna ploča suda</w:t>
      </w:r>
    </w:p>
    <w:p w:rsidRDefault="00DC3029" w:rsidP="00DC3029" w:rsidR="00DC3029" w:rsidRPr="00DC3029">
      <w:pPr>
        <w:overflowPunct w:val="false"/>
        <w:autoSpaceDE w:val="false"/>
        <w:autoSpaceDN w:val="false"/>
        <w:adjustRightInd w:val="false"/>
        <w:spacing w:after="0"/>
        <w:rPr>
          <w:rFonts w:cs="Times New Roman" w:eastAsia="Times New Roman"/>
          <w:noProof/>
          <w:szCs w:val="20"/>
          <w:lang w:eastAsia="hr-HR"/>
        </w:rPr>
      </w:pPr>
      <w:r w:rsidRPr="00DC3029">
        <w:rPr>
          <w:rFonts w:cs="Times New Roman" w:eastAsia="Times New Roman"/>
          <w:noProof/>
          <w:szCs w:val="20"/>
          <w:lang w:eastAsia="hr-HR"/>
        </w:rPr>
        <w:t>2. Sc pravomoćnost</w:t>
      </w:r>
    </w:p>
    <w:p w:rsidRDefault="00DC3029" w:rsidP="00DC3029" w:rsidR="00DC3029" w:rsidRPr="00DC3029">
      <w:pPr>
        <w:overflowPunct w:val="false"/>
        <w:autoSpaceDE w:val="false"/>
        <w:autoSpaceDN w:val="false"/>
        <w:adjustRightInd w:val="false"/>
        <w:spacing w:after="0"/>
        <w:rPr>
          <w:rFonts w:cs="Times New Roman" w:eastAsia="Times New Roman"/>
          <w:szCs w:val="20"/>
          <w:lang w:eastAsia="hr-HR"/>
        </w:rPr>
      </w:pPr>
      <w:r w:rsidRPr="00DC3029">
        <w:rPr>
          <w:rFonts w:cs="Times New Roman" w:eastAsia="Times New Roman"/>
          <w:noProof/>
          <w:szCs w:val="20"/>
          <w:lang w:eastAsia="hr-HR"/>
        </w:rPr>
        <w:t>Bj.30.8.2016.</w:t>
      </w:r>
    </w:p>
    <w:p w:rsidRDefault="00DC3029" w:rsidP="00DC3029" w:rsidR="00DC3029" w:rsidRPr="00DC3029">
      <w:pPr>
        <w:spacing w:before="480"/>
        <w:jc w:val="both"/>
        <w:rPr>
          <w:rFonts w:cs="Times New Roman" w:eastAsia="Calibri" w:hAnsi="Calibri" w:ascii="Calibri"/>
          <w:noProof/>
        </w:rPr>
      </w:pPr>
    </w:p>
    <w:p w:rsidRDefault="00DC3029" w:rsidP="00DC3029" w:rsidR="00DC3029" w:rsidRPr="00DC3029">
      <w:pPr>
        <w:ind w:firstLine="567"/>
        <w:jc w:val="both"/>
        <w:rPr>
          <w:rFonts w:cs="Times New Roman" w:eastAsia="Calibri" w:hAnsi="Calibri" w:ascii="Calibri"/>
          <w:noProof/>
          <w:lang w:val="en-US"/>
        </w:rPr>
      </w:pPr>
    </w:p>
    <w:p w:rsidRDefault="00DC3029" w:rsidP="00DC3029" w:rsidR="00DC3029" w:rsidRPr="00DC3029">
      <w:pPr>
        <w:overflowPunct w:val="false"/>
        <w:autoSpaceDE w:val="false"/>
        <w:autoSpaceDN w:val="false"/>
        <w:adjustRightInd w:val="false"/>
        <w:spacing w:after="0"/>
        <w:rPr>
          <w:rFonts w:cs="Times New Roman" w:eastAsia="Times New Roman"/>
          <w:szCs w:val="20"/>
          <w:lang w:eastAsia="hr-HR"/>
        </w:rPr>
      </w:pPr>
    </w:p>
    <w:p w:rsidRDefault="00DC3029" w:rsidP="00DC3029" w:rsidR="00DC3029" w:rsidRPr="00DC3029">
      <w:pPr>
        <w:overflowPunct w:val="false"/>
        <w:autoSpaceDE w:val="false"/>
        <w:autoSpaceDN w:val="false"/>
        <w:adjustRightInd w:val="false"/>
        <w:spacing w:after="0"/>
        <w:ind w:firstLine="5387"/>
        <w:rPr>
          <w:rFonts w:cs="Times New Roman" w:eastAsia="Times New Roman"/>
          <w:lang w:eastAsia="hr-HR"/>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3029"/>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8925852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2016.</izvorni_sadrzaj>
    <derivirana_varijabla naziv="DomainObject.DatumDonosenjaOdluke_1">30.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St-666/2016-10</izvorni_sadrzaj>
    <derivirana_varijabla naziv="DomainObject.Oznaka_1">St-666/2016-10</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666</izvorni_sadrzaj>
    <derivirana_varijabla naziv="DomainObject.Predmet.Broj_1">666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25. srpnja 2016.</izvorni_sadrzaj>
    <derivirana_varijabla naziv="DomainObject.Predmet.DatumRjesavanja_1">25. srpnja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St-666/2016</izvorni_sadrzaj>
    <derivirana_varijabla naziv="DomainObject.Predmet.OznakaBroj_1">St-666/2016</derivirana_varijabla>
  </DomainObject.Predmet.OznakaBroj>
  <DomainObject.Predmet.OznakaBrojOptuznogAkta>
    <izvorni_sadrzaj/>
    <derivirana_varijabla naziv="DomainObject.Predmet.OznakaBrojOptuznogAkta_1"/>
  </DomainObject.Predmet.OznakaBrojOptuznogAkta>
  <DomainObject.Predmet.PredmetRijesio.Ime>
    <izvorni_sadrzaj>Siniša</izvorni_sadrzaj>
    <derivirana_varijabla naziv="DomainObject.Predmet.PredmetRijesio.Ime_1">Siniša</derivirana_varijabla>
  </DomainObject.Predmet.PredmetRijesio.Ime>
  <DomainObject.Predmet.PredmetRijesio.Oib>
    <izvorni_sadrzaj/>
    <derivirana_varijabla naziv="DomainObject.Predmet.PredmetRijesio.Oib_1"/>
  </DomainObject.Predmet.PredmetRijesio.Oib>
  <DomainObject.Predmet.PredmetRijesio.Prezime>
    <izvorni_sadrzaj>Rajnović</izvorni_sadrzaj>
    <derivirana_varijabla naziv="DomainObject.Predmet.PredmetRijesio.Prezime_1">Rajnović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FORTUNA NEKRETNINE d.o.o.</izvorni_sadrzaj>
    <derivirana_varijabla naziv="DomainObject.Predmet.ProtustrankaFormated_1">  FORTUNA NEKRETNINE d.o.o.</derivirana_varijabla>
  </DomainObject.Predmet.ProtustrankaFormated>
  <DomainObject.Predmet.ProtustrankaFormatedOIB>
    <izvorni_sadrzaj>  FORTUNA NEKRETNINE d.o.o., OIB 50829344928</izvorni_sadrzaj>
    <derivirana_varijabla naziv="DomainObject.Predmet.ProtustrankaFormatedOIB_1">  FORTUNA NEKRETNINE d.o.o., OIB 50829344928</derivirana_varijabla>
  </DomainObject.Predmet.ProtustrankaFormatedOIB>
  <DomainObject.Predmet.ProtustrankaFormatedWithAdress>
    <izvorni_sadrzaj> FORTUNA NEKRETNINE d.o.o., Teslina 14, 10000 Zagreb</izvorni_sadrzaj>
    <derivirana_varijabla naziv="DomainObject.Predmet.ProtustrankaFormatedWithAdress_1"> FORTUNA NEKRETNINE d.o.o., Teslina 14, 10000 Zagreb</derivirana_varijabla>
  </DomainObject.Predmet.ProtustrankaFormatedWithAdress>
  <DomainObject.Predmet.ProtustrankaFormatedWithAdressOIB>
    <izvorni_sadrzaj> FORTUNA NEKRETNINE d.o.o., OIB 50829344928, Teslina 14, 10000 Zagreb</izvorni_sadrzaj>
    <derivirana_varijabla naziv="DomainObject.Predmet.ProtustrankaFormatedWithAdressOIB_1"> FORTUNA NEKRETNINE d.o.o., OIB 50829344928, Teslina 14, 10000 Zagreb</derivirana_varijabla>
  </DomainObject.Predmet.ProtustrankaFormatedWithAdressOIB>
  <DomainObject.Predmet.ProtustrankaWithAdress>
    <izvorni_sadrzaj>FORTUNA NEKRETNINE d.o.o. Teslina 14, 10000 Zagreb</izvorni_sadrzaj>
    <derivirana_varijabla naziv="DomainObject.Predmet.ProtustrankaWithAdress_1">FORTUNA NEKRETNINE d.o.o. Teslina 14, 10000 Zagreb</derivirana_varijabla>
  </DomainObject.Predmet.ProtustrankaWithAdress>
  <DomainObject.Predmet.ProtustrankaWithAdressOIB>
    <izvorni_sadrzaj>FORTUNA NEKRETNINE d.o.o., OIB 50829344928, Teslina 14, 10000 Zagreb</izvorni_sadrzaj>
    <derivirana_varijabla naziv="DomainObject.Predmet.ProtustrankaWithAdressOIB_1">FORTUNA NEKRETNINE d.o.o., OIB 50829344928, Teslina 14, 10000 Zagreb</derivirana_varijabla>
  </DomainObject.Predmet.ProtustrankaWithAdressOIB>
  <DomainObject.Predmet.ProtustrankaNazivFormated>
    <izvorni_sadrzaj>FORTUNA NEKRETNINE d.o.o.</izvorni_sadrzaj>
    <derivirana_varijabla naziv="DomainObject.Predmet.ProtustrankaNazivFormated_1">FORTUNA NEKRETNINE d.o.o.</derivirana_varijabla>
  </DomainObject.Predmet.ProtustrankaNazivFormated>
  <DomainObject.Predmet.ProtustrankaNazivFormatedOIB>
    <izvorni_sadrzaj>FORTUNA NEKRETNINE d.o.o., OIB 50829344928</izvorni_sadrzaj>
    <derivirana_varijabla naziv="DomainObject.Predmet.ProtustrankaNazivFormatedOIB_1">FORTUNA NEKRETNINE d.o.o., OIB 50829344928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FORTUNA NEKRETNINE d.o.o.</item>
    </izvorni_sadrzaj>
    <derivirana_varijabla naziv="DomainObject.Predmet.ProtuStrankaListFormated_1">
      <item>FORTUNA NEKRETNINE d.o.o.</item>
    </derivirana_varijabla>
  </DomainObject.Predmet.ProtuStrankaListFormated>
  <DomainObject.Predmet.ProtuStrankaListFormatedOIB>
    <izvorni_sadrzaj>
      <item>FORTUNA NEKRETNINE d.o.o., OIB 50829344928</item>
    </izvorni_sadrzaj>
    <derivirana_varijabla naziv="DomainObject.Predmet.ProtuStrankaListFormatedOIB_1">
      <item>FORTUNA NEKRETNINE d.o.o., OIB 50829344928</item>
    </derivirana_varijabla>
  </DomainObject.Predmet.ProtuStrankaListFormatedOIB>
  <DomainObject.Predmet.ProtuStrankaListFormatedWithAdress>
    <izvorni_sadrzaj>
      <item>FORTUNA NEKRETNINE d.o.o., Teslina 14, 10000 Zagreb</item>
    </izvorni_sadrzaj>
    <derivirana_varijabla naziv="DomainObject.Predmet.ProtuStrankaListFormatedWithAdress_1">
      <item>FORTUNA NEKRETNINE d.o.o., Teslina 14, 10000 Zagreb</item>
    </derivirana_varijabla>
  </DomainObject.Predmet.ProtuStrankaListFormatedWithAdress>
  <DomainObject.Predmet.ProtuStrankaListFormatedWithAdressOIB>
    <izvorni_sadrzaj>
      <item>FORTUNA NEKRETNINE d.o.o., OIB 50829344928, Teslina 14, 10000 Zagreb</item>
    </izvorni_sadrzaj>
    <derivirana_varijabla naziv="DomainObject.Predmet.ProtuStrankaListFormatedWithAdressOIB_1">
      <item>FORTUNA NEKRETNINE d.o.o., OIB 50829344928, Teslina 14, 10000 Zagreb</item>
    </derivirana_varijabla>
  </DomainObject.Predmet.ProtuStrankaListFormatedWithAdressOIB>
  <DomainObject.Predmet.ProtuStrankaListNazivFormated>
    <izvorni_sadrzaj>
      <item>FORTUNA NEKRETNINE d.o.o.</item>
    </izvorni_sadrzaj>
    <derivirana_varijabla naziv="DomainObject.Predmet.ProtuStrankaListNazivFormated_1">
      <item>FORTUNA NEKRETNINE d.o.o.</item>
    </derivirana_varijabla>
  </DomainObject.Predmet.ProtuStrankaListNazivFormated>
  <DomainObject.Predmet.ProtuStrankaListNazivFormatedOIB>
    <izvorni_sadrzaj>
      <item>FORTUNA NEKRETNINE d.o.o., OIB 50829344928</item>
    </izvorni_sadrzaj>
    <derivirana_varijabla naziv="DomainObject.Predmet.ProtuStrankaListNazivFormatedOIB_1">
      <item>FORTUNA NEKRETNINE d.o.o., OIB 50829344928</item>
    </derivirana_varijabla>
  </DomainObject.Predmet.ProtuStrankaListNazivFormatedOIB>
  <DomainObject.Predmet.OstaliListFormated>
    <izvorni_sadrzaj>
      <item>IVAN FORTUNA</item>
      <item>CLAUDIA FORTUNA</item>
    </izvorni_sadrzaj>
    <derivirana_varijabla naziv="DomainObject.Predmet.OstaliListFormated_1">
      <item>IVAN FORTUNA</item>
      <item>CLAUDIA FORTUNA</item>
    </derivirana_varijabla>
  </DomainObject.Predmet.OstaliListFormated>
  <DomainObject.Predmet.OstaliListFormatedOIB>
    <izvorni_sadrzaj>
      <item>IVAN FORTUNA, OIB 20007012551</item>
      <item>CLAUDIA FORTUNA, OIB 85628705216</item>
    </izvorni_sadrzaj>
    <derivirana_varijabla naziv="DomainObject.Predmet.OstaliListFormatedOIB_1">
      <item>IVAN FORTUNA, OIB 20007012551</item>
      <item>CLAUDIA FORTUNA, OIB 85628705216</item>
    </derivirana_varijabla>
  </DomainObject.Predmet.OstaliListFormatedOIB>
  <DomainObject.Predmet.OstaliListFormatedWithAdress>
    <izvorni_sadrzaj>
      <item>IVAN FORTUNA, Gundulićeva 25, 10000 Zagreb</item>
      <item>CLAUDIA FORTUNA, Dužice 1, 10000 Zagreb</item>
    </izvorni_sadrzaj>
    <derivirana_varijabla naziv="DomainObject.Predmet.OstaliListFormatedWithAdress_1">
      <item>IVAN FORTUNA, Gundulićeva 25, 10000 Zagreb</item>
      <item>CLAUDIA FORTUNA, Dužice 1, 10000 Zagreb</item>
    </derivirana_varijabla>
  </DomainObject.Predmet.OstaliListFormatedWithAdress>
  <DomainObject.Predmet.OstaliListFormatedWithAdressOIB>
    <izvorni_sadrzaj>
      <item>IVAN FORTUNA, OIB 20007012551, Gundulićeva 25, 10000 Zagreb</item>
      <item>CLAUDIA FORTUNA, OIB 85628705216, Dužice 1, 10000 Zagreb</item>
    </izvorni_sadrzaj>
    <derivirana_varijabla naziv="DomainObject.Predmet.OstaliListFormatedWithAdressOIB_1">
      <item>IVAN FORTUNA, OIB 20007012551, Gundulićeva 25, 10000 Zagreb</item>
      <item>CLAUDIA FORTUNA, OIB 85628705216, Dužice 1, 10000 Zagreb</item>
    </derivirana_varijabla>
  </DomainObject.Predmet.OstaliListFormatedWithAdressOIB>
  <DomainObject.Predmet.OstaliListNazivFormated>
    <izvorni_sadrzaj>
      <item>IVAN FORTUNA</item>
      <item>CLAUDIA FORTUNA</item>
    </izvorni_sadrzaj>
    <derivirana_varijabla naziv="DomainObject.Predmet.OstaliListNazivFormated_1">
      <item>IVAN FORTUNA</item>
      <item>CLAUDIA FORTUNA</item>
    </derivirana_varijabla>
  </DomainObject.Predmet.OstaliListNazivFormated>
  <DomainObject.Predmet.OstaliListNazivFormatedOIB>
    <izvorni_sadrzaj>
      <item>IVAN FORTUNA, OIB 20007012551</item>
      <item>CLAUDIA FORTUNA, OIB 85628705216</item>
    </izvorni_sadrzaj>
    <derivirana_varijabla naziv="DomainObject.Predmet.OstaliListNazivFormatedOIB_1">
      <item>IVAN FORTUNA, OIB 20007012551</item>
      <item>CLAUDIA FORTUNA, OIB 85628705216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2016.</izvorni_sadrzaj>
    <derivirana_varijabla naziv="DomainObject.Datum_1">30. kolovoza 2016.</derivirana_varijabla>
  </DomainObject.Datum>
  <DomainObject.PoslovniBrojDokumenta>
    <izvorni_sadrzaj>St-666/2016-10</izvorni_sadrzaj>
    <derivirana_varijabla naziv="DomainObject.PoslovniBrojDokumenta_1">St-666/2016-10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FORTUNA NEKRETNINE d.o.o.</izvorni_sadrzaj>
    <derivirana_varijabla naziv="DomainObject.Predmet.ProtustrankaIDrugi_1">FORTUNA NEKRETNINE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FORTUNA NEKRETNINE d.o.o., OIB 50829344928, Teslina 14, 10000 Zagreb</izvorni_sadrzaj>
    <derivirana_varijabla naziv="DomainObject.Predmet.ProtustrankaIDrugiAdressOIB_1">FORTUNA NEKRETNINE d.o.o., OIB 50829344928, Teslina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25. srpnja 2016.</izvorni_sadrzaj>
    <derivirana_varijabla naziv="DomainObject.Predmet.OdlukaRjesenje.DatumDonosenjaOdluke_1">25. srpnja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St-666/2016-5</izvorni_sadrzaj>
    <derivirana_varijabla naziv="DomainObject.Predmet.OdlukaRjesenje.Oznaka_1">St-666/2016-5</derivirana_varijabla>
  </DomainObject.Predmet.OdlukaRjesenje.Oznaka>
  <DomainObject.Predmet.SudioniciListNaziv>
    <izvorni_sadrzaj>
      <item>FORTUNA NEKRETNINE d.o.o.</item>
      <item>FINA Regionalni centar Zagreb</item>
      <item>IVAN FORTUNA</item>
      <item>CLAUDIA FORTUNA</item>
    </izvorni_sadrzaj>
    <derivirana_varijabla naziv="DomainObject.Predmet.SudioniciListNaziv_1">
      <item>FORTUNA NEKRETNINE d.o.o.</item>
      <item>FINA Regionalni centar Zagreb</item>
      <item>IVAN FORTUNA</item>
      <item>CLAUDIA FORTUNA</item>
    </derivirana_varijabla>
  </DomainObject.Predmet.SudioniciListNaziv>
  <DomainObject.Predmet.SudioniciListAdressOIB>
    <izvorni_sadrzaj>
      <item>FORTUNA NEKRETNINE d.o.o., OIB 50829344928, Teslina 14,10000 Zagreb</item>
      <item>FINA Regionalni centar Zagreb, OIB 85821130368, Trg svibanjskih žrtava 1995. 1,10000 Zagreb</item>
      <item>IVAN FORTUNA, OIB 20007012551, Gundulićeva 25,10000 Zagreb</item>
      <item>CLAUDIA FORTUNA, OIB 85628705216, Dužice 1,10000 Zagreb</item>
    </izvorni_sadrzaj>
    <derivirana_varijabla naziv="DomainObject.Predmet.SudioniciListAdressOIB_1">
      <item>FORTUNA NEKRETNINE d.o.o., OIB 50829344928, Teslina 14,10000 Zagreb</item>
      <item>FINA Regionalni centar Zagreb, OIB 85821130368, Trg svibanjskih žrtava 1995. 1,10000 Zagreb</item>
      <item>IVAN FORTUNA, OIB 20007012551, Gundulićeva 25,10000 Zagreb</item>
      <item>CLAUDIA FORTUNA, OIB 85628705216, Dužice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24FC2F-0C55-4DB4-BCA1-C539A1AD00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820</properties:Words>
  <properties:Characters>4482</properties:Characters>
  <properties:Lines>112</properties:Lines>
  <properties:Paragraphs>26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2016-08-30T09:23:00Z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St-666/2016-10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