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0399" w14:paraId="ea40399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EB10C8">
        <w:rPr>
          <w:b/>
          <w:sz w:val="22"/>
          <w:szCs w:val="22"/>
          <w:lang w:eastAsia="hr-HR" w:val="hr-HR"/>
        </w:rPr>
        <w:t>5</w:t>
      </w:r>
      <w:r w:rsidR="00DD655F">
        <w:rPr>
          <w:b/>
          <w:sz w:val="22"/>
          <w:szCs w:val="22"/>
          <w:lang w:eastAsia="hr-HR" w:val="hr-HR"/>
        </w:rPr>
        <w:t>71</w:t>
      </w:r>
      <w:r w:rsidRPr="000373BF">
        <w:rPr>
          <w:b/>
          <w:sz w:val="22"/>
          <w:szCs w:val="22"/>
          <w:lang w:eastAsia="hr-HR" w:val="hr-HR"/>
        </w:rPr>
        <w:t>/201</w:t>
      </w:r>
      <w:r w:rsidR="00742DD1">
        <w:rPr>
          <w:b/>
          <w:sz w:val="22"/>
          <w:szCs w:val="22"/>
          <w:lang w:eastAsia="hr-HR" w:val="hr-HR"/>
        </w:rPr>
        <w:t>7</w:t>
      </w:r>
      <w:r w:rsidRPr="000373BF">
        <w:rPr>
          <w:b/>
          <w:sz w:val="22"/>
          <w:szCs w:val="22"/>
          <w:lang w:eastAsia="hr-HR" w:val="hr-HR"/>
        </w:rPr>
        <w:t>-</w:t>
      </w:r>
      <w:r w:rsidR="00DD655F">
        <w:rPr>
          <w:b/>
          <w:sz w:val="22"/>
          <w:szCs w:val="22"/>
          <w:lang w:eastAsia="hr-HR" w:val="hr-HR"/>
        </w:rPr>
        <w:t>15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EF66CE" w:rsidP="000373BF" w:rsidR="00EF66CE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</w:t>
      </w:r>
      <w:r w:rsidR="00DD655F" w:rsidRPr="00843E0B">
        <w:rPr>
          <w:sz w:val="22"/>
          <w:szCs w:val="22"/>
          <w:lang w:eastAsia="hr-HR" w:val="hr-HR"/>
        </w:rPr>
        <w:t>povodom prijedloga za otvaranje stečajnog postupka nad dužnikom NERETVANSKO BLAGO d.o.o., Mlinište, Badžula, Badžula</w:t>
      </w:r>
      <w:r w:rsidR="00DD655F" w:rsidRPr="00DD655F">
        <w:rPr>
          <w:sz w:val="22"/>
          <w:szCs w:val="22"/>
          <w:lang w:eastAsia="hr-HR" w:val="en-AU"/>
        </w:rPr>
        <w:t xml:space="preserve"> 10, MBS: 060283469, OIB: 75030097562</w:t>
      </w:r>
      <w:r w:rsidRPr="000373BF">
        <w:rPr>
          <w:sz w:val="22"/>
          <w:szCs w:val="22"/>
          <w:lang w:eastAsia="hr-HR" w:val="hr-HR"/>
        </w:rPr>
        <w:t xml:space="preserve">, izvan ročišta, dana </w:t>
      </w:r>
      <w:r w:rsidR="00843E0B">
        <w:rPr>
          <w:sz w:val="22"/>
          <w:szCs w:val="22"/>
          <w:lang w:eastAsia="hr-HR" w:val="hr-HR"/>
        </w:rPr>
        <w:t>4</w:t>
      </w:r>
      <w:r w:rsidRPr="000373BF">
        <w:rPr>
          <w:sz w:val="22"/>
          <w:szCs w:val="22"/>
          <w:lang w:eastAsia="hr-HR" w:val="hr-HR"/>
        </w:rPr>
        <w:t xml:space="preserve">. </w:t>
      </w:r>
      <w:r w:rsidR="00843E0B">
        <w:rPr>
          <w:sz w:val="22"/>
          <w:szCs w:val="22"/>
          <w:lang w:eastAsia="hr-HR" w:val="hr-HR"/>
        </w:rPr>
        <w:t>srpnja</w:t>
      </w:r>
      <w:r w:rsidR="00062283">
        <w:rPr>
          <w:sz w:val="22"/>
          <w:szCs w:val="22"/>
          <w:lang w:eastAsia="hr-HR" w:val="hr-HR"/>
        </w:rPr>
        <w:t xml:space="preserve"> </w:t>
      </w:r>
      <w:r w:rsidRPr="000373BF">
        <w:rPr>
          <w:sz w:val="22"/>
          <w:szCs w:val="22"/>
          <w:lang w:eastAsia="hr-HR" w:val="hr-HR"/>
        </w:rPr>
        <w:t>201</w:t>
      </w:r>
      <w:r w:rsidR="00A130BC">
        <w:rPr>
          <w:sz w:val="22"/>
          <w:szCs w:val="22"/>
          <w:lang w:eastAsia="hr-HR" w:val="hr-HR"/>
        </w:rPr>
        <w:t>7</w:t>
      </w:r>
      <w:r w:rsidRPr="000373BF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EF66CE">
      <w:pPr>
        <w:jc w:val="both"/>
        <w:rPr>
          <w:sz w:val="16"/>
          <w:szCs w:val="16"/>
          <w:lang w:val="hr-HR"/>
        </w:rPr>
      </w:pPr>
    </w:p>
    <w:p w:rsidRDefault="00EF66CE" w:rsidP="00CF597E" w:rsidR="00EF66CE" w:rsidRPr="00EF66CE">
      <w:pPr>
        <w:jc w:val="both"/>
        <w:rPr>
          <w:sz w:val="16"/>
          <w:szCs w:val="16"/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F47360" w:rsidP="00D95091" w:rsidR="00843E0B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Odbacuje se </w:t>
      </w:r>
      <w:r w:rsidR="00843E0B">
        <w:rPr>
          <w:sz w:val="22"/>
          <w:szCs w:val="22"/>
          <w:lang w:val="hr-HR"/>
        </w:rPr>
        <w:t>žalba Ivice Crnčevića iz Badžule protiv rješenja ovog suda psol.br. St. 571/2017-</w:t>
      </w:r>
      <w:r w:rsidR="002A6A34">
        <w:rPr>
          <w:sz w:val="22"/>
          <w:szCs w:val="22"/>
          <w:lang w:val="hr-HR"/>
        </w:rPr>
        <w:t>4</w:t>
      </w:r>
      <w:r w:rsidR="00843E0B">
        <w:rPr>
          <w:sz w:val="22"/>
          <w:szCs w:val="22"/>
          <w:lang w:val="hr-HR"/>
        </w:rPr>
        <w:t xml:space="preserve"> od </w:t>
      </w:r>
      <w:r w:rsidR="00AE3B54">
        <w:rPr>
          <w:sz w:val="22"/>
          <w:szCs w:val="22"/>
          <w:lang w:val="hr-HR"/>
        </w:rPr>
        <w:t>6</w:t>
      </w:r>
      <w:r w:rsidR="00843E0B">
        <w:rPr>
          <w:sz w:val="22"/>
          <w:szCs w:val="22"/>
          <w:lang w:val="hr-HR"/>
        </w:rPr>
        <w:t>. lipnja 2017. godine.</w:t>
      </w:r>
    </w:p>
    <w:p w:rsidRDefault="00EF66CE" w:rsidP="00D579D1" w:rsidR="00EF66CE">
      <w:pPr>
        <w:jc w:val="center"/>
        <w:rPr>
          <w:b/>
          <w:sz w:val="20"/>
          <w:szCs w:val="20"/>
          <w:lang w:val="hr-HR"/>
        </w:rPr>
      </w:pPr>
    </w:p>
    <w:p w:rsidRDefault="00EF66CE" w:rsidP="00D579D1" w:rsidR="00EF66CE">
      <w:pPr>
        <w:jc w:val="center"/>
        <w:rPr>
          <w:b/>
          <w:sz w:val="20"/>
          <w:szCs w:val="20"/>
          <w:lang w:val="hr-HR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EB10C8" w:rsidR="00EB10C8">
      <w:pPr>
        <w:jc w:val="both"/>
        <w:rPr>
          <w:sz w:val="22"/>
          <w:szCs w:val="22"/>
          <w:lang w:val="hr-HR"/>
        </w:rPr>
      </w:pPr>
      <w:r w:rsidRPr="00476859">
        <w:rPr>
          <w:sz w:val="22"/>
          <w:szCs w:val="22"/>
        </w:rPr>
        <w:tab/>
      </w:r>
      <w:r w:rsidR="002A6A34">
        <w:rPr>
          <w:sz w:val="22"/>
          <w:szCs w:val="22"/>
          <w:lang w:val="hr-HR"/>
        </w:rPr>
        <w:t xml:space="preserve">Rješenjem ovog suda posl.br. St. 571/2017-4 od </w:t>
      </w:r>
      <w:r w:rsidR="00F5472F">
        <w:rPr>
          <w:sz w:val="22"/>
          <w:szCs w:val="22"/>
          <w:lang w:val="hr-HR"/>
        </w:rPr>
        <w:t>6</w:t>
      </w:r>
      <w:r w:rsidR="002A6A34">
        <w:rPr>
          <w:sz w:val="22"/>
          <w:szCs w:val="22"/>
          <w:lang w:val="hr-HR"/>
        </w:rPr>
        <w:t xml:space="preserve">. lipnja 2017. godine </w:t>
      </w:r>
      <w:r w:rsidR="00D965F6">
        <w:rPr>
          <w:sz w:val="22"/>
          <w:szCs w:val="22"/>
          <w:lang w:val="hr-HR"/>
        </w:rPr>
        <w:t xml:space="preserve">pokrenut je </w:t>
      </w:r>
      <w:r w:rsidR="00D965F6" w:rsidRPr="00D965F6">
        <w:rPr>
          <w:sz w:val="22"/>
          <w:szCs w:val="22"/>
          <w:lang w:val="hr-HR"/>
        </w:rPr>
        <w:t>postupak radi utvrđenja pretpostavki za otvaranje stečajnog postupka (prethodni postupak) nad dužnikom</w:t>
      </w:r>
      <w:r w:rsidR="00D965F6">
        <w:rPr>
          <w:sz w:val="22"/>
          <w:szCs w:val="22"/>
          <w:lang w:val="hr-HR"/>
        </w:rPr>
        <w:t xml:space="preserve"> i određeno je r</w:t>
      </w:r>
      <w:r w:rsidR="00D965F6" w:rsidRPr="00D965F6">
        <w:rPr>
          <w:sz w:val="22"/>
          <w:szCs w:val="22"/>
          <w:lang w:val="hr-HR"/>
        </w:rPr>
        <w:t>očište radi očitovanju o prijedlogu za otvaranje stečajnog postupka</w:t>
      </w:r>
      <w:r w:rsidR="006D3694">
        <w:rPr>
          <w:sz w:val="22"/>
          <w:szCs w:val="22"/>
          <w:lang w:val="hr-HR"/>
        </w:rPr>
        <w:t>.</w:t>
      </w:r>
    </w:p>
    <w:p w:rsidRDefault="006D3694" w:rsidP="00EB10C8" w:rsidR="006D3694" w:rsidRPr="00EF66CE">
      <w:pPr>
        <w:jc w:val="both"/>
        <w:rPr>
          <w:sz w:val="16"/>
          <w:szCs w:val="16"/>
          <w:lang w:val="hr-HR"/>
        </w:rPr>
      </w:pPr>
    </w:p>
    <w:p w:rsidRDefault="006D3694" w:rsidP="00EB10C8" w:rsidR="006D3694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Ivica Crnčević, u sudskom registru upisan kao osoba ovlaštena za zastupanje dužnika, podnio je preko pošte preporučeno 19. lipnja 2017. godine žalbu protiv rješenja ovog suda posl.br. st.571/2017-8. U žalbi se u bitnome navodi </w:t>
      </w:r>
      <w:r w:rsidR="00AE3B54">
        <w:rPr>
          <w:sz w:val="22"/>
          <w:szCs w:val="22"/>
          <w:lang w:val="hr-HR"/>
        </w:rPr>
        <w:t>da je pobijanim rješenjem predloženo otvaranje stečajnog postupka na dužnikom čemu se žalitelj protivi iz razloga što stečajni postupak i daljnji tijek može izazvati nepotrebne troškove a dužnik radi sezonski kroz ljeto i sve dospjele obveze prema predlagatelju Financijskoj agenciji će podmiriti kada krene naplata potraživanja od kupaca što se očekuje u srpnju 2017. godine.</w:t>
      </w:r>
    </w:p>
    <w:p w:rsidRDefault="00AE3B54" w:rsidP="00EB10C8" w:rsidR="00AE3B54" w:rsidRPr="00EF66CE">
      <w:pPr>
        <w:jc w:val="both"/>
        <w:rPr>
          <w:sz w:val="16"/>
          <w:szCs w:val="16"/>
          <w:lang w:val="hr-HR"/>
        </w:rPr>
      </w:pPr>
    </w:p>
    <w:p w:rsidRDefault="00AE3B54" w:rsidP="00EB10C8" w:rsidR="00AE3B54" w:rsidRPr="00EB10C8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Iz sadržaja žalbe proizlazi da se žalba podnosi protiv rješenja ovog suda posl.br. st. 571/2017-4 od </w:t>
      </w:r>
      <w:r w:rsidR="00F5472F">
        <w:rPr>
          <w:sz w:val="22"/>
          <w:szCs w:val="22"/>
          <w:lang w:val="hr-HR"/>
        </w:rPr>
        <w:t>6</w:t>
      </w:r>
      <w:r>
        <w:rPr>
          <w:sz w:val="22"/>
          <w:szCs w:val="22"/>
          <w:lang w:val="hr-HR"/>
        </w:rPr>
        <w:t>. lipnja 2017. godine, a ne kako se u žalbi navodi protiv rješenja ovog suda posl.br. st.571/2017-8, budući da je rješenj</w:t>
      </w:r>
      <w:r w:rsidR="00F5472F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 xml:space="preserve">m posl.br. st. 571/2017-8 od </w:t>
      </w:r>
      <w:r w:rsidR="00F5472F">
        <w:rPr>
          <w:sz w:val="22"/>
          <w:szCs w:val="22"/>
          <w:lang w:val="hr-HR"/>
        </w:rPr>
        <w:t>6. lipnja 2017. godine pozvan Ivica Crnčević platiti predujam za namirenje troškova stečajnog postupka</w:t>
      </w:r>
      <w:r w:rsidR="00916E50">
        <w:rPr>
          <w:sz w:val="22"/>
          <w:szCs w:val="22"/>
          <w:lang w:val="hr-HR"/>
        </w:rPr>
        <w:t xml:space="preserve"> u iznosu od 1.000,00 kuna, odnosno sadržajno je različito od navoda iz žalbe. </w:t>
      </w:r>
    </w:p>
    <w:p w:rsidRDefault="00D579D1" w:rsidP="00D579D1" w:rsidR="00D579D1" w:rsidRPr="00EF77BC">
      <w:pPr>
        <w:jc w:val="both"/>
        <w:rPr>
          <w:sz w:val="16"/>
          <w:szCs w:val="16"/>
        </w:rPr>
      </w:pPr>
    </w:p>
    <w:p w:rsidRDefault="00D579D1" w:rsidP="00EF77BC" w:rsidR="00916E50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916E50">
        <w:rPr>
          <w:sz w:val="22"/>
          <w:szCs w:val="22"/>
          <w:lang w:val="hr-HR"/>
        </w:rPr>
        <w:t>Žalba je nedopuštena.</w:t>
      </w:r>
    </w:p>
    <w:p w:rsidRDefault="00916E50" w:rsidP="00EF77BC" w:rsidR="00916E50" w:rsidRPr="00EF66CE">
      <w:pPr>
        <w:jc w:val="both"/>
        <w:rPr>
          <w:sz w:val="16"/>
          <w:szCs w:val="16"/>
          <w:lang w:val="hr-HR"/>
        </w:rPr>
      </w:pPr>
    </w:p>
    <w:p w:rsidRDefault="00916E50" w:rsidP="00916E50" w:rsidR="00916E50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Prema čl. 115. </w:t>
      </w:r>
      <w:r w:rsidRPr="00916E50">
        <w:rPr>
          <w:sz w:val="22"/>
          <w:szCs w:val="22"/>
          <w:lang w:val="hr-HR"/>
        </w:rPr>
        <w:t>Stečajnog zakona (NN 71/15, dalje u tekstu SZ)</w:t>
      </w:r>
      <w:r>
        <w:rPr>
          <w:sz w:val="22"/>
          <w:szCs w:val="22"/>
          <w:lang w:val="hr-HR"/>
        </w:rPr>
        <w:t xml:space="preserve"> </w:t>
      </w:r>
      <w:r w:rsidR="002C061E">
        <w:rPr>
          <w:sz w:val="22"/>
          <w:szCs w:val="22"/>
          <w:lang w:val="hr-HR"/>
        </w:rPr>
        <w:t>na temelju prijedloga za otvaranje stečajnog postupka sud donosi rješenje o pokretanju postupka radi utvrđivanje pretpostavki za otvaranje stečajnog postupka (prethodni postupak) protiv kojeg nije dopuštena posebna žalba.</w:t>
      </w:r>
      <w:r w:rsidR="00007B98">
        <w:rPr>
          <w:sz w:val="22"/>
          <w:szCs w:val="22"/>
          <w:lang w:val="hr-HR"/>
        </w:rPr>
        <w:t xml:space="preserve"> Dakle, protiv pobijanog rješenja ovog suda posl.br. St.571/2017-4 od 6. lipnja 2017. godine žalba nije dopuštena, što je jasno navedenu i u pouci o pravnom lijeku u pobijanom rješenju.</w:t>
      </w:r>
    </w:p>
    <w:p w:rsidRDefault="00012AC7" w:rsidP="00916E50" w:rsidR="00012AC7" w:rsidRPr="00EF66CE">
      <w:pPr>
        <w:jc w:val="both"/>
        <w:rPr>
          <w:sz w:val="16"/>
          <w:szCs w:val="16"/>
          <w:lang w:val="hr-HR"/>
        </w:rPr>
      </w:pPr>
    </w:p>
    <w:p w:rsidRDefault="00012AC7" w:rsidP="00954F6C" w:rsidR="00954F6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Sukladno čl. 10. SZ u stečajnom postupku na odgovarajući način se primjenjuju pravila parničnog postupka u postupku pred trgovačkim sudovima. Prema čl. </w:t>
      </w:r>
      <w:r w:rsidR="00954F6C">
        <w:rPr>
          <w:sz w:val="22"/>
          <w:szCs w:val="22"/>
          <w:lang w:val="hr-HR"/>
        </w:rPr>
        <w:t xml:space="preserve">358. </w:t>
      </w:r>
      <w:r w:rsidR="00954F6C" w:rsidRPr="00954F6C">
        <w:rPr>
          <w:sz w:val="22"/>
          <w:szCs w:val="22"/>
          <w:lang w:val="hr-HR"/>
        </w:rPr>
        <w:t xml:space="preserve">Zakona o parničnom </w:t>
      </w:r>
      <w:r w:rsidR="00954F6C" w:rsidRPr="00954F6C">
        <w:rPr>
          <w:sz w:val="22"/>
          <w:szCs w:val="22"/>
          <w:lang w:val="hr-HR"/>
        </w:rPr>
        <w:lastRenderedPageBreak/>
        <w:t>postupku (NN 53/91, 91/92, 112/99, 88/01, 117/03, 84/08, 123/08, 57/11, 148/11, 25/13, dalje u tekstu: ZPP)</w:t>
      </w:r>
      <w:r w:rsidR="00954F6C">
        <w:rPr>
          <w:sz w:val="22"/>
          <w:szCs w:val="22"/>
          <w:lang w:val="hr-HR"/>
        </w:rPr>
        <w:t xml:space="preserve"> n</w:t>
      </w:r>
      <w:r w:rsidR="00EF66CE">
        <w:rPr>
          <w:sz w:val="22"/>
          <w:szCs w:val="22"/>
          <w:lang w:val="hr-HR"/>
        </w:rPr>
        <w:t>edopuštenu žalbu će se odbaciti.</w:t>
      </w:r>
    </w:p>
    <w:p w:rsidRDefault="00EF66CE" w:rsidP="00954F6C" w:rsidR="00EF66CE" w:rsidRPr="00EF66CE">
      <w:pPr>
        <w:jc w:val="both"/>
        <w:rPr>
          <w:sz w:val="16"/>
          <w:szCs w:val="16"/>
          <w:lang w:val="hr-HR"/>
        </w:rPr>
      </w:pPr>
    </w:p>
    <w:p w:rsidRDefault="00EF66CE" w:rsidP="00954F6C" w:rsidR="00EF66CE" w:rsidRPr="00954F6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012AC7" w:rsidP="00916E50" w:rsidR="00012AC7" w:rsidRPr="00916E50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EF66CE">
        <w:rPr>
          <w:b/>
          <w:sz w:val="22"/>
          <w:szCs w:val="22"/>
          <w:lang w:val="hr-HR"/>
        </w:rPr>
        <w:t>4. srpnja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7D23E9">
        <w:rPr>
          <w:b/>
          <w:sz w:val="22"/>
          <w:szCs w:val="22"/>
          <w:lang w:val="hr-HR"/>
        </w:rPr>
        <w:t>7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BF260A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BF260A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EF66CE" w:rsidP="00D579D1" w:rsidR="00EF66CE">
      <w:pPr>
        <w:jc w:val="both"/>
        <w:rPr>
          <w:b/>
          <w:sz w:val="22"/>
          <w:szCs w:val="22"/>
          <w:lang w:val="hr-HR"/>
        </w:rPr>
      </w:pPr>
    </w:p>
    <w:p w:rsidRDefault="00EF66CE" w:rsidP="00D579D1" w:rsidR="00EF66CE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5E4A31" w:rsidP="005E4A31" w:rsidR="005E4A31" w:rsidRPr="005E4A31">
      <w:pPr>
        <w:jc w:val="both"/>
        <w:rPr>
          <w:sz w:val="22"/>
          <w:szCs w:val="22"/>
          <w:lang w:val="hr-HR"/>
        </w:rPr>
      </w:pPr>
      <w:r w:rsidRPr="005E4A31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BF260A">
      <w:pPr>
        <w:jc w:val="both"/>
        <w:rPr>
          <w:b/>
          <w:sz w:val="16"/>
          <w:szCs w:val="16"/>
          <w:lang w:val="hr-HR"/>
        </w:rPr>
      </w:pPr>
    </w:p>
    <w:p w:rsidRDefault="00D579D1" w:rsidP="00D579D1" w:rsidR="00D579D1" w:rsidRPr="00EF66CE">
      <w:pPr>
        <w:jc w:val="both"/>
        <w:rPr>
          <w:b/>
          <w:sz w:val="22"/>
          <w:szCs w:val="22"/>
          <w:lang w:val="hr-HR"/>
        </w:rPr>
      </w:pPr>
      <w:r w:rsidRPr="00EF66CE">
        <w:rPr>
          <w:b/>
          <w:sz w:val="22"/>
          <w:szCs w:val="22"/>
          <w:lang w:val="hr-HR"/>
        </w:rPr>
        <w:t xml:space="preserve">DN-a </w:t>
      </w:r>
      <w:r w:rsidRPr="00EF66CE">
        <w:rPr>
          <w:sz w:val="22"/>
          <w:szCs w:val="22"/>
          <w:lang w:val="hr-HR"/>
        </w:rPr>
        <w:t>(</w:t>
      </w:r>
      <w:r w:rsidR="00756CF1" w:rsidRPr="00EF66CE">
        <w:rPr>
          <w:sz w:val="22"/>
          <w:szCs w:val="22"/>
          <w:lang w:val="hr-HR"/>
        </w:rPr>
        <w:t>0</w:t>
      </w:r>
      <w:r w:rsidR="00EF66CE">
        <w:rPr>
          <w:sz w:val="22"/>
          <w:szCs w:val="22"/>
          <w:lang w:val="hr-HR"/>
        </w:rPr>
        <w:t>4</w:t>
      </w:r>
      <w:r w:rsidRPr="00EF66CE">
        <w:rPr>
          <w:sz w:val="22"/>
          <w:szCs w:val="22"/>
          <w:lang w:val="hr-HR"/>
        </w:rPr>
        <w:t>.0</w:t>
      </w:r>
      <w:r w:rsidR="00EF66CE">
        <w:rPr>
          <w:sz w:val="22"/>
          <w:szCs w:val="22"/>
          <w:lang w:val="hr-HR"/>
        </w:rPr>
        <w:t>7</w:t>
      </w:r>
      <w:r w:rsidRPr="00EF66CE">
        <w:rPr>
          <w:sz w:val="22"/>
          <w:szCs w:val="22"/>
          <w:lang w:val="hr-HR"/>
        </w:rPr>
        <w:t>.201</w:t>
      </w:r>
      <w:r w:rsidR="00EF66CE">
        <w:rPr>
          <w:sz w:val="22"/>
          <w:szCs w:val="22"/>
          <w:lang w:val="hr-HR"/>
        </w:rPr>
        <w:t>7</w:t>
      </w:r>
      <w:r w:rsidRPr="00EF66CE">
        <w:rPr>
          <w:sz w:val="22"/>
          <w:szCs w:val="22"/>
          <w:lang w:val="hr-HR"/>
        </w:rPr>
        <w:t>.g.)</w:t>
      </w:r>
      <w:r w:rsidRPr="00EF66CE">
        <w:rPr>
          <w:b/>
          <w:sz w:val="22"/>
          <w:szCs w:val="22"/>
          <w:lang w:val="hr-HR"/>
        </w:rPr>
        <w:t>:</w:t>
      </w:r>
    </w:p>
    <w:p w:rsidRDefault="00A52300" w:rsidP="00A52300" w:rsidR="0018462A" w:rsidRPr="00EF66CE">
      <w:pPr>
        <w:rPr>
          <w:sz w:val="22"/>
          <w:szCs w:val="22"/>
          <w:lang w:val="hr-HR"/>
        </w:rPr>
      </w:pPr>
      <w:r w:rsidRPr="00EF66CE">
        <w:rPr>
          <w:sz w:val="22"/>
          <w:szCs w:val="22"/>
          <w:lang w:val="hr-HR"/>
        </w:rPr>
        <w:t xml:space="preserve">- </w:t>
      </w:r>
      <w:r w:rsidR="002616BD">
        <w:rPr>
          <w:sz w:val="22"/>
          <w:szCs w:val="22"/>
          <w:lang w:val="hr-HR"/>
        </w:rPr>
        <w:t>žalitelju</w:t>
      </w:r>
      <w:r w:rsidR="0048291B" w:rsidRPr="00EF66CE">
        <w:rPr>
          <w:sz w:val="22"/>
          <w:szCs w:val="22"/>
          <w:lang w:val="hr-HR"/>
        </w:rPr>
        <w:t>,</w:t>
      </w:r>
    </w:p>
    <w:p w:rsidRDefault="00CA0377" w:rsidR="00214D07" w:rsidRPr="00EF66CE">
      <w:pPr>
        <w:rPr>
          <w:sz w:val="22"/>
          <w:szCs w:val="22"/>
          <w:lang w:val="hr-HR"/>
        </w:rPr>
      </w:pPr>
      <w:r w:rsidRPr="00EF66CE">
        <w:rPr>
          <w:sz w:val="22"/>
          <w:szCs w:val="22"/>
          <w:lang w:val="hr-HR"/>
        </w:rPr>
        <w:t>-</w:t>
      </w:r>
      <w:r w:rsidR="00A52300" w:rsidRPr="00EF66CE">
        <w:rPr>
          <w:sz w:val="22"/>
          <w:szCs w:val="22"/>
          <w:lang w:val="hr-HR"/>
        </w:rPr>
        <w:t xml:space="preserve"> mrežna stranica e oglasna ploča. </w:t>
      </w:r>
    </w:p>
    <w:sectPr w:rsidSect="00EF66CE" w:rsidR="00214D07" w:rsidRPr="00EF66CE">
      <w:headerReference w:type="default" r:id="rId12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BF260A" w:rsidR="00BF260A" w:rsidRPr="00BF260A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FB6" w:rsidRPr="00C65FB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BF260A" w:rsidRPr="00BF260A">
          <w:rPr>
            <w:b/>
            <w:sz w:val="22"/>
            <w:szCs w:val="22"/>
            <w:lang w:val="hr-HR"/>
          </w:rPr>
          <w:t>Posl. br. 6-St.</w:t>
        </w:r>
        <w:r w:rsidR="00EF66CE">
          <w:rPr>
            <w:b/>
            <w:sz w:val="22"/>
            <w:szCs w:val="22"/>
            <w:lang w:val="hr-HR"/>
          </w:rPr>
          <w:t>571</w:t>
        </w:r>
        <w:r w:rsidR="00BF260A" w:rsidRPr="00BF260A">
          <w:rPr>
            <w:b/>
            <w:sz w:val="22"/>
            <w:szCs w:val="22"/>
            <w:lang w:val="hr-HR"/>
          </w:rPr>
          <w:t>/2017-</w:t>
        </w:r>
        <w:r w:rsidR="00EF66CE">
          <w:rPr>
            <w:b/>
            <w:sz w:val="22"/>
            <w:szCs w:val="22"/>
            <w:lang w:val="hr-HR"/>
          </w:rPr>
          <w:t>15</w:t>
        </w:r>
      </w:p>
      <w:p w:rsidRDefault="00C65FB6" w:rsidP="0018462A" w:rsidR="00F73428" w:rsidRPr="00235267">
        <w:pPr>
          <w:pStyle w:val="Zaglavlje"/>
          <w:ind w:firstLine="4248"/>
          <w:jc w:val="center"/>
          <w:rPr>
            <w:b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7B98"/>
    <w:rsid w:val="00012AC7"/>
    <w:rsid w:val="000373BF"/>
    <w:rsid w:val="00062283"/>
    <w:rsid w:val="00070293"/>
    <w:rsid w:val="00121163"/>
    <w:rsid w:val="00125ABC"/>
    <w:rsid w:val="00172891"/>
    <w:rsid w:val="0018462A"/>
    <w:rsid w:val="001F6E0F"/>
    <w:rsid w:val="002033F6"/>
    <w:rsid w:val="00214D07"/>
    <w:rsid w:val="00235267"/>
    <w:rsid w:val="0025350A"/>
    <w:rsid w:val="002616BD"/>
    <w:rsid w:val="002724D2"/>
    <w:rsid w:val="00275619"/>
    <w:rsid w:val="002914EC"/>
    <w:rsid w:val="002A6A34"/>
    <w:rsid w:val="002B69F4"/>
    <w:rsid w:val="002C061E"/>
    <w:rsid w:val="00333915"/>
    <w:rsid w:val="003A4331"/>
    <w:rsid w:val="003B5D2C"/>
    <w:rsid w:val="0042610C"/>
    <w:rsid w:val="0048291B"/>
    <w:rsid w:val="004849B1"/>
    <w:rsid w:val="004E780F"/>
    <w:rsid w:val="005713B9"/>
    <w:rsid w:val="0059418E"/>
    <w:rsid w:val="005B2627"/>
    <w:rsid w:val="005E4A31"/>
    <w:rsid w:val="00632159"/>
    <w:rsid w:val="00675D76"/>
    <w:rsid w:val="006D3694"/>
    <w:rsid w:val="006F3EF3"/>
    <w:rsid w:val="00734617"/>
    <w:rsid w:val="00740790"/>
    <w:rsid w:val="00742DD1"/>
    <w:rsid w:val="00756CF1"/>
    <w:rsid w:val="007D23E9"/>
    <w:rsid w:val="007F3F05"/>
    <w:rsid w:val="008329D3"/>
    <w:rsid w:val="00843E0B"/>
    <w:rsid w:val="00892C09"/>
    <w:rsid w:val="008D1D02"/>
    <w:rsid w:val="00916E50"/>
    <w:rsid w:val="009419AC"/>
    <w:rsid w:val="009446F5"/>
    <w:rsid w:val="00954F6C"/>
    <w:rsid w:val="009A2A70"/>
    <w:rsid w:val="009B555A"/>
    <w:rsid w:val="009D6E41"/>
    <w:rsid w:val="00A130BC"/>
    <w:rsid w:val="00A52300"/>
    <w:rsid w:val="00AD0900"/>
    <w:rsid w:val="00AD5A2D"/>
    <w:rsid w:val="00AE3B54"/>
    <w:rsid w:val="00AF406D"/>
    <w:rsid w:val="00BA104A"/>
    <w:rsid w:val="00BA4483"/>
    <w:rsid w:val="00BC1899"/>
    <w:rsid w:val="00BD077B"/>
    <w:rsid w:val="00BF260A"/>
    <w:rsid w:val="00BF7980"/>
    <w:rsid w:val="00C02B7D"/>
    <w:rsid w:val="00C1514D"/>
    <w:rsid w:val="00C23F28"/>
    <w:rsid w:val="00C65FB6"/>
    <w:rsid w:val="00CA0377"/>
    <w:rsid w:val="00CB3325"/>
    <w:rsid w:val="00CF597E"/>
    <w:rsid w:val="00D42952"/>
    <w:rsid w:val="00D579D1"/>
    <w:rsid w:val="00D95091"/>
    <w:rsid w:val="00D965F6"/>
    <w:rsid w:val="00DD655F"/>
    <w:rsid w:val="00E0754F"/>
    <w:rsid w:val="00E45C67"/>
    <w:rsid w:val="00EB10C8"/>
    <w:rsid w:val="00EF66CE"/>
    <w:rsid w:val="00EF77BC"/>
    <w:rsid w:val="00F47360"/>
    <w:rsid w:val="00F50BEA"/>
    <w:rsid w:val="00F5472F"/>
    <w:rsid w:val="00F73428"/>
    <w:rsid w:val="00FB1D34"/>
    <w:rsid w:val="00FB4AB0"/>
    <w:rsid w:val="00FC157F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65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F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FB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FB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FB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65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F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FB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FB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FB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 SZ-a</izvorni_sadrzaj>
    <derivirana_varijabla naziv="DomainObject.Predmet.Opis_1">čl. 110. 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NERETVANSKO BLAGO, društvo s ograničenom odgovornošću za proizvodnju, trgovinu i usluge</izvorni_sadrzaj>
    <derivirana_varijabla naziv="DomainObject.Predmet.ProtustrankaFormated_1">  NERETVANSKO BLAGO, društvo s ograničenom odgovornošću za proizvodnju, trgovinu i usluge</derivirana_varijabla>
  </DomainObject.Predmet.ProtustrankaFormated>
  <DomainObject.Predmet.ProtustrankaFormatedOIB>
    <izvorni_sadrzaj>  NERETVANSKO BLAGO, društvo s ograničenom odgovornošću za proizvodnju, trgovinu i usluge, OIB 75030097562</izvorni_sadrzaj>
    <derivirana_varijabla naziv="DomainObject.Predmet.ProtustrankaFormatedOIB_1">  NERETVANSKO BLAGO, društvo s ograničenom odgovornošću za proizvodnju, trgovinu i usluge, OIB 75030097562</derivirana_varijabla>
  </DomainObject.Predmet.ProtustrankaFormatedOIB>
  <DomainObject.Predmet.ProtustrankaFormatedWithAdress>
    <izvorni_sadrzaj> NERETVANSKO BLAGO, društvo s ograničenom odgovornošću za proizvodnju, trgovinu i usluge, Badžula, Badžula 10, 20353 Mlinište</izvorni_sadrzaj>
    <derivirana_varijabla naziv="DomainObject.Predmet.ProtustrankaFormatedWithAdress_1"> NERETVANSKO BLAGO, društvo s ograničenom odgovornošću za proizvodnju, trgovinu i usluge, Badžula, Badžula 10, 20353 Mlinište</derivirana_varijabla>
  </DomainObject.Predmet.ProtustrankaFormatedWithAdress>
  <DomainObject.Predmet.ProtustrankaFormatedWithAdressOIB>
    <izvorni_sadrzaj> NERETVANSKO BLAGO, društvo s ograničenom odgovornošću za proizvodnju, trgovinu i usluge, OIB 75030097562, Badžula, Badžula 10, 20353 Mlinište</izvorni_sadrzaj>
    <derivirana_varijabla naziv="DomainObject.Predmet.ProtustrankaFormatedWithAdressOIB_1"> NERETVANSKO BLAGO, društvo s ograničenom odgovornošću za proizvodnju, trgovinu i usluge, OIB 75030097562, Badžula, Badžula 10, 20353 Mlinište</derivirana_varijabla>
  </DomainObject.Predmet.ProtustrankaFormatedWithAdressOIB>
  <DomainObject.Predmet.ProtustrankaWithAdress>
    <izvorni_sadrzaj>NERETVANSKO BLAGO, društvo s ograničenom odgovornošću za proizvodnju, trgovinu i usluge Badžula, Badžula 10, 20353 Mlinište</izvorni_sadrzaj>
    <derivirana_varijabla naziv="DomainObject.Predmet.ProtustrankaWithAdress_1">NERETVANSKO BLAGO, društvo s ograničenom odgovornošću za proizvodnju, trgovinu i usluge Badžula, Badžula 10, 20353 Mlinište</derivirana_varijabla>
  </DomainObject.Predmet.ProtustrankaWithAdress>
  <DomainObject.Predmet.ProtustrankaWithAdressOIB>
    <izvorni_sadrzaj>NERETVANSKO BLAGO, društvo s ograničenom odgovornošću za proizvodnju, trgovinu i usluge, OIB 75030097562, Badžula, Badžula 10, 20353 Mlinište</izvorni_sadrzaj>
    <derivirana_varijabla naziv="DomainObject.Predmet.ProtustrankaWithAdressOIB_1">NERETVANSKO BLAGO, društvo s ograničenom odgovornošću za proizvodnju, trgovinu i usluge, OIB 75030097562, Badžula, Badžula 10, 20353 Mlinište</derivirana_varijabla>
  </DomainObject.Predmet.ProtustrankaWithAdressOIB>
  <DomainObject.Predmet.ProtustrankaNazivFormated>
    <izvorni_sadrzaj>NERETVANSKO BLAGO, društvo s ograničenom odgovornošću za proizvodnju, trgovinu i usluge</izvorni_sadrzaj>
    <derivirana_varijabla naziv="DomainObject.Predmet.ProtustrankaNazivFormated_1">NERETVANSKO BLAGO, društvo s ograničenom odgovornošću za proizvodnju, trgovinu i usluge</derivirana_varijabla>
  </DomainObject.Predmet.ProtustrankaNazivFormated>
  <DomainObject.Predmet.ProtustrankaNazivFormatedOIB>
    <izvorni_sadrzaj>NERETVANSKO BLAGO, društvo s ograničenom odgovornošću za proizvodnju, trgovinu i usluge, OIB 75030097562</izvorni_sadrzaj>
    <derivirana_varijabla naziv="DomainObject.Predmet.ProtustrankaNazivFormatedOIB_1">NERETVANSKO BLAGO, društvo s ograničenom odgovornošću za proizvodnju, trgovinu i usluge, OIB 75030097562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28609.66</izvorni_sadrzaj>
    <derivirana_varijabla naziv="DomainObject.Predmet.TrenutnaVrijednost_1">28609.66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NERETVANSKO BLAGO, društvo s ograničenom odgovornošću za proizvodnju, trgovinu i usluge</item>
    </izvorni_sadrzaj>
    <derivirana_varijabla naziv="DomainObject.Predmet.ProtuStrankaListFormated_1">
      <item>NERETVANSKO BLAGO, društvo s ograničenom odgovornošću za proizvodnju, trgovinu i usluge</item>
    </derivirana_varijabla>
  </DomainObject.Predmet.ProtuStrankaListFormated>
  <DomainObject.Predmet.ProtuStrankaListFormatedOIB>
    <izvorni_sadrzaj>
      <item>NERETVANSKO BLAGO, društvo s ograničenom odgovornošću za proizvodnju, trgovinu i usluge, OIB 75030097562</item>
    </izvorni_sadrzaj>
    <derivirana_varijabla naziv="DomainObject.Predmet.ProtuStrankaListFormatedOIB_1">
      <item>NERETVANSKO BLAGO, društvo s ograničenom odgovornošću za proizvodnju, trgovinu i usluge, OIB 75030097562</item>
    </derivirana_varijabla>
  </DomainObject.Predmet.ProtuStrankaListFormatedOIB>
  <DomainObject.Predmet.ProtuStrankaListFormatedWithAdress>
    <izvorni_sadrzaj>
      <item>NERETVANSKO BLAGO, društvo s ograničenom odgovornošću za proizvodnju, trgovinu i usluge, Badžula, Badžula 10, 20353 Mlinište</item>
    </izvorni_sadrzaj>
    <derivirana_varijabla naziv="DomainObject.Predmet.ProtuStrankaListFormatedWithAdress_1">
      <item>NERETVANSKO BLAGO, društvo s ograničenom odgovornošću za proizvodnju, trgovinu i usluge, Badžula, Badžula 10, 20353 Mlinište</item>
    </derivirana_varijabla>
  </DomainObject.Predmet.ProtuStrankaListFormatedWithAdress>
  <DomainObject.Predmet.ProtuStrankaListFormatedWithAdressOIB>
    <izvorni_sadrzaj>
      <item>NERETVANSKO BLAGO, društvo s ograničenom odgovornošću za proizvodnju, trgovinu i usluge, OIB 75030097562, Badžula, Badžula 10, 20353 Mlinište</item>
    </izvorni_sadrzaj>
    <derivirana_varijabla naziv="DomainObject.Predmet.ProtuStrankaListFormatedWithAdressOIB_1">
      <item>NERETVANSKO BLAGO, društvo s ograničenom odgovornošću za proizvodnju, trgovinu i usluge, OIB 75030097562, Badžula, Badžula 10, 20353 Mlinište</item>
    </derivirana_varijabla>
  </DomainObject.Predmet.ProtuStrankaListFormatedWithAdressOIB>
  <DomainObject.Predmet.ProtuStrankaListNazivFormated>
    <izvorni_sadrzaj>
      <item>NERETVANSKO BLAGO, društvo s ograničenom odgovornošću za proizvodnju, trgovinu i usluge</item>
    </izvorni_sadrzaj>
    <derivirana_varijabla naziv="DomainObject.Predmet.ProtuStrankaListNazivFormated_1">
      <item>NERETVANSKO BLAGO, društvo s ograničenom odgovornošću za proizvodnju, trgovinu i usluge</item>
    </derivirana_varijabla>
  </DomainObject.Predmet.ProtuStrankaListNazivFormated>
  <DomainObject.Predmet.ProtuStrankaListNazivFormatedOIB>
    <izvorni_sadrzaj>
      <item>NERETVANSKO BLAGO, društvo s ograničenom odgovornošću za proizvodnju, trgovinu i usluge, OIB 75030097562</item>
    </izvorni_sadrzaj>
    <derivirana_varijabla naziv="DomainObject.Predmet.ProtuStrankaListNazivFormatedOIB_1">
      <item>NERETVANSKO BLAGO, društvo s ograničenom odgovornošću za proizvodnju, trgovinu i usluge, OIB 75030097562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NERETVANSKO BLAGO, društvo s ograničenom odgovornošću za proizvodnju, trgovinu i usluge</izvorni_sadrzaj>
    <derivirana_varijabla naziv="DomainObject.Predmet.ProtustrankaIDrugi_1">NERETVANSKO BLAGO,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NERETVANSKO BLAGO, društvo s ograničenom odgovornošću za proizvodnju, trgovinu i usluge, OIB 75030097562, Badžula, Badžula 10, 20353 Mlinište</izvorni_sadrzaj>
    <derivirana_varijabla naziv="DomainObject.Predmet.ProtustrankaIDrugiAdressOIB_1">NERETVANSKO BLAGO, društvo s ograničenom odgovornošću za proizvodnju, trgovinu i usluge, OIB 75030097562, Badžula, Badžula 10, 20353 Mlinište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NERETVANSKO BLAGO, društvo s ograničenom odgovornošću za proizvodnju, trgovinu i usluge</item>
      <item>FINA, RC Split, Podružnica Dubrovnik</item>
    </izvorni_sadrzaj>
    <derivirana_varijabla naziv="DomainObject.Predmet.SudioniciListNaziv_1">
      <item>NERETVANSKO BLAGO,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NERETVANSKO BLAGO, društvo s ograničenom odgovornošću za proizvodnju, trgovinu i usluge, OIB 75030097562, Badžula, Badžula 10,20353 Mlinište</item>
      <item>FINA, RC Split, Podružnica Dubrovnik, OIB 85821130368, Vukovarska 2,20000 Dubrovnik</item>
    </izvorni_sadrzaj>
    <derivirana_varijabla naziv="DomainObject.Predmet.SudioniciListAdressOIB_1">
      <item>NERETVANSKO BLAGO, društvo s ograničenom odgovornošću za proizvodnju, trgovinu i usluge, OIB 75030097562, Badžula, Badžula 10,20353 Mlinište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75030097562</item>
      <item>, OIB 85821130368</item>
    </izvorni_sadrzaj>
    <derivirana_varijabla naziv="DomainObject.Predmet.SudioniciListNazivOIB_1">
      <item>, OIB 75030097562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2872</properties:Characters>
  <properties:Lines>78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2017-07-04T08:49:00Z</dcterms:created>
  <dc:creator>Diana Butigan Granić</dc:creator>
  <cp:lastModifiedBy>Srđan Gavranić</cp:lastModifiedBy>
  <cp:lastPrinted>2016-04-29T08:46:00Z</cp:lastPrinted>
  <dcterms:modified xmlns:xsi="http://www.w3.org/2001/XMLSchema-instance" xsi:type="dcterms:W3CDTF">2017-07-04T08:56:00Z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