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3a592" w14:paraId="a63a592" w:rsidRDefault="00CB6BC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662940</wp:posOffset>
            </wp:positionV>
            <wp:extent cy="833755" cx="62484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3755" cx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CB6BC7" w:rsidP="00CB6BC7" w:rsidR="00CB6BC7">
      <w:pPr>
        <w:pStyle w:val="Bezproreda"/>
      </w:pPr>
      <w:r>
        <w:t xml:space="preserve">         Republika Hrvatska</w:t>
      </w:r>
    </w:p>
    <w:p w:rsidRDefault="00CB6BC7" w:rsidP="00CB6BC7" w:rsidR="00CB6BC7">
      <w:pPr>
        <w:pStyle w:val="Bezproreda"/>
      </w:pPr>
      <w:r>
        <w:t xml:space="preserve">     Trgovački sud u Bjelovaru</w:t>
      </w:r>
    </w:p>
    <w:p w:rsidRDefault="00CB6BC7" w:rsidP="00CB6BC7" w:rsidR="00CB6BC7">
      <w:pPr>
        <w:pStyle w:val="Bezproreda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CB6BC7" w:rsidP="00CB6BC7" w:rsidR="00CB6BC7" w:rsidRPr="00CB6BC7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  <w:r w:rsidRPr="00CB6BC7">
        <w:rPr>
          <w:rFonts w:cs="Times New Roman" w:eastAsia="Times New Roman"/>
          <w:noProof/>
          <w:lang w:eastAsia="hr-HR"/>
        </w:rPr>
        <w:t xml:space="preserve">    5 St-278/2017-14</w:t>
      </w:r>
      <w:bookmarkStart w:name="_GoBack" w:id="0"/>
      <w:bookmarkEnd w:id="0"/>
    </w:p>
    <w:p w:rsidRDefault="00CB6BC7" w:rsidP="00CB6BC7" w:rsidR="00CB6BC7" w:rsidRPr="00CB6BC7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</w:p>
    <w:p w:rsidRDefault="00CB6BC7" w:rsidP="00CB6BC7" w:rsidR="00CB6BC7" w:rsidRPr="00CB6BC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B6BC7" w:rsidP="00CB6BC7" w:rsidR="00CB6BC7" w:rsidRPr="00CB6BC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CB6BC7">
        <w:rPr>
          <w:rFonts w:cs="Times New Roman" w:eastAsia="Times New Roman"/>
          <w:noProof/>
          <w:lang w:eastAsia="hr-HR"/>
        </w:rPr>
        <w:t>R E P U B L I K A  H R V A T S K A</w:t>
      </w:r>
    </w:p>
    <w:p w:rsidRDefault="00CB6BC7" w:rsidP="00CB6BC7" w:rsidR="00CB6BC7" w:rsidRPr="00CB6BC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B6BC7" w:rsidP="00CB6BC7" w:rsidR="00CB6BC7" w:rsidRPr="00CB6BC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CB6BC7">
        <w:rPr>
          <w:rFonts w:cs="Times New Roman" w:eastAsia="Times New Roman"/>
          <w:noProof/>
          <w:lang w:eastAsia="hr-HR"/>
        </w:rPr>
        <w:t>R J E Š E N J E</w:t>
      </w:r>
    </w:p>
    <w:p w:rsidRDefault="00CB6BC7" w:rsidP="00CB6BC7" w:rsidR="00CB6BC7" w:rsidRPr="00CB6BC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B6BC7" w:rsidP="00CB6BC7" w:rsidR="00CB6BC7" w:rsidRPr="00CB6B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B6BC7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u stečajnom postupku nad dužnikom </w:t>
      </w:r>
      <w:r w:rsidRPr="00CB6BC7">
        <w:rPr>
          <w:rFonts w:cs="Times New Roman" w:eastAsia="Calibri"/>
          <w:szCs w:val="20"/>
          <w:lang w:eastAsia="hr-HR"/>
        </w:rPr>
        <w:t xml:space="preserve">Stečajna masa iza </w:t>
      </w:r>
      <w:r w:rsidRPr="00CB6BC7">
        <w:rPr>
          <w:rFonts w:cs="Times New Roman" w:eastAsia="Times New Roman"/>
          <w:szCs w:val="20"/>
          <w:lang w:eastAsia="hr-HR"/>
        </w:rPr>
        <w:t xml:space="preserve">TRGOVAČKE ZADRUGE KATAPULT u stečaju, Osijek, </w:t>
      </w:r>
      <w:proofErr w:type="spellStart"/>
      <w:r w:rsidRPr="00CB6BC7">
        <w:rPr>
          <w:rFonts w:cs="Times New Roman" w:eastAsia="Times New Roman"/>
          <w:szCs w:val="20"/>
          <w:lang w:eastAsia="hr-HR"/>
        </w:rPr>
        <w:t>Gornjodravska</w:t>
      </w:r>
      <w:proofErr w:type="spellEnd"/>
      <w:r w:rsidRPr="00CB6BC7">
        <w:rPr>
          <w:rFonts w:cs="Times New Roman" w:eastAsia="Times New Roman"/>
          <w:szCs w:val="20"/>
          <w:lang w:eastAsia="hr-HR"/>
        </w:rPr>
        <w:t xml:space="preserve"> obala 89/A, MBS: 010102102,  97833022611, 8. siječnja 2018. </w:t>
      </w:r>
    </w:p>
    <w:p w:rsidRDefault="00CB6BC7" w:rsidP="00CB6BC7" w:rsidR="00CB6BC7" w:rsidRPr="00CB6BC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B6BC7" w:rsidP="00CB6BC7" w:rsidR="00CB6BC7" w:rsidRPr="00CB6BC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CB6BC7">
        <w:rPr>
          <w:rFonts w:cs="Times New Roman" w:eastAsia="Times New Roman"/>
          <w:noProof/>
          <w:lang w:eastAsia="hr-HR"/>
        </w:rPr>
        <w:t>r i j e š i o  j e</w:t>
      </w:r>
    </w:p>
    <w:p w:rsidRDefault="00CB6BC7" w:rsidP="00CB6BC7" w:rsidR="00CB6BC7" w:rsidRPr="00CB6BC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B6BC7" w:rsidP="00CB6BC7" w:rsidR="00CB6BC7" w:rsidRPr="00CB6B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B6BC7">
        <w:rPr>
          <w:rFonts w:cs="Times New Roman" w:eastAsia="Times New Roman"/>
          <w:noProof/>
          <w:szCs w:val="20"/>
          <w:lang w:eastAsia="hr-HR"/>
        </w:rPr>
        <w:t>I. Nekretnine dužnika</w:t>
      </w:r>
      <w:r w:rsidRPr="00CB6BC7">
        <w:rPr>
          <w:rFonts w:cs="Times New Roman" w:eastAsia="Times New Roman"/>
          <w:szCs w:val="20"/>
          <w:lang w:eastAsia="hr-HR"/>
        </w:rPr>
        <w:t xml:space="preserve"> upisane u </w:t>
      </w:r>
      <w:proofErr w:type="spellStart"/>
      <w:r w:rsidRPr="00CB6BC7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CB6BC7">
        <w:rPr>
          <w:rFonts w:cs="Times New Roman" w:eastAsia="Times New Roman"/>
          <w:szCs w:val="20"/>
          <w:lang w:eastAsia="hr-HR"/>
        </w:rPr>
        <w:t xml:space="preserve">. 5390 k.o. 300934 Grad Bjelovar, kat. čestica 2427/1 U ULICI MATICE HRVATSKE sa 1026 m2, 4. Suvlasnički dio: 24/1000, ETAŽNO VLASNIŠTVO (E-4), POSLOVNI PROSTOR "A1", koji se nalazi u prizemlju stambeno-poslovne zgrade, a sastoji se od ostave, poslovnog prostora, </w:t>
      </w:r>
      <w:proofErr w:type="spellStart"/>
      <w:r w:rsidRPr="00CB6BC7">
        <w:rPr>
          <w:rFonts w:cs="Times New Roman" w:eastAsia="Times New Roman"/>
          <w:szCs w:val="20"/>
          <w:lang w:eastAsia="hr-HR"/>
        </w:rPr>
        <w:t>predprostora</w:t>
      </w:r>
      <w:proofErr w:type="spellEnd"/>
      <w:r w:rsidRPr="00CB6BC7">
        <w:rPr>
          <w:rFonts w:cs="Times New Roman" w:eastAsia="Times New Roman"/>
          <w:szCs w:val="20"/>
          <w:lang w:eastAsia="hr-HR"/>
        </w:rPr>
        <w:t xml:space="preserve">, WC-a, </w:t>
      </w:r>
      <w:proofErr w:type="spellStart"/>
      <w:r w:rsidRPr="00CB6BC7">
        <w:rPr>
          <w:rFonts w:cs="Times New Roman" w:eastAsia="Times New Roman"/>
          <w:szCs w:val="20"/>
          <w:lang w:eastAsia="hr-HR"/>
        </w:rPr>
        <w:t>netto</w:t>
      </w:r>
      <w:proofErr w:type="spellEnd"/>
      <w:r w:rsidRPr="00CB6BC7">
        <w:rPr>
          <w:rFonts w:cs="Times New Roman" w:eastAsia="Times New Roman"/>
          <w:szCs w:val="20"/>
          <w:lang w:eastAsia="hr-HR"/>
        </w:rPr>
        <w:t xml:space="preserve"> korisne površine P=35,36 m2, kojem pripada spremište "A1" koje se nalazi u podrumu, neto korisne površine P=7,80 m2, prodati će se u stečajnom postupku uz odgovarajuću primjenu pravila ovršnog postupka o ovrsi na nekretnini. </w:t>
      </w:r>
    </w:p>
    <w:p w:rsidRDefault="00CB6BC7" w:rsidP="00CB6BC7" w:rsidR="00CB6BC7" w:rsidRPr="00CB6BC7">
      <w:pPr>
        <w:overflowPunct w:val="false"/>
        <w:autoSpaceDE w:val="false"/>
        <w:autoSpaceDN w:val="false"/>
        <w:adjustRightInd w:val="false"/>
        <w:spacing w:after="0"/>
        <w:ind w:left="851"/>
        <w:rPr>
          <w:rFonts w:cs="Times New Roman" w:eastAsia="Times New Roman"/>
          <w:szCs w:val="20"/>
          <w:lang w:eastAsia="hr-HR"/>
        </w:rPr>
      </w:pPr>
    </w:p>
    <w:p w:rsidRDefault="00CB6BC7" w:rsidP="00CB6BC7" w:rsidR="00CB6BC7" w:rsidRPr="00CB6B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B6BC7">
        <w:rPr>
          <w:rFonts w:cs="Times New Roman" w:eastAsia="Times New Roman"/>
          <w:szCs w:val="20"/>
          <w:lang w:eastAsia="hr-HR"/>
        </w:rPr>
        <w:t xml:space="preserve">II. U zemljišnim knjigama koje vodi Zemljišnoknjižni odjel Općinskog suda u Bjelovaru, upisati će se zabilježba rješenja o prodaji nekretnina opisanih u </w:t>
      </w:r>
      <w:proofErr w:type="spellStart"/>
      <w:r w:rsidRPr="00CB6BC7">
        <w:rPr>
          <w:rFonts w:cs="Times New Roman" w:eastAsia="Times New Roman"/>
          <w:szCs w:val="20"/>
          <w:lang w:eastAsia="hr-HR"/>
        </w:rPr>
        <w:t>toč</w:t>
      </w:r>
      <w:proofErr w:type="spellEnd"/>
      <w:r w:rsidRPr="00CB6BC7">
        <w:rPr>
          <w:rFonts w:cs="Times New Roman" w:eastAsia="Times New Roman"/>
          <w:szCs w:val="20"/>
          <w:lang w:eastAsia="hr-HR"/>
        </w:rPr>
        <w:t>. I. izreke ovoga rješenja.</w:t>
      </w:r>
    </w:p>
    <w:p w:rsidRDefault="00CB6BC7" w:rsidP="00CB6BC7" w:rsidR="00CB6BC7" w:rsidRPr="00CB6B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B6BC7" w:rsidP="00CB6BC7" w:rsidR="00CB6BC7" w:rsidRPr="00CB6BC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B6BC7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CB6BC7" w:rsidP="00CB6BC7" w:rsidR="00CB6BC7" w:rsidRPr="00CB6B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B6BC7" w:rsidP="00CB6BC7" w:rsidR="00CB6BC7" w:rsidRPr="00CB6B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B6BC7">
        <w:rPr>
          <w:rFonts w:cs="Times New Roman" w:eastAsia="Times New Roman"/>
          <w:szCs w:val="20"/>
          <w:lang w:eastAsia="hr-HR"/>
        </w:rPr>
        <w:t xml:space="preserve">Pravomoćnim rješenjem poslovni broj St-432/2015-3 od 25. travnja 2016. ovaj sud je u skraćenom stečajnom postupku otvorio i istovremeno zaključio stečajni postupak nad dužnikom TRGOVAČKA  ZADRUGA  KATAPULT, Bjelovar, Matice Hrvatske 14/a. Za stečajnog upravitelja imenovana je </w:t>
      </w:r>
      <w:proofErr w:type="spellStart"/>
      <w:r w:rsidRPr="00CB6BC7">
        <w:rPr>
          <w:rFonts w:cs="Times New Roman" w:eastAsia="Times New Roman"/>
          <w:szCs w:val="20"/>
          <w:lang w:eastAsia="hr-HR"/>
        </w:rPr>
        <w:t>Daša</w:t>
      </w:r>
      <w:proofErr w:type="spellEnd"/>
      <w:r w:rsidRPr="00CB6BC7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CB6BC7">
        <w:rPr>
          <w:rFonts w:cs="Times New Roman" w:eastAsia="Times New Roman"/>
          <w:szCs w:val="20"/>
          <w:lang w:eastAsia="hr-HR"/>
        </w:rPr>
        <w:t>Panjaković</w:t>
      </w:r>
      <w:proofErr w:type="spellEnd"/>
      <w:r w:rsidRPr="00CB6BC7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CB6BC7">
        <w:rPr>
          <w:rFonts w:cs="Times New Roman" w:eastAsia="Times New Roman"/>
          <w:szCs w:val="20"/>
          <w:lang w:eastAsia="hr-HR"/>
        </w:rPr>
        <w:t>Senjić</w:t>
      </w:r>
      <w:proofErr w:type="spellEnd"/>
      <w:r w:rsidRPr="00CB6BC7">
        <w:rPr>
          <w:rFonts w:cs="Times New Roman" w:eastAsia="Times New Roman"/>
          <w:szCs w:val="20"/>
          <w:lang w:eastAsia="hr-HR"/>
        </w:rPr>
        <w:t xml:space="preserve">, dipl. pravnik iz Osijeka, </w:t>
      </w:r>
      <w:proofErr w:type="spellStart"/>
      <w:r w:rsidRPr="00CB6BC7">
        <w:rPr>
          <w:rFonts w:cs="Times New Roman" w:eastAsia="Times New Roman"/>
          <w:szCs w:val="20"/>
          <w:lang w:eastAsia="hr-HR"/>
        </w:rPr>
        <w:t>Gornjodravska</w:t>
      </w:r>
      <w:proofErr w:type="spellEnd"/>
      <w:r w:rsidRPr="00CB6BC7">
        <w:rPr>
          <w:rFonts w:cs="Times New Roman" w:eastAsia="Times New Roman"/>
          <w:szCs w:val="20"/>
          <w:lang w:eastAsia="hr-HR"/>
        </w:rPr>
        <w:t xml:space="preserve"> obala 89a te je dužnik brisan iz sudskog registra.</w:t>
      </w:r>
    </w:p>
    <w:p w:rsidRDefault="00CB6BC7" w:rsidP="00CB6BC7" w:rsidR="00CB6BC7" w:rsidRPr="00CB6B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B6BC7" w:rsidP="00CB6BC7" w:rsidR="00CB6BC7" w:rsidRPr="00CB6B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B6BC7">
        <w:rPr>
          <w:rFonts w:cs="Times New Roman" w:eastAsia="Times New Roman"/>
          <w:szCs w:val="20"/>
          <w:lang w:eastAsia="hr-HR"/>
        </w:rPr>
        <w:t xml:space="preserve">Nakon brisanja dužnika utvrđeno je da je dužnik vlasnik nekretnina opisanih pod </w:t>
      </w:r>
      <w:proofErr w:type="spellStart"/>
      <w:r w:rsidRPr="00CB6BC7">
        <w:rPr>
          <w:rFonts w:cs="Times New Roman" w:eastAsia="Times New Roman"/>
          <w:szCs w:val="20"/>
          <w:lang w:eastAsia="hr-HR"/>
        </w:rPr>
        <w:t>toč</w:t>
      </w:r>
      <w:proofErr w:type="spellEnd"/>
      <w:r w:rsidRPr="00CB6BC7">
        <w:rPr>
          <w:rFonts w:cs="Times New Roman" w:eastAsia="Times New Roman"/>
          <w:szCs w:val="20"/>
          <w:lang w:eastAsia="hr-HR"/>
        </w:rPr>
        <w:t>. I. izreke ovog rješenja te je sud odredio nastavak postupka radi naknadne diobe te upis Stečajne mase i stečajnog upravitelja koji će zastupati Stečajnu masu u sudski registar.</w:t>
      </w:r>
    </w:p>
    <w:p w:rsidRDefault="00CB6BC7" w:rsidP="00CB6BC7" w:rsidR="00CB6BC7" w:rsidRPr="00CB6B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B6BC7" w:rsidP="00CB6BC7" w:rsidR="00CB6BC7" w:rsidRPr="00CB6B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B6BC7">
        <w:rPr>
          <w:rFonts w:cs="Times New Roman" w:eastAsia="Times New Roman"/>
          <w:szCs w:val="20"/>
          <w:lang w:eastAsia="hr-HR"/>
        </w:rPr>
        <w:t xml:space="preserve"> Iz uvida u zemljišne knjige proizlazi da su nekretnine dužnika opterećene </w:t>
      </w:r>
      <w:proofErr w:type="spellStart"/>
      <w:r w:rsidRPr="00CB6BC7">
        <w:rPr>
          <w:rFonts w:cs="Times New Roman" w:eastAsia="Times New Roman"/>
          <w:szCs w:val="20"/>
          <w:lang w:eastAsia="hr-HR"/>
        </w:rPr>
        <w:t>razlučnim</w:t>
      </w:r>
      <w:proofErr w:type="spellEnd"/>
      <w:r w:rsidRPr="00CB6BC7">
        <w:rPr>
          <w:rFonts w:cs="Times New Roman" w:eastAsia="Times New Roman"/>
          <w:szCs w:val="20"/>
          <w:lang w:eastAsia="hr-HR"/>
        </w:rPr>
        <w:t xml:space="preserve"> pravima. Stečajni upravitelj je podneskom od 17. kolovoza 2017. predložio prodaju nekretnina stečajnog dužnika uz odgovarajuću primjenu pravila o ovrsi na nekretnini. </w:t>
      </w:r>
    </w:p>
    <w:p w:rsidRDefault="00CB6BC7" w:rsidP="00CB6BC7" w:rsidR="00CB6BC7" w:rsidRPr="00CB6B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B6BC7" w:rsidP="00CB6BC7" w:rsidR="00CB6BC7" w:rsidRPr="00CB6B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B6BC7">
        <w:rPr>
          <w:rFonts w:cs="Times New Roman" w:eastAsia="Times New Roman"/>
          <w:szCs w:val="20"/>
          <w:lang w:eastAsia="hr-HR"/>
        </w:rPr>
        <w:lastRenderedPageBreak/>
        <w:t xml:space="preserve">Slijedom navedenog sud je temeljem odredbe čl.247. st.1. i 2. Stečajnog zakona </w:t>
      </w:r>
      <w:r w:rsidRPr="00CB6BC7">
        <w:rPr>
          <w:rFonts w:cs="Times New Roman" w:eastAsia="Times New Roman"/>
          <w:noProof/>
          <w:szCs w:val="20"/>
          <w:lang w:eastAsia="hr-HR"/>
        </w:rPr>
        <w:t xml:space="preserve">(Narodne novine br. 71/15 i 104/17, dalje: SZ) </w:t>
      </w:r>
      <w:r w:rsidRPr="00CB6BC7">
        <w:rPr>
          <w:rFonts w:cs="Times New Roman" w:eastAsia="Times New Roman"/>
          <w:szCs w:val="20"/>
          <w:lang w:eastAsia="hr-HR"/>
        </w:rPr>
        <w:t>riješio kao u izreci.</w:t>
      </w:r>
    </w:p>
    <w:p w:rsidRDefault="00CB6BC7" w:rsidP="00CB6BC7" w:rsidR="00CB6BC7" w:rsidRPr="00CB6BC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6BC7" w:rsidP="00CB6BC7" w:rsidR="00CB6BC7" w:rsidRPr="00CB6BC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B6BC7">
        <w:rPr>
          <w:rFonts w:cs="Times New Roman" w:eastAsia="Times New Roman"/>
          <w:szCs w:val="20"/>
          <w:lang w:eastAsia="hr-HR"/>
        </w:rPr>
        <w:t>U Bjelovaru, 8. siječnja</w:t>
      </w:r>
      <w:r w:rsidRPr="00CB6BC7">
        <w:rPr>
          <w:rFonts w:cs="Times New Roman" w:eastAsia="Times New Roman"/>
          <w:noProof/>
          <w:szCs w:val="20"/>
          <w:lang w:eastAsia="hr-HR"/>
        </w:rPr>
        <w:t xml:space="preserve"> 2018.</w:t>
      </w:r>
    </w:p>
    <w:p w:rsidRDefault="00CB6BC7" w:rsidP="00CB6BC7" w:rsidR="00CB6BC7" w:rsidRPr="00CB6BC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6BC7" w:rsidP="00CB6BC7" w:rsidR="00CB6BC7" w:rsidRPr="00CB6BC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  <w:r w:rsidRPr="00CB6BC7">
        <w:rPr>
          <w:rFonts w:cs="Times New Roman" w:eastAsia="Times New Roman"/>
          <w:noProof/>
          <w:lang w:eastAsia="hr-HR"/>
        </w:rPr>
        <w:t>STEČAJNI SUDAC</w:t>
      </w:r>
    </w:p>
    <w:p w:rsidRDefault="00CB6BC7" w:rsidP="00CB6BC7" w:rsidR="00CB6BC7" w:rsidRPr="00CB6BC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CB6BC7">
        <w:rPr>
          <w:rFonts w:cs="Times New Roman" w:eastAsia="Times New Roman"/>
          <w:noProof/>
          <w:lang w:eastAsia="hr-HR"/>
        </w:rPr>
        <w:t>MARIJA PETRINA KUBICA v.r.</w:t>
      </w:r>
    </w:p>
    <w:p w:rsidRDefault="00CB6BC7" w:rsidP="00CB6BC7" w:rsidR="00CB6BC7" w:rsidRPr="00CB6BC7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CB6BC7" w:rsidP="00CB6BC7" w:rsidR="00CB6BC7" w:rsidRPr="00CB6BC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395"/>
        <w:rPr>
          <w:rFonts w:cs="Times New Roman" w:eastAsia="Times New Roman"/>
          <w:noProof/>
          <w:szCs w:val="20"/>
          <w:lang w:eastAsia="hr-HR"/>
        </w:rPr>
      </w:pPr>
      <w:r w:rsidRPr="00CB6BC7">
        <w:rPr>
          <w:rFonts w:cs="Times New Roman" w:eastAsia="Times New Roman"/>
          <w:noProof/>
          <w:szCs w:val="20"/>
          <w:lang w:eastAsia="hr-HR"/>
        </w:rPr>
        <w:t>Za točnost otpravka-ovlašteni službenik</w:t>
      </w:r>
    </w:p>
    <w:p w:rsidRDefault="00CB6BC7" w:rsidP="00CB6BC7" w:rsidR="00CB6BC7" w:rsidRPr="00CB6BC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CB6BC7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CB6BC7" w:rsidP="00CB6BC7" w:rsidR="00CB6BC7" w:rsidRPr="00CB6BC7">
      <w:pPr>
        <w:overflowPunct w:val="false"/>
        <w:autoSpaceDE w:val="false"/>
        <w:autoSpaceDN w:val="false"/>
        <w:adjustRightInd w:val="false"/>
        <w:spacing w:after="0"/>
        <w:ind w:firstLine="4820" w:left="5245"/>
        <w:jc w:val="both"/>
        <w:rPr>
          <w:rFonts w:cs="Times New Roman" w:eastAsia="Times New Roman"/>
          <w:noProof/>
          <w:lang w:eastAsia="hr-HR"/>
        </w:rPr>
      </w:pPr>
    </w:p>
    <w:p w:rsidRDefault="00CB6BC7" w:rsidP="00CB6BC7" w:rsidR="00CB6BC7" w:rsidRPr="00CB6BC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6BC7" w:rsidP="00CB6BC7" w:rsidR="00CB6BC7" w:rsidRPr="00CB6BC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CB6BC7" w:rsidP="00CB6BC7" w:rsidR="00CB6BC7" w:rsidRPr="00CB6B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B6BC7">
        <w:rPr>
          <w:rFonts w:cs="Times New Roman" w:eastAsia="Times New Roman"/>
          <w:szCs w:val="20"/>
          <w:lang w:eastAsia="hr-HR"/>
        </w:rPr>
        <w:t xml:space="preserve">POUKA O PRAVNOM LIJEKU: Protiv ovog rješenja pravo na žalbu imaju stečajni upravitelj i </w:t>
      </w:r>
      <w:proofErr w:type="spellStart"/>
      <w:r w:rsidRPr="00CB6BC7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CB6BC7">
        <w:rPr>
          <w:rFonts w:cs="Times New Roman" w:eastAsia="Times New Roman"/>
          <w:szCs w:val="20"/>
          <w:lang w:eastAsia="hr-HR"/>
        </w:rPr>
        <w:t xml:space="preserve"> vjerovnici (čl.247. st.2. SZ-a</w:t>
      </w:r>
      <w:r w:rsidRPr="00CB6BC7">
        <w:rPr>
          <w:rFonts w:cs="Times New Roman" w:eastAsia="Times New Roman"/>
          <w:i/>
          <w:szCs w:val="20"/>
          <w:lang w:eastAsia="hr-HR"/>
        </w:rPr>
        <w:t xml:space="preserve">). </w:t>
      </w:r>
      <w:r w:rsidRPr="00CB6BC7">
        <w:rPr>
          <w:rFonts w:cs="Times New Roman" w:eastAsia="Times New Roman"/>
          <w:szCs w:val="20"/>
          <w:lang w:eastAsia="hr-HR"/>
        </w:rPr>
        <w:t>Žalba se može podnijeti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AE649C" w:rsidP="004F27AE" w:rsidR="00AE649C" w:rsidRPr="00B76F3C">
      <w:pPr>
        <w:pStyle w:val="NormaleSPIS"/>
      </w:pPr>
    </w:p>
    <w:sectPr w:rsidSect="00CB6BC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2546267"/>
      <w:docPartObj>
        <w:docPartGallery w:val="Page Numbers (Top of Page)"/>
        <w:docPartUnique/>
      </w:docPartObj>
    </w:sdtPr>
    <w:sdtEndPr>
      <w:rPr>
        <w:noProof w:val="false"/>
      </w:rPr>
    </w:sdtEndPr>
    <w:sdtContent>
      <w:p w:rsidRDefault="00CB6BC7" w:rsidP="00CB6BC7" w:rsidR="00CB6BC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:rsidRDefault="00CB6BC7" w:rsidP="00CB6BC7" w:rsidR="00CB6BC7">
        <w:pPr>
          <w:overflowPunct w:val="false"/>
          <w:autoSpaceDE w:val="false"/>
          <w:autoSpaceDN w:val="false"/>
          <w:adjustRightInd w:val="false"/>
          <w:spacing w:after="0"/>
          <w:jc w:val="right"/>
          <w:rPr>
            <w:rFonts w:cs="Times New Roman" w:eastAsia="Times New Roman"/>
            <w:noProof/>
            <w:lang w:eastAsia="hr-HR"/>
          </w:rPr>
        </w:pPr>
        <w:r>
          <w:rPr>
            <w:rFonts w:cs="Times New Roman" w:eastAsia="Times New Roman"/>
            <w:noProof/>
            <w:lang w:eastAsia="hr-HR"/>
          </w:rPr>
          <w:t>5 St-278/2017-14</w:t>
        </w:r>
      </w:p>
      <w:p w:rsidRDefault="00CB6BC7" w:rsidP="00CB6BC7" w:rsidR="008333A9" w:rsidRPr="00CB6BC7">
        <w:pPr>
          <w:overflowPunct w:val="false"/>
          <w:autoSpaceDE w:val="false"/>
          <w:autoSpaceDN w:val="false"/>
          <w:adjustRightInd w:val="false"/>
          <w:spacing w:after="0"/>
          <w:jc w:val="right"/>
          <w:rPr>
            <w:rFonts w:cs="Times New Roman" w:eastAsia="Times New Roman"/>
            <w:noProof/>
            <w:lang w:eastAsia="hr-HR"/>
          </w:rPr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BC7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4480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9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St-278/2017-14</izvorni_sadrzaj>
    <derivirana_varijabla naziv="DomainObject.Oznaka_1">St-278/2017-14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St-278/2017</izvorni_sadrzaj>
    <derivirana_varijabla naziv="DomainObject.Predmet.OznakaBroj_1">St-278/2017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TRGOVAČKA ZADRUGA KATAPULT u stečaju</izvorni_sadrzaj>
    <derivirana_varijabla naziv="DomainObject.Predmet.StrankaFormated_1">  Stečajna masa iza TRGOVAČKA ZADRUGA KATAPULT u stečaju</derivirana_varijabla>
  </DomainObject.Predmet.StrankaFormated>
  <DomainObject.Predmet.StrankaFormatedOIB>
    <izvorni_sadrzaj>  Stečajna masa iza TRGOVAČKA ZADRUGA KATAPULT u stečaju, OIB 97833022611</izvorni_sadrzaj>
    <derivirana_varijabla naziv="DomainObject.Predmet.StrankaFormatedOIB_1">  Stečajna masa iza TRGOVAČKA ZADRUGA KATAPULT u stečaju, OIB 97833022611</derivirana_varijabla>
  </DomainObject.Predmet.StrankaFormatedOIB>
  <DomainObject.Predmet.StrankaFormatedWithAdress>
    <izvorni_sadrzaj> Stečajna masa iza TRGOVAČKA ZADRUGA KATAPULT u stečaju, Gornjodravska Obala 89/A, 31000 Osijek</izvorni_sadrzaj>
    <derivirana_varijabla naziv="DomainObject.Predmet.StrankaFormatedWithAdress_1"> Stečajna masa iza TRGOVAČKA ZADRUGA KATAPULT u stečaju, Gornjodravska Obala 89/A, 31000 Osijek</derivirana_varijabla>
  </DomainObject.Predmet.StrankaFormatedWithAdress>
  <DomainObject.Predmet.StrankaFormatedWithAdressOIB>
    <izvorni_sadrzaj> Stečajna masa iza TRGOVAČKA ZADRUGA KATAPULT u stečaju, OIB 97833022611, Gornjodravska Obala 89/A, 31000 Osijek</izvorni_sadrzaj>
    <derivirana_varijabla naziv="DomainObject.Predmet.StrankaFormatedWithAdressOIB_1"> Stečajna masa iza TRGOVAČKA ZADRUGA KATAPULT u stečaju, OIB 97833022611, Gornjodravska Obala 89/A, 31000 Osijek</derivirana_varijabla>
  </DomainObject.Predmet.StrankaFormatedWithAdressOIB>
  <DomainObject.Predmet.StrankaWithAdress>
    <izvorni_sadrzaj>Stečajna masa iza TRGOVAČKA ZADRUGA KATAPULT u stečaju Gornjodravska Obala 89/A,31000 Osijek</izvorni_sadrzaj>
    <derivirana_varijabla naziv="DomainObject.Predmet.StrankaWithAdress_1">Stečajna masa iza TRGOVAČKA ZADRUGA KATAPULT u stečaju Gornjodravska Obala 89/A,31000 Osijek</derivirana_varijabla>
  </DomainObject.Predmet.StrankaWithAdress>
  <DomainObject.Predmet.StrankaWithAdressOIB>
    <izvorni_sadrzaj>Stečajna masa iza TRGOVAČKA ZADRUGA KATAPULT u stečaju, OIB 97833022611, Gornjodravska Obala 89/A,31000 Osijek</izvorni_sadrzaj>
    <derivirana_varijabla naziv="DomainObject.Predmet.StrankaWithAdressOIB_1">Stečajna masa iza TRGOVAČKA ZADRUGA KATAPULT u stečaju, OIB 97833022611, Gornjodravska Obala 89/A,31000 Osijek</derivirana_varijabla>
  </DomainObject.Predmet.StrankaWithAdressOIB>
  <DomainObject.Predmet.StrankaNazivFormated>
    <izvorni_sadrzaj>Stečajna masa iza TRGOVAČKA ZADRUGA KATAPULT u stečaju</izvorni_sadrzaj>
    <derivirana_varijabla naziv="DomainObject.Predmet.StrankaNazivFormated_1">Stečajna masa iza TRGOVAČKA ZADRUGA KATAPULT u stečaju</derivirana_varijabla>
  </DomainObject.Predmet.StrankaNazivFormated>
  <DomainObject.Predmet.StrankaNazivFormatedOIB>
    <izvorni_sadrzaj>Stečajna masa iza TRGOVAČKA ZADRUGA KATAPULT u stečaju, OIB 97833022611</izvorni_sadrzaj>
    <derivirana_varijabla naziv="DomainObject.Predmet.StrankaNazivFormatedOIB_1">Stečajna masa iza TRGOVAČKA ZADRUGA KATAPULT u stečaju, OIB 97833022611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Stečajna masa iza TRGOVAČKA ZADRUGA KATAPULT u stečaju</item>
    </izvorni_sadrzaj>
    <derivirana_varijabla naziv="DomainObject.Predmet.StrankaListFormated_1">
      <item>Stečajna masa iza TRGOVAČKA ZADRUGA KATAPULT u stečaju</item>
    </derivirana_varijabla>
  </DomainObject.Predmet.StrankaListFormated>
  <DomainObject.Predmet.StrankaListFormatedOIB>
    <izvorni_sadrzaj>
      <item>Stečajna masa iza TRGOVAČKA ZADRUGA KATAPULT u stečaju, OIB 97833022611</item>
    </izvorni_sadrzaj>
    <derivirana_varijabla naziv="DomainObject.Predmet.StrankaListFormatedOIB_1">
      <item>Stečajna masa iza TRGOVAČKA ZADRUGA KATAPULT u stečaju, OIB 97833022611</item>
    </derivirana_varijabla>
  </DomainObject.Predmet.StrankaListFormatedOIB>
  <DomainObject.Predmet.StrankaListFormatedWithAdress>
    <izvorni_sadrzaj>
      <item>Stečajna masa iza TRGOVAČKA ZADRUGA KATAPULT u stečaju, Gornjodravska Obala 89/A, 31000 Osijek</item>
    </izvorni_sadrzaj>
    <derivirana_varijabla naziv="DomainObject.Predmet.StrankaListFormatedWithAdress_1">
      <item>Stečajna masa iza TRGOVAČKA ZADRUGA KATAPULT u stečaju, Gornjodravska Obala 89/A, 31000 Osijek</item>
    </derivirana_varijabla>
  </DomainObject.Predmet.StrankaListFormatedWithAdress>
  <DomainObject.Predmet.StrankaListFormatedWithAdressOIB>
    <izvorni_sadrzaj>
      <item>Stečajna masa iza TRGOVAČKA ZADRUGA KATAPULT u stečaju, OIB 97833022611, Gornjodravska Obala 89/A, 31000 Osijek</item>
    </izvorni_sadrzaj>
    <derivirana_varijabla naziv="DomainObject.Predmet.StrankaListFormatedWithAdressOIB_1">
      <item>Stečajna masa iza TRGOVAČKA ZADRUGA KATAPULT u stečaju, OIB 97833022611, Gornjodravska Obala 89/A, 31000 Osijek</item>
    </derivirana_varijabla>
  </DomainObject.Predmet.StrankaListFormatedWithAdressOIB>
  <DomainObject.Predmet.StrankaListNazivFormated>
    <izvorni_sadrzaj>
      <item>Stečajna masa iza TRGOVAČKA ZADRUGA KATAPULT u stečaju</item>
    </izvorni_sadrzaj>
    <derivirana_varijabla naziv="DomainObject.Predmet.StrankaListNazivFormated_1">
      <item>Stečajna masa iza TRGOVAČKA ZADRUGA KATAPULT u stečaju</item>
    </derivirana_varijabla>
  </DomainObject.Predmet.StrankaListNazivFormated>
  <DomainObject.Predmet.StrankaListNazivFormatedOIB>
    <izvorni_sadrzaj>
      <item>Stečajna masa iza TRGOVAČKA ZADRUGA KATAPULT u stečaju, OIB 97833022611</item>
    </izvorni_sadrzaj>
    <derivirana_varijabla naziv="DomainObject.Predmet.StrankaListNazivFormatedOIB_1">
      <item>Stečajna masa iza TRGOVAČKA ZADRUGA KATAPULT u stečaju, OIB 97833022611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Daša Panjaković Senjić</item>
    </izvorni_sadrzaj>
    <derivirana_varijabla naziv="DomainObject.Predmet.OstaliListFormated_1">
      <item>Daša Panjaković Senjić</item>
    </derivirana_varijabla>
  </DomainObject.Predmet.OstaliListFormated>
  <DomainObject.Predmet.OstaliListFormatedOIB>
    <izvorni_sadrzaj>
      <item>Daša Panjaković Senjić</item>
    </izvorni_sadrzaj>
    <derivirana_varijabla naziv="DomainObject.Predmet.OstaliListFormatedOIB_1">
      <item>Daša Panjaković Senjić</item>
    </derivirana_varijabla>
  </DomainObject.Predmet.OstaliListFormatedOIB>
  <DomainObject.Predmet.OstaliListFormatedWithAdress>
    <izvorni_sadrzaj>
      <item>Daša Panjaković Senjić, Gornjodravska obala 89/A, 31000 Osijek</item>
    </izvorni_sadrzaj>
    <derivirana_varijabla naziv="DomainObject.Predmet.OstaliListFormatedWithAdress_1">
      <item>Daša Panjaković Senjić, Gornjodravska obala 89/A, 31000 Osijek</item>
    </derivirana_varijabla>
  </DomainObject.Predmet.OstaliListFormatedWithAdress>
  <DomainObject.Predmet.OstaliListFormatedWithAdressOIB>
    <izvorni_sadrzaj>
      <item>Daša Panjaković Senjić, Gornjodravska obala 89/A, 31000 Osijek</item>
    </izvorni_sadrzaj>
    <derivirana_varijabla naziv="DomainObject.Predmet.OstaliListFormatedWithAdressOIB_1">
      <item>Daša Panjaković Senjić, Gornjodravska obala 89/A, 31000 Osijek</item>
    </derivirana_varijabla>
  </DomainObject.Predmet.OstaliListFormatedWithAdressOIB>
  <DomainObject.Predmet.OstaliListNazivFormated>
    <izvorni_sadrzaj>
      <item>Daša Panjaković Senjić</item>
    </izvorni_sadrzaj>
    <derivirana_varijabla naziv="DomainObject.Predmet.OstaliListNazivFormated_1">
      <item>Daša Panjaković Senjić</item>
    </derivirana_varijabla>
  </DomainObject.Predmet.OstaliListNazivFormated>
  <DomainObject.Predmet.OstaliListNazivFormatedOIB>
    <izvorni_sadrzaj>
      <item>Daša Panjaković Senjić</item>
    </izvorni_sadrzaj>
    <derivirana_varijabla naziv="DomainObject.Predmet.OstaliListNazivFormatedOIB_1">
      <item>Daša Panjaković Senjić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>St-278/2017-14</izvorni_sadrzaj>
    <derivirana_varijabla naziv="DomainObject.PoslovniBrojDokumenta_1">St-278/2017-14</derivirana_varijabla>
  </DomainObject.PoslovniBrojDokumenta>
  <DomainObject.Predmet.StrankaIDrugi>
    <izvorni_sadrzaj>Stečajna masa iza TRGOVAČKA ZADRUGA KATAPULT u stečaju</izvorni_sadrzaj>
    <derivirana_varijabla naziv="DomainObject.Predmet.StrankaIDrugi_1">Stečajna masa iza TRGOVAČKA ZADRUGA KATAPULT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TRGOVAČKA ZADRUGA KATAPULT u stečaju, OIB 97833022611, Gornjodravska Obala 89/A, 31000 Osijek</izvorni_sadrzaj>
    <derivirana_varijabla naziv="DomainObject.Predmet.StrankaIDrugiAdressOIB_1">Stečajna masa iza TRGOVAČKA ZADRUGA KATAPULT u stečaju, OIB 97833022611, Gornjodravska Obala 89/A,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TRGOVAČKA ZADRUGA KATAPULT u stečaju</item>
      <item>Daša Panjaković Senjić</item>
    </izvorni_sadrzaj>
    <derivirana_varijabla naziv="DomainObject.Predmet.SudioniciListNaziv_1">
      <item>Stečajna masa iza TRGOVAČKA ZADRUGA KATAPULT u stečaju</item>
      <item>Daša Panjaković Senjić</item>
    </derivirana_varijabla>
  </DomainObject.Predmet.SudioniciListNaziv>
  <DomainObject.Predmet.SudioniciListAdressOIB>
    <izvorni_sadrzaj>
      <item>Stečajna masa iza TRGOVAČKA ZADRUGA KATAPULT u stečaju, OIB 97833022611, Gornjodravska Obala 89/A,31000 Osijek</item>
      <item>Daša Panjaković Senjić, Gornjodravska obala 89/A,31000 Osijek</item>
    </izvorni_sadrzaj>
    <derivirana_varijabla naziv="DomainObject.Predmet.SudioniciListAdressOIB_1">
      <item>Stečajna masa iza TRGOVAČKA ZADRUGA KATAPULT u stečaju, OIB 97833022611, Gornjodravska Obala 89/A,31000 Osijek</item>
      <item>Daša Panjaković Senjić, Gornjodravska obala 89/A,31000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BCA468-EC1B-4B5B-85BE-5D47725B24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2334</properties:Characters>
  <properties:Lines>65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2018-01-10T13:36:00Z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St-278/2017-14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