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90EDA" w:rsidP="00190EDA" w:rsidRDefault="00190EDA" w14:paraId="1decf47" w14:textId="1decf47">
      <w:pPr>
        <w15:collapsed w:val="false"/>
        <w:rPr>
          <w:bCs/>
        </w:rPr>
      </w:pPr>
      <w:bookmarkStart w:name="_GoBack" w:id="0"/>
      <w:bookmarkEnd w:id="0"/>
      <w:r>
        <w:rPr>
          <w:noProof/>
          <w:color w:val="0000FF"/>
        </w:rPr>
        <w:drawing>
          <wp:inline distT="0" distB="0" distL="0" distR="0">
            <wp:extent cx="533400" cy="733425"/>
            <wp:effectExtent l="0" t="0" r="0" b="9525"/>
            <wp:docPr id="1" name="Slika 1" descr="Datoteka:Coat of arms of Croatia.svg">
              <a:hlinkClick r:id="rId9"/>
            </wp:docPr>
            <wp:cNvGraphicFramePr>
              <a:graphicFrameLocks noChangeAspect="true"/>
            </wp:cNvGraphicFramePr>
            <a:graphic>
              <a:graphicData uri="http://schemas.openxmlformats.org/drawingml/2006/picture">
                <pic:pic>
                  <pic:nvPicPr>
                    <pic:cNvPr id="0" name="Slika 1" descr="Datoteka:Coat of arms of Croatia.svg">
                      <a:hlinkClick r:id="rId9"/>
                    </pic:cNvPr>
                    <pic:cNvPicPr>
                      <a:picLocks noChangeAspect="true" noChangeArrowheads="true"/>
                    </pic:cNvPicPr>
                  </pic:nvPicPr>
                  <pic:blipFill>
                    <a:blip r:embed="rId10">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733425"/>
                    </a:xfrm>
                    <a:prstGeom prst="rect">
                      <a:avLst/>
                    </a:prstGeom>
                    <a:noFill/>
                    <a:ln>
                      <a:noFill/>
                    </a:ln>
                  </pic:spPr>
                </pic:pic>
              </a:graphicData>
            </a:graphic>
          </wp:inline>
        </w:drawing>
      </w:r>
    </w:p>
    <w:p w:rsidRPr="00163390" w:rsidR="00163390" w:rsidP="00163390" w:rsidRDefault="00163390">
      <w:pPr>
        <w:rPr>
          <w:rFonts w:ascii="Arial" w:hAnsi="Arial" w:cs="Arial"/>
        </w:rPr>
      </w:pPr>
      <w:r w:rsidRPr="00163390">
        <w:rPr>
          <w:rFonts w:ascii="Arial" w:hAnsi="Arial" w:cs="Arial"/>
        </w:rPr>
        <w:t>REPUBLIKA HRVATSKA</w:t>
      </w:r>
      <w:r w:rsidRPr="00163390">
        <w:rPr>
          <w:rFonts w:ascii="Arial" w:hAnsi="Arial" w:cs="Arial"/>
        </w:rPr>
        <w:tab/>
      </w:r>
      <w:r w:rsidRPr="00163390">
        <w:rPr>
          <w:rFonts w:ascii="Arial" w:hAnsi="Arial" w:cs="Arial"/>
        </w:rPr>
        <w:tab/>
      </w:r>
      <w:r w:rsidRPr="00163390">
        <w:rPr>
          <w:rFonts w:ascii="Arial" w:hAnsi="Arial" w:cs="Arial"/>
        </w:rPr>
        <w:tab/>
      </w:r>
      <w:r w:rsidRPr="00163390">
        <w:rPr>
          <w:rFonts w:ascii="Arial" w:hAnsi="Arial" w:cs="Arial"/>
        </w:rPr>
        <w:tab/>
      </w:r>
      <w:r w:rsidRPr="00163390">
        <w:rPr>
          <w:rFonts w:ascii="Arial" w:hAnsi="Arial" w:cs="Arial"/>
        </w:rPr>
        <w:tab/>
      </w:r>
      <w:r w:rsidRPr="00163390">
        <w:rPr>
          <w:rFonts w:ascii="Arial" w:hAnsi="Arial" w:cs="Arial"/>
        </w:rPr>
        <w:tab/>
      </w:r>
      <w:r w:rsidRPr="00163390">
        <w:rPr>
          <w:rFonts w:ascii="Arial" w:hAnsi="Arial" w:cs="Arial"/>
        </w:rPr>
        <w:tab/>
      </w:r>
    </w:p>
    <w:p w:rsidRPr="00163390" w:rsidR="00163390" w:rsidP="00163390" w:rsidRDefault="00163390">
      <w:pPr>
        <w:rPr>
          <w:rFonts w:ascii="Arial" w:hAnsi="Arial" w:cs="Arial"/>
        </w:rPr>
      </w:pPr>
      <w:r w:rsidRPr="00163390">
        <w:rPr>
          <w:rFonts w:ascii="Arial" w:hAnsi="Arial" w:cs="Arial"/>
        </w:rPr>
        <w:t xml:space="preserve">OPĆINSKI SUD U SPLITU </w:t>
      </w:r>
    </w:p>
    <w:p w:rsidRPr="00163390" w:rsidR="00163390" w:rsidP="00163390" w:rsidRDefault="00AF4A28">
      <w:pPr>
        <w:rPr>
          <w:rFonts w:ascii="Arial" w:hAnsi="Arial" w:cs="Arial"/>
        </w:rPr>
      </w:pPr>
      <w:r>
        <w:rPr>
          <w:rFonts w:ascii="Arial" w:hAnsi="Arial" w:cs="Arial"/>
        </w:rPr>
        <w:t>Ivana Gundulića 27</w:t>
      </w:r>
    </w:p>
    <w:p w:rsidRPr="00163390" w:rsidR="00163390" w:rsidP="00163390" w:rsidRDefault="00163390">
      <w:pPr>
        <w:rPr>
          <w:rFonts w:ascii="Arial" w:hAnsi="Arial" w:cs="Arial"/>
        </w:rPr>
      </w:pPr>
      <w:r w:rsidRPr="00163390">
        <w:rPr>
          <w:rFonts w:ascii="Arial" w:hAnsi="Arial" w:cs="Arial"/>
        </w:rPr>
        <w:t>Split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190EDA">
        <w:rPr>
          <w:rFonts w:ascii="Arial" w:hAnsi="Arial" w:cs="Arial"/>
        </w:rPr>
        <w:t xml:space="preserve">  </w:t>
      </w:r>
      <w:r>
        <w:rPr>
          <w:rFonts w:ascii="Arial" w:hAnsi="Arial" w:cs="Arial"/>
        </w:rPr>
        <w:t>P-</w:t>
      </w:r>
      <w:r w:rsidR="008D4184">
        <w:rPr>
          <w:rFonts w:ascii="Arial" w:hAnsi="Arial" w:cs="Arial"/>
        </w:rPr>
        <w:t>1172</w:t>
      </w:r>
      <w:r w:rsidR="00807639">
        <w:rPr>
          <w:rFonts w:ascii="Arial" w:hAnsi="Arial" w:cs="Arial"/>
        </w:rPr>
        <w:t>/20</w:t>
      </w:r>
      <w:r w:rsidR="002B4231">
        <w:rPr>
          <w:rFonts w:ascii="Arial" w:hAnsi="Arial" w:cs="Arial"/>
        </w:rPr>
        <w:t>2</w:t>
      </w:r>
      <w:r w:rsidR="00E21BBB">
        <w:rPr>
          <w:rFonts w:ascii="Arial" w:hAnsi="Arial" w:cs="Arial"/>
        </w:rPr>
        <w:t>3</w:t>
      </w:r>
      <w:r w:rsidR="00E5222F">
        <w:rPr>
          <w:rFonts w:ascii="Arial" w:hAnsi="Arial" w:cs="Arial"/>
        </w:rPr>
        <w:t>-18</w:t>
      </w:r>
      <w:r w:rsidRPr="00163390">
        <w:rPr>
          <w:rFonts w:ascii="Arial" w:hAnsi="Arial" w:cs="Arial"/>
        </w:rPr>
        <w:t xml:space="preserve">      </w:t>
      </w:r>
    </w:p>
    <w:p w:rsidRPr="00163390" w:rsidR="00163390" w:rsidP="00163390" w:rsidRDefault="00163390">
      <w:pPr>
        <w:jc w:val="center"/>
        <w:rPr>
          <w:rFonts w:ascii="Arial" w:hAnsi="Arial" w:cs="Arial"/>
        </w:rPr>
      </w:pPr>
    </w:p>
    <w:p w:rsidRPr="00163390" w:rsidR="00163390" w:rsidP="00163390" w:rsidRDefault="00163390">
      <w:pPr>
        <w:jc w:val="center"/>
        <w:rPr>
          <w:rFonts w:ascii="Arial" w:hAnsi="Arial" w:cs="Arial"/>
        </w:rPr>
      </w:pPr>
    </w:p>
    <w:p w:rsidRPr="00163390" w:rsidR="00163390" w:rsidP="00163390" w:rsidRDefault="00163390">
      <w:pPr>
        <w:jc w:val="center"/>
        <w:rPr>
          <w:rFonts w:ascii="Arial" w:hAnsi="Arial" w:cs="Arial"/>
        </w:rPr>
      </w:pPr>
      <w:r w:rsidRPr="00163390">
        <w:rPr>
          <w:rFonts w:ascii="Arial" w:hAnsi="Arial" w:cs="Arial"/>
        </w:rPr>
        <w:t xml:space="preserve">U </w:t>
      </w:r>
      <w:r>
        <w:rPr>
          <w:rFonts w:ascii="Arial" w:hAnsi="Arial" w:cs="Arial"/>
        </w:rPr>
        <w:t xml:space="preserve"> </w:t>
      </w:r>
      <w:r w:rsidRPr="00163390">
        <w:rPr>
          <w:rFonts w:ascii="Arial" w:hAnsi="Arial" w:cs="Arial"/>
        </w:rPr>
        <w:t>I</w:t>
      </w:r>
      <w:r>
        <w:rPr>
          <w:rFonts w:ascii="Arial" w:hAnsi="Arial" w:cs="Arial"/>
        </w:rPr>
        <w:t xml:space="preserve"> </w:t>
      </w:r>
      <w:r w:rsidRPr="00163390">
        <w:rPr>
          <w:rFonts w:ascii="Arial" w:hAnsi="Arial" w:cs="Arial"/>
        </w:rPr>
        <w:t>M</w:t>
      </w:r>
      <w:r>
        <w:rPr>
          <w:rFonts w:ascii="Arial" w:hAnsi="Arial" w:cs="Arial"/>
        </w:rPr>
        <w:t xml:space="preserve"> </w:t>
      </w:r>
      <w:r w:rsidRPr="00163390">
        <w:rPr>
          <w:rFonts w:ascii="Arial" w:hAnsi="Arial" w:cs="Arial"/>
        </w:rPr>
        <w:t xml:space="preserve">E </w:t>
      </w:r>
      <w:r>
        <w:rPr>
          <w:rFonts w:ascii="Arial" w:hAnsi="Arial" w:cs="Arial"/>
        </w:rPr>
        <w:t xml:space="preserve"> </w:t>
      </w:r>
      <w:r w:rsidRPr="00163390">
        <w:rPr>
          <w:rFonts w:ascii="Arial" w:hAnsi="Arial" w:cs="Arial"/>
        </w:rPr>
        <w:t>R</w:t>
      </w:r>
      <w:r>
        <w:rPr>
          <w:rFonts w:ascii="Arial" w:hAnsi="Arial" w:cs="Arial"/>
        </w:rPr>
        <w:t xml:space="preserve"> </w:t>
      </w:r>
      <w:r w:rsidRPr="00163390">
        <w:rPr>
          <w:rFonts w:ascii="Arial" w:hAnsi="Arial" w:cs="Arial"/>
        </w:rPr>
        <w:t>E</w:t>
      </w:r>
      <w:r>
        <w:rPr>
          <w:rFonts w:ascii="Arial" w:hAnsi="Arial" w:cs="Arial"/>
        </w:rPr>
        <w:t xml:space="preserve"> </w:t>
      </w:r>
      <w:r w:rsidRPr="00163390">
        <w:rPr>
          <w:rFonts w:ascii="Arial" w:hAnsi="Arial" w:cs="Arial"/>
        </w:rPr>
        <w:t>P</w:t>
      </w:r>
      <w:r>
        <w:rPr>
          <w:rFonts w:ascii="Arial" w:hAnsi="Arial" w:cs="Arial"/>
        </w:rPr>
        <w:t xml:space="preserve"> </w:t>
      </w:r>
      <w:r w:rsidRPr="00163390">
        <w:rPr>
          <w:rFonts w:ascii="Arial" w:hAnsi="Arial" w:cs="Arial"/>
        </w:rPr>
        <w:t>U</w:t>
      </w:r>
      <w:r>
        <w:rPr>
          <w:rFonts w:ascii="Arial" w:hAnsi="Arial" w:cs="Arial"/>
        </w:rPr>
        <w:t xml:space="preserve"> </w:t>
      </w:r>
      <w:r w:rsidRPr="00163390">
        <w:rPr>
          <w:rFonts w:ascii="Arial" w:hAnsi="Arial" w:cs="Arial"/>
        </w:rPr>
        <w:t>B</w:t>
      </w:r>
      <w:r>
        <w:rPr>
          <w:rFonts w:ascii="Arial" w:hAnsi="Arial" w:cs="Arial"/>
        </w:rPr>
        <w:t xml:space="preserve"> </w:t>
      </w:r>
      <w:r w:rsidRPr="00163390">
        <w:rPr>
          <w:rFonts w:ascii="Arial" w:hAnsi="Arial" w:cs="Arial"/>
        </w:rPr>
        <w:t>L</w:t>
      </w:r>
      <w:r>
        <w:rPr>
          <w:rFonts w:ascii="Arial" w:hAnsi="Arial" w:cs="Arial"/>
        </w:rPr>
        <w:t xml:space="preserve"> </w:t>
      </w:r>
      <w:r w:rsidRPr="00163390">
        <w:rPr>
          <w:rFonts w:ascii="Arial" w:hAnsi="Arial" w:cs="Arial"/>
        </w:rPr>
        <w:t>I</w:t>
      </w:r>
      <w:r>
        <w:rPr>
          <w:rFonts w:ascii="Arial" w:hAnsi="Arial" w:cs="Arial"/>
        </w:rPr>
        <w:t xml:space="preserve"> </w:t>
      </w:r>
      <w:r w:rsidRPr="00163390">
        <w:rPr>
          <w:rFonts w:ascii="Arial" w:hAnsi="Arial" w:cs="Arial"/>
        </w:rPr>
        <w:t>K</w:t>
      </w:r>
      <w:r>
        <w:rPr>
          <w:rFonts w:ascii="Arial" w:hAnsi="Arial" w:cs="Arial"/>
        </w:rPr>
        <w:t xml:space="preserve"> </w:t>
      </w:r>
      <w:r w:rsidRPr="00163390">
        <w:rPr>
          <w:rFonts w:ascii="Arial" w:hAnsi="Arial" w:cs="Arial"/>
        </w:rPr>
        <w:t>E</w:t>
      </w:r>
      <w:r>
        <w:rPr>
          <w:rFonts w:ascii="Arial" w:hAnsi="Arial" w:cs="Arial"/>
        </w:rPr>
        <w:t xml:space="preserve">  </w:t>
      </w:r>
      <w:r w:rsidRPr="00163390">
        <w:rPr>
          <w:rFonts w:ascii="Arial" w:hAnsi="Arial" w:cs="Arial"/>
        </w:rPr>
        <w:t>H</w:t>
      </w:r>
      <w:r>
        <w:rPr>
          <w:rFonts w:ascii="Arial" w:hAnsi="Arial" w:cs="Arial"/>
        </w:rPr>
        <w:t xml:space="preserve"> </w:t>
      </w:r>
      <w:r w:rsidRPr="00163390">
        <w:rPr>
          <w:rFonts w:ascii="Arial" w:hAnsi="Arial" w:cs="Arial"/>
        </w:rPr>
        <w:t>R</w:t>
      </w:r>
      <w:r>
        <w:rPr>
          <w:rFonts w:ascii="Arial" w:hAnsi="Arial" w:cs="Arial"/>
        </w:rPr>
        <w:t xml:space="preserve"> </w:t>
      </w:r>
      <w:r w:rsidRPr="00163390">
        <w:rPr>
          <w:rFonts w:ascii="Arial" w:hAnsi="Arial" w:cs="Arial"/>
        </w:rPr>
        <w:t>V</w:t>
      </w:r>
      <w:r>
        <w:rPr>
          <w:rFonts w:ascii="Arial" w:hAnsi="Arial" w:cs="Arial"/>
        </w:rPr>
        <w:t xml:space="preserve"> </w:t>
      </w:r>
      <w:r w:rsidRPr="00163390">
        <w:rPr>
          <w:rFonts w:ascii="Arial" w:hAnsi="Arial" w:cs="Arial"/>
        </w:rPr>
        <w:t>A</w:t>
      </w:r>
      <w:r>
        <w:rPr>
          <w:rFonts w:ascii="Arial" w:hAnsi="Arial" w:cs="Arial"/>
        </w:rPr>
        <w:t xml:space="preserve"> </w:t>
      </w:r>
      <w:r w:rsidRPr="00163390">
        <w:rPr>
          <w:rFonts w:ascii="Arial" w:hAnsi="Arial" w:cs="Arial"/>
        </w:rPr>
        <w:t>T</w:t>
      </w:r>
      <w:r>
        <w:rPr>
          <w:rFonts w:ascii="Arial" w:hAnsi="Arial" w:cs="Arial"/>
        </w:rPr>
        <w:t xml:space="preserve"> </w:t>
      </w:r>
      <w:r w:rsidRPr="00163390">
        <w:rPr>
          <w:rFonts w:ascii="Arial" w:hAnsi="Arial" w:cs="Arial"/>
        </w:rPr>
        <w:t>S</w:t>
      </w:r>
      <w:r>
        <w:rPr>
          <w:rFonts w:ascii="Arial" w:hAnsi="Arial" w:cs="Arial"/>
        </w:rPr>
        <w:t xml:space="preserve"> </w:t>
      </w:r>
      <w:r w:rsidRPr="00163390">
        <w:rPr>
          <w:rFonts w:ascii="Arial" w:hAnsi="Arial" w:cs="Arial"/>
        </w:rPr>
        <w:t>K</w:t>
      </w:r>
      <w:r>
        <w:rPr>
          <w:rFonts w:ascii="Arial" w:hAnsi="Arial" w:cs="Arial"/>
        </w:rPr>
        <w:t xml:space="preserve"> </w:t>
      </w:r>
      <w:r w:rsidRPr="00163390">
        <w:rPr>
          <w:rFonts w:ascii="Arial" w:hAnsi="Arial" w:cs="Arial"/>
        </w:rPr>
        <w:t>E</w:t>
      </w:r>
    </w:p>
    <w:p w:rsidRPr="00163390" w:rsidR="00163390" w:rsidP="00163390" w:rsidRDefault="00163390">
      <w:pPr>
        <w:jc w:val="center"/>
        <w:rPr>
          <w:rFonts w:ascii="Arial" w:hAnsi="Arial" w:cs="Arial"/>
        </w:rPr>
      </w:pPr>
    </w:p>
    <w:p w:rsidRPr="00163390" w:rsidR="00163390" w:rsidP="00163390" w:rsidRDefault="00163390">
      <w:pPr>
        <w:jc w:val="center"/>
        <w:rPr>
          <w:rFonts w:ascii="Arial" w:hAnsi="Arial" w:cs="Arial"/>
        </w:rPr>
      </w:pPr>
      <w:r w:rsidRPr="00163390">
        <w:rPr>
          <w:rFonts w:ascii="Arial" w:hAnsi="Arial" w:cs="Arial"/>
        </w:rPr>
        <w:t>P R E S U D A</w:t>
      </w:r>
    </w:p>
    <w:p w:rsidRPr="00163390" w:rsidR="00163390" w:rsidP="00163390" w:rsidRDefault="00163390">
      <w:pPr>
        <w:jc w:val="both"/>
        <w:rPr>
          <w:rFonts w:ascii="Arial" w:hAnsi="Arial" w:cs="Arial"/>
        </w:rPr>
      </w:pPr>
    </w:p>
    <w:p w:rsidRPr="00163390" w:rsidR="00163390" w:rsidP="00163390" w:rsidRDefault="00163390">
      <w:pPr>
        <w:ind w:left="75" w:firstLine="633"/>
        <w:jc w:val="both"/>
        <w:rPr>
          <w:rFonts w:ascii="Arial" w:hAnsi="Arial" w:cs="Arial"/>
        </w:rPr>
      </w:pPr>
      <w:r w:rsidRPr="00163390">
        <w:rPr>
          <w:rFonts w:ascii="Arial" w:hAnsi="Arial" w:cs="Arial"/>
        </w:rPr>
        <w:t xml:space="preserve">Općinski sud u Splitu, po sucu tog suda </w:t>
      </w:r>
      <w:r w:rsidR="00B75B5C">
        <w:rPr>
          <w:rFonts w:ascii="Arial" w:hAnsi="Arial" w:cs="Arial"/>
        </w:rPr>
        <w:t xml:space="preserve">Dunji Ljubičić </w:t>
      </w:r>
      <w:r w:rsidRPr="00163390">
        <w:rPr>
          <w:rFonts w:ascii="Arial" w:hAnsi="Arial" w:cs="Arial"/>
        </w:rPr>
        <w:t>u pravnoj st</w:t>
      </w:r>
      <w:r w:rsidR="004C6961">
        <w:rPr>
          <w:rFonts w:ascii="Arial" w:hAnsi="Arial" w:cs="Arial"/>
        </w:rPr>
        <w:t xml:space="preserve">vari tužitelja </w:t>
      </w:r>
      <w:r w:rsidR="005B4BF6">
        <w:rPr>
          <w:rFonts w:ascii="Arial" w:hAnsi="Arial" w:cs="Arial"/>
        </w:rPr>
        <w:t>Ante Roguljića iz Splita, Šižgorićeva 20</w:t>
      </w:r>
      <w:r>
        <w:rPr>
          <w:rFonts w:ascii="Arial" w:hAnsi="Arial" w:cs="Arial"/>
        </w:rPr>
        <w:t xml:space="preserve"> OIB:</w:t>
      </w:r>
      <w:r w:rsidR="005B4BF6">
        <w:rPr>
          <w:rFonts w:ascii="Arial" w:hAnsi="Arial" w:cs="Arial"/>
        </w:rPr>
        <w:t>98304795304</w:t>
      </w:r>
      <w:r w:rsidRPr="00163390">
        <w:rPr>
          <w:rFonts w:ascii="Arial" w:hAnsi="Arial" w:cs="Arial"/>
        </w:rPr>
        <w:t>, zastupan</w:t>
      </w:r>
      <w:r w:rsidR="004C6961">
        <w:rPr>
          <w:rFonts w:ascii="Arial" w:hAnsi="Arial" w:cs="Arial"/>
        </w:rPr>
        <w:t>og</w:t>
      </w:r>
      <w:r w:rsidRPr="00163390">
        <w:rPr>
          <w:rFonts w:ascii="Arial" w:hAnsi="Arial" w:cs="Arial"/>
        </w:rPr>
        <w:t xml:space="preserve"> po punomoćni</w:t>
      </w:r>
      <w:r w:rsidR="00727249">
        <w:rPr>
          <w:rFonts w:ascii="Arial" w:hAnsi="Arial" w:cs="Arial"/>
        </w:rPr>
        <w:t>ku</w:t>
      </w:r>
      <w:r w:rsidR="000640F1">
        <w:rPr>
          <w:rFonts w:ascii="Arial" w:hAnsi="Arial" w:cs="Arial"/>
        </w:rPr>
        <w:t xml:space="preserve"> </w:t>
      </w:r>
      <w:r w:rsidR="005B4BF6">
        <w:rPr>
          <w:rFonts w:ascii="Arial" w:hAnsi="Arial" w:cs="Arial"/>
        </w:rPr>
        <w:t>Martini Radić Šunjić</w:t>
      </w:r>
      <w:r w:rsidR="000640F1">
        <w:rPr>
          <w:rFonts w:ascii="Arial" w:hAnsi="Arial" w:cs="Arial"/>
        </w:rPr>
        <w:t xml:space="preserve">, </w:t>
      </w:r>
      <w:r w:rsidRPr="00163390">
        <w:rPr>
          <w:rFonts w:ascii="Arial" w:hAnsi="Arial" w:cs="Arial"/>
        </w:rPr>
        <w:t>od</w:t>
      </w:r>
      <w:r w:rsidR="00821040">
        <w:rPr>
          <w:rFonts w:ascii="Arial" w:hAnsi="Arial" w:cs="Arial"/>
        </w:rPr>
        <w:t>vjetni</w:t>
      </w:r>
      <w:r w:rsidR="005B4BF6">
        <w:rPr>
          <w:rFonts w:ascii="Arial" w:hAnsi="Arial" w:cs="Arial"/>
        </w:rPr>
        <w:t>ci</w:t>
      </w:r>
      <w:r w:rsidR="00821040">
        <w:rPr>
          <w:rFonts w:ascii="Arial" w:hAnsi="Arial" w:cs="Arial"/>
        </w:rPr>
        <w:t xml:space="preserve"> u S</w:t>
      </w:r>
      <w:r w:rsidR="004C6961">
        <w:rPr>
          <w:rFonts w:ascii="Arial" w:hAnsi="Arial" w:cs="Arial"/>
        </w:rPr>
        <w:t>plit</w:t>
      </w:r>
      <w:r w:rsidR="00821040">
        <w:rPr>
          <w:rFonts w:ascii="Arial" w:hAnsi="Arial" w:cs="Arial"/>
        </w:rPr>
        <w:t>u, protiv tužen</w:t>
      </w:r>
      <w:r w:rsidR="00E024AF">
        <w:rPr>
          <w:rFonts w:ascii="Arial" w:hAnsi="Arial" w:cs="Arial"/>
        </w:rPr>
        <w:t>ika</w:t>
      </w:r>
      <w:r w:rsidRPr="00163390">
        <w:rPr>
          <w:rFonts w:ascii="Arial" w:hAnsi="Arial" w:cs="Arial"/>
        </w:rPr>
        <w:t xml:space="preserve"> </w:t>
      </w:r>
      <w:r w:rsidR="000640F1">
        <w:rPr>
          <w:rFonts w:ascii="Arial" w:hAnsi="Arial" w:cs="Arial"/>
        </w:rPr>
        <w:t>OTP Banka d.d. OIB:52508873833 Split, Domovinskog rata 61</w:t>
      </w:r>
      <w:r w:rsidRPr="00163390">
        <w:rPr>
          <w:rFonts w:ascii="Arial" w:hAnsi="Arial" w:cs="Arial"/>
        </w:rPr>
        <w:t>, zastupan</w:t>
      </w:r>
      <w:r w:rsidR="00E024AF">
        <w:rPr>
          <w:rFonts w:ascii="Arial" w:hAnsi="Arial" w:cs="Arial"/>
        </w:rPr>
        <w:t>og</w:t>
      </w:r>
      <w:r w:rsidRPr="00163390">
        <w:rPr>
          <w:rFonts w:ascii="Arial" w:hAnsi="Arial" w:cs="Arial"/>
        </w:rPr>
        <w:t xml:space="preserve"> po </w:t>
      </w:r>
      <w:r w:rsidR="004C6961">
        <w:rPr>
          <w:rFonts w:ascii="Arial" w:hAnsi="Arial" w:cs="Arial"/>
        </w:rPr>
        <w:t xml:space="preserve">punomoćniku </w:t>
      </w:r>
      <w:r w:rsidR="005B4BF6">
        <w:rPr>
          <w:rFonts w:ascii="Arial" w:hAnsi="Arial" w:cs="Arial"/>
        </w:rPr>
        <w:t>Toniju Marincu</w:t>
      </w:r>
      <w:r w:rsidR="000640F1">
        <w:rPr>
          <w:rFonts w:ascii="Arial" w:hAnsi="Arial" w:cs="Arial"/>
        </w:rPr>
        <w:t xml:space="preserve">, </w:t>
      </w:r>
      <w:r w:rsidRPr="00163390">
        <w:rPr>
          <w:rFonts w:ascii="Arial" w:hAnsi="Arial" w:cs="Arial"/>
        </w:rPr>
        <w:t>odvjetni</w:t>
      </w:r>
      <w:r w:rsidR="005B4BF6">
        <w:rPr>
          <w:rFonts w:ascii="Arial" w:hAnsi="Arial" w:cs="Arial"/>
        </w:rPr>
        <w:t>ku</w:t>
      </w:r>
      <w:r w:rsidRPr="00163390">
        <w:rPr>
          <w:rFonts w:ascii="Arial" w:hAnsi="Arial" w:cs="Arial"/>
        </w:rPr>
        <w:t xml:space="preserve"> </w:t>
      </w:r>
      <w:r w:rsidR="005B4BF6">
        <w:rPr>
          <w:rFonts w:ascii="Arial" w:hAnsi="Arial" w:cs="Arial"/>
        </w:rPr>
        <w:t>u</w:t>
      </w:r>
      <w:r w:rsidRPr="00163390">
        <w:rPr>
          <w:rFonts w:ascii="Arial" w:hAnsi="Arial" w:cs="Arial"/>
        </w:rPr>
        <w:t xml:space="preserve"> Odvjetničko</w:t>
      </w:r>
      <w:r w:rsidR="005B4BF6">
        <w:rPr>
          <w:rFonts w:ascii="Arial" w:hAnsi="Arial" w:cs="Arial"/>
        </w:rPr>
        <w:t>m društvu</w:t>
      </w:r>
      <w:r w:rsidRPr="00163390">
        <w:rPr>
          <w:rFonts w:ascii="Arial" w:hAnsi="Arial" w:cs="Arial"/>
        </w:rPr>
        <w:t xml:space="preserve"> </w:t>
      </w:r>
      <w:r w:rsidR="000640F1">
        <w:rPr>
          <w:rFonts w:ascii="Arial" w:hAnsi="Arial" w:cs="Arial"/>
        </w:rPr>
        <w:t>Anić</w:t>
      </w:r>
      <w:r>
        <w:rPr>
          <w:rFonts w:ascii="Arial" w:hAnsi="Arial" w:cs="Arial"/>
        </w:rPr>
        <w:t xml:space="preserve"> </w:t>
      </w:r>
      <w:r w:rsidRPr="00163390">
        <w:rPr>
          <w:rFonts w:ascii="Arial" w:hAnsi="Arial" w:cs="Arial"/>
        </w:rPr>
        <w:t>&amp;</w:t>
      </w:r>
      <w:r>
        <w:rPr>
          <w:rFonts w:ascii="Arial" w:hAnsi="Arial" w:cs="Arial"/>
        </w:rPr>
        <w:t xml:space="preserve"> </w:t>
      </w:r>
      <w:r w:rsidR="000640F1">
        <w:rPr>
          <w:rFonts w:ascii="Arial" w:hAnsi="Arial" w:cs="Arial"/>
        </w:rPr>
        <w:t>Anić</w:t>
      </w:r>
      <w:r w:rsidRPr="00163390">
        <w:rPr>
          <w:rFonts w:ascii="Arial" w:hAnsi="Arial" w:cs="Arial"/>
        </w:rPr>
        <w:t xml:space="preserve"> d.o.o.</w:t>
      </w:r>
      <w:r w:rsidR="004C6961">
        <w:rPr>
          <w:rFonts w:ascii="Arial" w:hAnsi="Arial" w:cs="Arial"/>
        </w:rPr>
        <w:t xml:space="preserve"> Split</w:t>
      </w:r>
      <w:r w:rsidRPr="00163390">
        <w:rPr>
          <w:rFonts w:ascii="Arial" w:hAnsi="Arial" w:cs="Arial"/>
        </w:rPr>
        <w:t xml:space="preserve">, </w:t>
      </w:r>
      <w:r w:rsidR="000640F1">
        <w:rPr>
          <w:rFonts w:ascii="Arial" w:hAnsi="Arial" w:cs="Arial"/>
        </w:rPr>
        <w:t>z</w:t>
      </w:r>
      <w:r>
        <w:rPr>
          <w:rFonts w:ascii="Arial" w:hAnsi="Arial" w:cs="Arial"/>
        </w:rPr>
        <w:t>bog</w:t>
      </w:r>
      <w:r w:rsidR="004C6961">
        <w:rPr>
          <w:rFonts w:ascii="Arial" w:hAnsi="Arial" w:cs="Arial"/>
        </w:rPr>
        <w:t xml:space="preserve"> </w:t>
      </w:r>
      <w:r w:rsidRPr="00163390">
        <w:rPr>
          <w:rFonts w:ascii="Arial" w:hAnsi="Arial" w:cs="Arial"/>
        </w:rPr>
        <w:t xml:space="preserve">isplate, nakon održane javne glavne rasprave, zaključene </w:t>
      </w:r>
      <w:r w:rsidR="005B4BF6">
        <w:rPr>
          <w:rFonts w:ascii="Arial" w:hAnsi="Arial" w:cs="Arial"/>
        </w:rPr>
        <w:t>dana 02</w:t>
      </w:r>
      <w:r w:rsidRPr="00163390">
        <w:rPr>
          <w:rFonts w:ascii="Arial" w:hAnsi="Arial" w:cs="Arial"/>
        </w:rPr>
        <w:t xml:space="preserve">. </w:t>
      </w:r>
      <w:r w:rsidR="005B4BF6">
        <w:rPr>
          <w:rFonts w:ascii="Arial" w:hAnsi="Arial" w:cs="Arial"/>
        </w:rPr>
        <w:t>sr</w:t>
      </w:r>
      <w:r w:rsidR="003479AE">
        <w:rPr>
          <w:rFonts w:ascii="Arial" w:hAnsi="Arial" w:cs="Arial"/>
        </w:rPr>
        <w:t>p</w:t>
      </w:r>
      <w:r w:rsidR="00727249">
        <w:rPr>
          <w:rFonts w:ascii="Arial" w:hAnsi="Arial" w:cs="Arial"/>
        </w:rPr>
        <w:t>nj</w:t>
      </w:r>
      <w:r w:rsidRPr="00163390">
        <w:rPr>
          <w:rFonts w:ascii="Arial" w:hAnsi="Arial" w:cs="Arial"/>
        </w:rPr>
        <w:t>a 20</w:t>
      </w:r>
      <w:r>
        <w:rPr>
          <w:rFonts w:ascii="Arial" w:hAnsi="Arial" w:cs="Arial"/>
        </w:rPr>
        <w:t>2</w:t>
      </w:r>
      <w:r w:rsidR="00605DC0">
        <w:rPr>
          <w:rFonts w:ascii="Arial" w:hAnsi="Arial" w:cs="Arial"/>
        </w:rPr>
        <w:t>6</w:t>
      </w:r>
      <w:r w:rsidRPr="00163390">
        <w:rPr>
          <w:rFonts w:ascii="Arial" w:hAnsi="Arial" w:cs="Arial"/>
        </w:rPr>
        <w:t xml:space="preserve">. u nazočnosti </w:t>
      </w:r>
      <w:r w:rsidR="005B4BF6">
        <w:rPr>
          <w:rFonts w:ascii="Arial" w:hAnsi="Arial" w:cs="Arial"/>
        </w:rPr>
        <w:t>tužitelja a u izočnosti tuženika</w:t>
      </w:r>
      <w:r>
        <w:rPr>
          <w:rFonts w:ascii="Arial" w:hAnsi="Arial" w:cs="Arial"/>
        </w:rPr>
        <w:t>,</w:t>
      </w:r>
      <w:r w:rsidRPr="00163390">
        <w:rPr>
          <w:rFonts w:ascii="Arial" w:hAnsi="Arial" w:cs="Arial"/>
        </w:rPr>
        <w:t xml:space="preserve"> </w:t>
      </w:r>
      <w:r w:rsidR="004C6961">
        <w:rPr>
          <w:rFonts w:ascii="Arial" w:hAnsi="Arial" w:cs="Arial"/>
        </w:rPr>
        <w:t>pozivom na odredbu čl.335</w:t>
      </w:r>
      <w:r w:rsidR="003479AE">
        <w:rPr>
          <w:rFonts w:ascii="Arial" w:hAnsi="Arial" w:cs="Arial"/>
        </w:rPr>
        <w:t xml:space="preserve"> </w:t>
      </w:r>
      <w:r w:rsidRPr="00330682">
        <w:rPr>
          <w:rFonts w:ascii="Arial" w:hAnsi="Arial" w:cs="Arial"/>
        </w:rPr>
        <w:t xml:space="preserve">st.6 </w:t>
      </w:r>
      <w:r w:rsidR="00605DC0">
        <w:rPr>
          <w:rFonts w:ascii="Arial" w:hAnsi="Arial" w:cs="Arial"/>
        </w:rPr>
        <w:t>-</w:t>
      </w:r>
      <w:r w:rsidRPr="00330682">
        <w:rPr>
          <w:rFonts w:ascii="Arial" w:hAnsi="Arial" w:cs="Arial"/>
        </w:rPr>
        <w:t xml:space="preserve"> 12 Zakona o parničnom postupku ("Narodne novine" broj 53/91, 91/92, 112/99, 88/01, 117/03, 88/05, Odluka Ustavnog suda RH u 2/07, 84/08,96/08-Odluka USRH, 123/08, 57/11, 148/11, 25/13, 89/14</w:t>
      </w:r>
      <w:r w:rsidR="004C6961">
        <w:rPr>
          <w:rFonts w:ascii="Arial" w:hAnsi="Arial" w:cs="Arial"/>
        </w:rPr>
        <w:t>,</w:t>
      </w:r>
      <w:r w:rsidRPr="00330682">
        <w:rPr>
          <w:rFonts w:ascii="Arial" w:hAnsi="Arial" w:cs="Arial"/>
        </w:rPr>
        <w:t xml:space="preserve"> 70/19, </w:t>
      </w:r>
      <w:r w:rsidR="004C6961">
        <w:rPr>
          <w:rFonts w:ascii="Arial" w:hAnsi="Arial" w:cs="Arial"/>
        </w:rPr>
        <w:t xml:space="preserve">80/22, 114/22 i 155/23, </w:t>
      </w:r>
      <w:r w:rsidRPr="00330682">
        <w:rPr>
          <w:rFonts w:ascii="Arial" w:hAnsi="Arial" w:cs="Arial"/>
        </w:rPr>
        <w:t xml:space="preserve">nadalje u tekstu: ZPP) </w:t>
      </w:r>
      <w:r>
        <w:rPr>
          <w:rFonts w:ascii="Arial" w:hAnsi="Arial" w:cs="Arial"/>
        </w:rPr>
        <w:t xml:space="preserve">dana </w:t>
      </w:r>
      <w:r w:rsidR="005B4BF6">
        <w:rPr>
          <w:rFonts w:ascii="Arial" w:hAnsi="Arial" w:cs="Arial"/>
        </w:rPr>
        <w:t>22</w:t>
      </w:r>
      <w:r w:rsidRPr="00163390">
        <w:rPr>
          <w:rFonts w:ascii="Arial" w:hAnsi="Arial" w:cs="Arial"/>
        </w:rPr>
        <w:t xml:space="preserve">. </w:t>
      </w:r>
      <w:r w:rsidR="00605DC0">
        <w:rPr>
          <w:rFonts w:ascii="Arial" w:hAnsi="Arial" w:cs="Arial"/>
        </w:rPr>
        <w:t>srp</w:t>
      </w:r>
      <w:r w:rsidR="00727249">
        <w:rPr>
          <w:rFonts w:ascii="Arial" w:hAnsi="Arial" w:cs="Arial"/>
        </w:rPr>
        <w:t>nj</w:t>
      </w:r>
      <w:r w:rsidR="00873220">
        <w:rPr>
          <w:rFonts w:ascii="Arial" w:hAnsi="Arial" w:cs="Arial"/>
        </w:rPr>
        <w:t>a</w:t>
      </w:r>
      <w:r w:rsidRPr="00163390">
        <w:rPr>
          <w:rFonts w:ascii="Arial" w:hAnsi="Arial" w:cs="Arial"/>
        </w:rPr>
        <w:t xml:space="preserve"> 20</w:t>
      </w:r>
      <w:r>
        <w:rPr>
          <w:rFonts w:ascii="Arial" w:hAnsi="Arial" w:cs="Arial"/>
        </w:rPr>
        <w:t>2</w:t>
      </w:r>
      <w:r w:rsidR="00605DC0">
        <w:rPr>
          <w:rFonts w:ascii="Arial" w:hAnsi="Arial" w:cs="Arial"/>
        </w:rPr>
        <w:t>6</w:t>
      </w:r>
      <w:r w:rsidRPr="00163390">
        <w:rPr>
          <w:rFonts w:ascii="Arial" w:hAnsi="Arial" w:cs="Arial"/>
        </w:rPr>
        <w:t>.,</w:t>
      </w:r>
    </w:p>
    <w:p w:rsidRPr="00163390" w:rsidR="00163390" w:rsidP="00163390" w:rsidRDefault="00163390">
      <w:pPr>
        <w:jc w:val="center"/>
        <w:rPr>
          <w:rFonts w:ascii="Arial" w:hAnsi="Arial" w:cs="Arial"/>
        </w:rPr>
      </w:pPr>
    </w:p>
    <w:p w:rsidRPr="00163390" w:rsidR="00163390" w:rsidP="00566420" w:rsidRDefault="00163390">
      <w:pPr>
        <w:jc w:val="center"/>
        <w:rPr>
          <w:rFonts w:ascii="Arial" w:hAnsi="Arial" w:cs="Arial"/>
        </w:rPr>
      </w:pPr>
      <w:r>
        <w:rPr>
          <w:rFonts w:ascii="Arial" w:hAnsi="Arial" w:cs="Arial"/>
        </w:rPr>
        <w:t xml:space="preserve">p r e s u d i o    j e </w:t>
      </w:r>
    </w:p>
    <w:p w:rsidR="006C5417" w:rsidP="006C5417" w:rsidRDefault="006C5417">
      <w:pPr>
        <w:autoSpaceDE w:val="false"/>
        <w:autoSpaceDN w:val="false"/>
        <w:adjustRightInd w:val="false"/>
        <w:rPr>
          <w:rFonts w:eastAsiaTheme="minorHAnsi"/>
          <w:color w:val="000000"/>
          <w:lang w:eastAsia="en-US"/>
        </w:rPr>
      </w:pPr>
    </w:p>
    <w:p w:rsidRPr="008C493F" w:rsidR="005B4BF6" w:rsidP="008C493F" w:rsidRDefault="005B4BF6">
      <w:pPr>
        <w:autoSpaceDE w:val="false"/>
        <w:autoSpaceDN w:val="false"/>
        <w:adjustRightInd w:val="false"/>
        <w:ind w:firstLine="708"/>
        <w:jc w:val="both"/>
        <w:rPr>
          <w:rFonts w:ascii="Arial" w:hAnsi="Arial" w:cs="Arial" w:eastAsiaTheme="minorHAnsi"/>
          <w:iCs/>
          <w:lang w:eastAsia="en-US"/>
        </w:rPr>
      </w:pPr>
      <w:r w:rsidRPr="008C493F">
        <w:rPr>
          <w:rFonts w:ascii="Arial" w:hAnsi="Arial" w:cs="Arial" w:eastAsiaTheme="minorHAnsi"/>
          <w:iCs/>
          <w:lang w:eastAsia="en-US"/>
        </w:rPr>
        <w:t xml:space="preserve">I. Dužan je tuženik u roku od 15 dana i pod prijetnjom ovrhe na ime razlike uvećanja anuiteta uslijed primjene nepoštene i ništetne valutne klauzule u </w:t>
      </w:r>
      <w:r w:rsidR="008C493F">
        <w:rPr>
          <w:rFonts w:ascii="Arial" w:hAnsi="Arial" w:cs="Arial" w:eastAsiaTheme="minorHAnsi"/>
          <w:iCs/>
          <w:lang w:eastAsia="en-US"/>
        </w:rPr>
        <w:t>š</w:t>
      </w:r>
      <w:r w:rsidRPr="008C493F">
        <w:rPr>
          <w:rFonts w:ascii="Arial" w:hAnsi="Arial" w:cs="Arial" w:eastAsiaTheme="minorHAnsi"/>
          <w:iCs/>
          <w:lang w:eastAsia="en-US"/>
        </w:rPr>
        <w:t xml:space="preserve">vicarskom franku isplatiti tužitelju ukupan iznos od </w:t>
      </w:r>
      <w:r w:rsidRPr="008C493F">
        <w:rPr>
          <w:rFonts w:ascii="Arial" w:hAnsi="Arial" w:cs="Arial" w:eastAsiaTheme="minorHAnsi"/>
          <w:bCs/>
          <w:iCs/>
          <w:lang w:eastAsia="en-US"/>
        </w:rPr>
        <w:t xml:space="preserve">2.382,08 </w:t>
      </w:r>
      <w:r w:rsidR="008C493F">
        <w:rPr>
          <w:rFonts w:ascii="Arial" w:hAnsi="Arial" w:cs="Arial" w:eastAsiaTheme="minorHAnsi"/>
          <w:bCs/>
          <w:iCs/>
          <w:lang w:eastAsia="en-US"/>
        </w:rPr>
        <w:t>€</w:t>
      </w:r>
      <w:r w:rsidRPr="008C493F">
        <w:rPr>
          <w:rFonts w:ascii="Arial" w:hAnsi="Arial" w:cs="Arial" w:eastAsiaTheme="minorHAnsi"/>
          <w:bCs/>
          <w:iCs/>
          <w:lang w:eastAsia="en-US"/>
        </w:rPr>
        <w:t xml:space="preserve"> </w:t>
      </w:r>
      <w:r w:rsidRPr="008C493F">
        <w:rPr>
          <w:rFonts w:ascii="Arial" w:hAnsi="Arial" w:cs="Arial" w:eastAsiaTheme="minorHAnsi"/>
          <w:iCs/>
          <w:lang w:eastAsia="en-US"/>
        </w:rPr>
        <w:t>i to sa kamatom na pojedinačne mjesečne iznose od po:</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4,85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12.06.2006.</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3,81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10.07.2006.</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3,39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10.08.2006.</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4,29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11.09.2006.</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5,09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10.10.2006.</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2,40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10.11.2006.</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3,29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11.12.2006.</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1,20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10.01.2007.</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0,66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12.02.2007.</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0,11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12.03.2007.</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0,62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11.02.2008.</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3,88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10.03.2008.</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1,06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10.04.2008.</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2,88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10.10.2008.</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7,04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10.11.2008.</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5,49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10.12.2008.</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14,32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12.01.2009.</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17,68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10.02.2009.</w:t>
      </w:r>
      <w:r w:rsidRPr="00163B9E" w:rsidR="008C493F">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lastRenderedPageBreak/>
        <w:t xml:space="preserve">- </w:t>
      </w:r>
      <w:r w:rsidRPr="00163B9E">
        <w:rPr>
          <w:rFonts w:ascii="Arial" w:hAnsi="Arial" w:cs="Arial" w:eastAsiaTheme="minorHAnsi"/>
          <w:iCs/>
          <w:lang w:eastAsia="en-US"/>
        </w:rPr>
        <w:t xml:space="preserve">21,81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10.03.2009.</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14,57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10.04.2009.</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13,28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11.05.2009.</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12,55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10.06.2009.</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14,01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10.07.2009.</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11,10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10.08.2009.</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12,42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10.09.2009.</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10,15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12.10.2009.</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12,17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10.11.2009.</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11,01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10.12.2009.</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15,71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11.01.2010.</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18,80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10.02.2010.</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18,14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10.03.2010.</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20,77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12.04.2010.</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24,54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10.05.2010.</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27,91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10.06.2010.</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34,36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12.07.2010.</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28,05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10.08.2010.</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44,08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10.09.2010.</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35,67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11.10.2010.</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37,30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10.11.2010.</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44,27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10.12.2010.</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53,49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10.01.2011.</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43,12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10.02.2011.</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46,34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10.03.2011.</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41,79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11.04.2011.</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52,09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10.05.2011.</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59,15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10.06.2011.</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62,36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11.07.2011.</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97,96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10.08.2011.</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64,19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12.09.2011.</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59,15 </w:t>
      </w:r>
      <w:r w:rsidRPr="00163B9E" w:rsidR="008C493F">
        <w:rPr>
          <w:rFonts w:ascii="Arial" w:hAnsi="Arial" w:cs="Arial" w:eastAsiaTheme="minorHAnsi"/>
          <w:iCs/>
          <w:lang w:eastAsia="en-US"/>
        </w:rPr>
        <w:t>€</w:t>
      </w:r>
      <w:r w:rsidRPr="00163B9E">
        <w:rPr>
          <w:rFonts w:ascii="Arial" w:hAnsi="Arial" w:cs="Arial" w:eastAsiaTheme="minorHAnsi"/>
          <w:iCs/>
          <w:lang w:eastAsia="en-US"/>
        </w:rPr>
        <w:t xml:space="preserve"> koja teče od 10.10.2011.</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60,39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10.11.2011.</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59,93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12.12.2011.</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64,33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10.01.2012.</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67,40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10.02.2012.</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68,35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12.03.2012.</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65,99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10.04.2012.</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67,31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10.05.2012.</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68,54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11.06.2012.</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66,70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10.07.2012.</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66,52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10.08.2012.</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63,05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10.09.2012.</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64,24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10.10.2012.</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66,82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12.11.2012.</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66,00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10.12.2012.</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67,18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10.01.2013.</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63,82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11.02.2013.</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Pr>
          <w:rFonts w:ascii="Arial" w:hAnsi="Arial" w:cs="Arial" w:eastAsiaTheme="minorHAnsi"/>
          <w:iCs/>
          <w:lang w:eastAsia="en-US"/>
        </w:rPr>
        <w:t xml:space="preserve">62,51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11.03.2013.</w:t>
      </w:r>
      <w:r w:rsidRPr="00163B9E" w:rsidR="00163B9E">
        <w:rPr>
          <w:rFonts w:ascii="Arial" w:hAnsi="Arial" w:cs="Arial" w:eastAsiaTheme="minorHAnsi"/>
          <w:iCs/>
          <w:lang w:eastAsia="en-US"/>
        </w:rPr>
        <w:t>,</w:t>
      </w:r>
    </w:p>
    <w:p w:rsidRPr="00163B9E" w:rsidR="005B4BF6" w:rsidP="005B4BF6" w:rsidRDefault="005B4BF6">
      <w:pPr>
        <w:autoSpaceDE w:val="false"/>
        <w:autoSpaceDN w:val="false"/>
        <w:adjustRightInd w:val="false"/>
        <w:rPr>
          <w:rFonts w:ascii="Arial" w:hAnsi="Arial" w:cs="Arial" w:eastAsiaTheme="minorHAnsi"/>
          <w:iCs/>
          <w:lang w:eastAsia="en-US"/>
        </w:rPr>
      </w:pPr>
      <w:r w:rsidRPr="00163B9E">
        <w:rPr>
          <w:rFonts w:ascii="Arial" w:hAnsi="Arial" w:cs="Arial" w:eastAsiaTheme="minorHAnsi"/>
          <w:b/>
          <w:bCs/>
          <w:lang w:eastAsia="en-US"/>
        </w:rPr>
        <w:t xml:space="preserve">- </w:t>
      </w:r>
      <w:r w:rsidRPr="00163B9E" w:rsidR="00163B9E">
        <w:rPr>
          <w:rFonts w:ascii="Arial" w:hAnsi="Arial" w:cs="Arial" w:eastAsiaTheme="minorHAnsi"/>
          <w:iCs/>
          <w:lang w:eastAsia="en-US"/>
        </w:rPr>
        <w:t>66,23 €</w:t>
      </w:r>
      <w:r w:rsidRPr="00163B9E">
        <w:rPr>
          <w:rFonts w:ascii="Arial" w:hAnsi="Arial" w:cs="Arial" w:eastAsiaTheme="minorHAnsi"/>
          <w:iCs/>
          <w:lang w:eastAsia="en-US"/>
        </w:rPr>
        <w:t xml:space="preserve"> koja teče od 10.04.2013.</w:t>
      </w:r>
      <w:r w:rsidRPr="00163B9E" w:rsidR="00163B9E">
        <w:rPr>
          <w:rFonts w:ascii="Arial" w:hAnsi="Arial" w:cs="Arial" w:eastAsiaTheme="minorHAnsi"/>
          <w:iCs/>
          <w:lang w:eastAsia="en-US"/>
        </w:rPr>
        <w:t xml:space="preserve"> i</w:t>
      </w:r>
    </w:p>
    <w:p w:rsidRPr="00163B9E" w:rsidR="00163B9E" w:rsidP="00163B9E" w:rsidRDefault="005B4BF6">
      <w:pPr>
        <w:autoSpaceDE w:val="false"/>
        <w:autoSpaceDN w:val="false"/>
        <w:adjustRightInd w:val="false"/>
        <w:jc w:val="both"/>
        <w:rPr>
          <w:rFonts w:ascii="Arial" w:hAnsi="Arial" w:cs="Arial" w:eastAsiaTheme="minorHAnsi"/>
          <w:iCs/>
          <w:lang w:eastAsia="en-US"/>
        </w:rPr>
      </w:pPr>
      <w:r w:rsidRPr="00163B9E">
        <w:rPr>
          <w:rFonts w:ascii="Arial" w:hAnsi="Arial" w:cs="Arial" w:eastAsiaTheme="minorHAnsi"/>
          <w:b/>
          <w:bCs/>
          <w:lang w:eastAsia="en-US"/>
        </w:rPr>
        <w:lastRenderedPageBreak/>
        <w:t xml:space="preserve">- </w:t>
      </w:r>
      <w:r w:rsidRPr="00163B9E">
        <w:rPr>
          <w:rFonts w:ascii="Arial" w:hAnsi="Arial" w:cs="Arial" w:eastAsiaTheme="minorHAnsi"/>
          <w:iCs/>
          <w:lang w:eastAsia="en-US"/>
        </w:rPr>
        <w:t xml:space="preserve">62,40 </w:t>
      </w:r>
      <w:r w:rsidRPr="00163B9E" w:rsidR="00163B9E">
        <w:rPr>
          <w:rFonts w:ascii="Arial" w:hAnsi="Arial" w:cs="Arial" w:eastAsiaTheme="minorHAnsi"/>
          <w:iCs/>
          <w:lang w:eastAsia="en-US"/>
        </w:rPr>
        <w:t>€</w:t>
      </w:r>
      <w:r w:rsidRPr="00163B9E">
        <w:rPr>
          <w:rFonts w:ascii="Arial" w:hAnsi="Arial" w:cs="Arial" w:eastAsiaTheme="minorHAnsi"/>
          <w:iCs/>
          <w:lang w:eastAsia="en-US"/>
        </w:rPr>
        <w:t xml:space="preserve"> koja teče od 10.05.2013.</w:t>
      </w:r>
      <w:r w:rsidRPr="00163B9E" w:rsidR="00163B9E">
        <w:rPr>
          <w:rFonts w:ascii="Arial" w:hAnsi="Arial" w:cs="Arial" w:eastAsiaTheme="minorHAnsi"/>
          <w:iCs/>
          <w:lang w:eastAsia="en-US"/>
        </w:rPr>
        <w:t>,</w:t>
      </w:r>
    </w:p>
    <w:p w:rsidRPr="00163B9E" w:rsidR="005B4BF6" w:rsidP="00163B9E" w:rsidRDefault="00163B9E">
      <w:pPr>
        <w:autoSpaceDE w:val="false"/>
        <w:autoSpaceDN w:val="false"/>
        <w:adjustRightInd w:val="false"/>
        <w:jc w:val="both"/>
        <w:rPr>
          <w:rFonts w:ascii="Arial" w:hAnsi="Arial" w:cs="Arial" w:eastAsiaTheme="minorHAnsi"/>
          <w:color w:val="000000"/>
          <w:lang w:eastAsia="en-US"/>
        </w:rPr>
      </w:pPr>
      <w:r w:rsidRPr="00163B9E">
        <w:rPr>
          <w:rFonts w:ascii="Arial" w:hAnsi="Arial" w:cs="Arial" w:eastAsiaTheme="minorHAnsi"/>
          <w:iCs/>
          <w:lang w:eastAsia="en-US"/>
        </w:rPr>
        <w:t>pa sve</w:t>
      </w:r>
      <w:r w:rsidRPr="00163B9E" w:rsidR="005B4BF6">
        <w:rPr>
          <w:rFonts w:ascii="Arial" w:hAnsi="Arial" w:cs="Arial" w:eastAsiaTheme="minorHAnsi"/>
          <w:iCs/>
          <w:lang w:eastAsia="en-US"/>
        </w:rPr>
        <w:t xml:space="preserve"> do isplate, sa zakonskom kamatom na</w:t>
      </w:r>
      <w:r w:rsidRPr="00163B9E">
        <w:rPr>
          <w:rFonts w:ascii="Arial" w:hAnsi="Arial" w:cs="Arial" w:eastAsiaTheme="minorHAnsi"/>
          <w:iCs/>
          <w:lang w:eastAsia="en-US"/>
        </w:rPr>
        <w:t xml:space="preserve"> </w:t>
      </w:r>
      <w:r w:rsidRPr="00163B9E" w:rsidR="005B4BF6">
        <w:rPr>
          <w:rFonts w:ascii="Arial" w:hAnsi="Arial" w:cs="Arial" w:eastAsiaTheme="minorHAnsi"/>
          <w:iCs/>
          <w:lang w:eastAsia="en-US"/>
        </w:rPr>
        <w:t>navedene iznose do 31.07.2015. po stopi koja se određuje uvećanjem eskontne stope</w:t>
      </w:r>
      <w:r w:rsidRPr="00163B9E">
        <w:rPr>
          <w:rFonts w:ascii="Arial" w:hAnsi="Arial" w:cs="Arial" w:eastAsiaTheme="minorHAnsi"/>
          <w:iCs/>
          <w:lang w:eastAsia="en-US"/>
        </w:rPr>
        <w:t xml:space="preserve"> </w:t>
      </w:r>
      <w:r w:rsidRPr="00163B9E" w:rsidR="005B4BF6">
        <w:rPr>
          <w:rFonts w:ascii="Arial" w:hAnsi="Arial" w:cs="Arial" w:eastAsiaTheme="minorHAnsi"/>
          <w:iCs/>
          <w:lang w:eastAsia="en-US"/>
        </w:rPr>
        <w:t>Hrvatske narodne banke koja je vrijedila zadnjeg dana polugodišta koje je prethodilo</w:t>
      </w:r>
      <w:r w:rsidRPr="00163B9E">
        <w:rPr>
          <w:rFonts w:ascii="Arial" w:hAnsi="Arial" w:cs="Arial" w:eastAsiaTheme="minorHAnsi"/>
          <w:iCs/>
          <w:lang w:eastAsia="en-US"/>
        </w:rPr>
        <w:t xml:space="preserve"> </w:t>
      </w:r>
      <w:r w:rsidRPr="00163B9E" w:rsidR="005B4BF6">
        <w:rPr>
          <w:rFonts w:ascii="Arial" w:hAnsi="Arial" w:cs="Arial" w:eastAsiaTheme="minorHAnsi"/>
          <w:iCs/>
          <w:lang w:eastAsia="en-US"/>
        </w:rPr>
        <w:t>tekućem polugodištu za 5% poena, od 01.08.2015. do 31.12.2022. po stopi koja se</w:t>
      </w:r>
      <w:r w:rsidRPr="00163B9E">
        <w:rPr>
          <w:rFonts w:ascii="Arial" w:hAnsi="Arial" w:cs="Arial" w:eastAsiaTheme="minorHAnsi"/>
          <w:iCs/>
          <w:lang w:eastAsia="en-US"/>
        </w:rPr>
        <w:t xml:space="preserve"> </w:t>
      </w:r>
      <w:r w:rsidRPr="00163B9E" w:rsidR="005B4BF6">
        <w:rPr>
          <w:rFonts w:ascii="Arial" w:hAnsi="Arial" w:cs="Arial" w:eastAsiaTheme="minorHAnsi"/>
          <w:iCs/>
          <w:lang w:eastAsia="en-US"/>
        </w:rPr>
        <w:t>određuje za svako polugodište uvećanjem prosječne kamatne stope na stanja kredita</w:t>
      </w:r>
      <w:r w:rsidRPr="00163B9E">
        <w:rPr>
          <w:rFonts w:ascii="Arial" w:hAnsi="Arial" w:cs="Arial" w:eastAsiaTheme="minorHAnsi"/>
          <w:iCs/>
          <w:lang w:eastAsia="en-US"/>
        </w:rPr>
        <w:t xml:space="preserve"> </w:t>
      </w:r>
      <w:r w:rsidRPr="00163B9E" w:rsidR="005B4BF6">
        <w:rPr>
          <w:rFonts w:ascii="Arial" w:hAnsi="Arial" w:cs="Arial" w:eastAsiaTheme="minorHAnsi"/>
          <w:iCs/>
          <w:lang w:eastAsia="en-US"/>
        </w:rPr>
        <w:t>odobrenih na razdoblje dulje od godine dana nefinancijskim trgovačkim društvima</w:t>
      </w:r>
      <w:r w:rsidRPr="00163B9E">
        <w:rPr>
          <w:rFonts w:ascii="Arial" w:hAnsi="Arial" w:cs="Arial" w:eastAsiaTheme="minorHAnsi"/>
          <w:iCs/>
          <w:lang w:eastAsia="en-US"/>
        </w:rPr>
        <w:t xml:space="preserve"> </w:t>
      </w:r>
      <w:r w:rsidRPr="00163B9E" w:rsidR="005B4BF6">
        <w:rPr>
          <w:rFonts w:ascii="Arial" w:hAnsi="Arial" w:cs="Arial" w:eastAsiaTheme="minorHAnsi"/>
          <w:iCs/>
          <w:lang w:eastAsia="en-US"/>
        </w:rPr>
        <w:t>izračunate za referentno razdoblje koje prethodi tekućem polugodištu za 3% poena, te od 01.01.2023. po stopi koja se određuje za svako polugodište, uvećanjem kamatne stope koju je Europska središnja banka primijenila na svoje posljednje glavne operacije refinanciranja koje je obavila prije prvog kalendarskog dana tekućeg polugodišta za 3% poena;</w:t>
      </w:r>
    </w:p>
    <w:p w:rsidR="00D10F1E" w:rsidP="00D10F1E" w:rsidRDefault="009B22BC">
      <w:pPr>
        <w:pStyle w:val="Bezproreda"/>
        <w:ind w:firstLine="708"/>
        <w:jc w:val="both"/>
        <w:rPr>
          <w:rFonts w:ascii="Arial" w:hAnsi="Arial" w:cs="Arial" w:eastAsiaTheme="minorHAnsi"/>
          <w:iCs/>
          <w:lang w:eastAsia="en-US"/>
        </w:rPr>
      </w:pPr>
      <w:r w:rsidRPr="005B4BF6">
        <w:rPr>
          <w:rFonts w:ascii="Arial" w:hAnsi="Arial" w:cs="Arial" w:eastAsiaTheme="minorHAnsi"/>
          <w:iCs/>
          <w:lang w:eastAsia="en-US"/>
        </w:rPr>
        <w:t>II</w:t>
      </w:r>
      <w:r w:rsidRPr="005B4BF6" w:rsidR="003149C9">
        <w:rPr>
          <w:rFonts w:ascii="Arial" w:hAnsi="Arial" w:cs="Arial" w:eastAsiaTheme="minorHAnsi"/>
          <w:iCs/>
          <w:lang w:eastAsia="en-US"/>
        </w:rPr>
        <w:t xml:space="preserve">. </w:t>
      </w:r>
      <w:r w:rsidR="00D10F1E">
        <w:rPr>
          <w:rFonts w:ascii="Arial" w:hAnsi="Arial" w:cs="Arial" w:eastAsiaTheme="minorHAnsi"/>
          <w:iCs/>
          <w:lang w:eastAsia="en-US"/>
        </w:rPr>
        <w:t>II. Odbija se prigovor tuženika compensatio per iudicem (prijeboja) a koji glasi:</w:t>
      </w:r>
    </w:p>
    <w:p w:rsidRPr="00DB430D" w:rsidR="00D10F1E" w:rsidP="00D10F1E" w:rsidRDefault="00D10F1E">
      <w:pPr>
        <w:autoSpaceDE w:val="false"/>
        <w:autoSpaceDN w:val="false"/>
        <w:adjustRightInd w:val="false"/>
        <w:ind w:firstLine="708"/>
        <w:jc w:val="both"/>
        <w:rPr>
          <w:rFonts w:ascii="Arial" w:hAnsi="Arial" w:cs="Arial" w:eastAsiaTheme="minorHAnsi"/>
          <w:color w:val="000000"/>
          <w:lang w:eastAsia="en-US"/>
        </w:rPr>
      </w:pPr>
      <w:r>
        <w:rPr>
          <w:rFonts w:ascii="Arial" w:hAnsi="Arial" w:cs="Arial" w:eastAsiaTheme="minorHAnsi"/>
          <w:bCs/>
          <w:color w:val="000000"/>
          <w:lang w:eastAsia="en-US"/>
        </w:rPr>
        <w:t>"</w:t>
      </w:r>
      <w:r w:rsidRPr="005F25F7">
        <w:rPr>
          <w:rFonts w:ascii="Arial" w:hAnsi="Arial" w:cs="Arial" w:eastAsiaTheme="minorHAnsi"/>
          <w:bCs/>
          <w:color w:val="000000"/>
          <w:lang w:eastAsia="en-US"/>
        </w:rPr>
        <w:t xml:space="preserve">Nalaže se tužitelju isplatiti tuženiku </w:t>
      </w:r>
      <w:r w:rsidRPr="00DB430D">
        <w:rPr>
          <w:rFonts w:ascii="Arial" w:hAnsi="Arial" w:cs="Arial" w:eastAsiaTheme="minorHAnsi"/>
          <w:bCs/>
          <w:color w:val="000000"/>
          <w:lang w:eastAsia="en-US"/>
        </w:rPr>
        <w:t>po osnovu potplaćenih anuiteta (tzv. negativnih razlika) za razdoblje kad je tečaj CHF u odnosu na HRK bio niži od onoga na dan ispl</w:t>
      </w:r>
      <w:r w:rsidRPr="005F25F7">
        <w:rPr>
          <w:rFonts w:ascii="Arial" w:hAnsi="Arial" w:cs="Arial" w:eastAsiaTheme="minorHAnsi"/>
          <w:bCs/>
          <w:color w:val="000000"/>
          <w:lang w:eastAsia="en-US"/>
        </w:rPr>
        <w:t xml:space="preserve">ate kredita u iznosu od </w:t>
      </w:r>
      <w:r>
        <w:rPr>
          <w:rFonts w:ascii="Arial" w:hAnsi="Arial" w:cs="Arial" w:eastAsiaTheme="minorHAnsi"/>
          <w:bCs/>
          <w:color w:val="000000"/>
          <w:lang w:eastAsia="en-US"/>
        </w:rPr>
        <w:t>94,20</w:t>
      </w:r>
      <w:r w:rsidRPr="005F25F7">
        <w:rPr>
          <w:rFonts w:ascii="Arial" w:hAnsi="Arial" w:cs="Arial" w:eastAsiaTheme="minorHAnsi"/>
          <w:bCs/>
          <w:color w:val="000000"/>
          <w:lang w:eastAsia="en-US"/>
        </w:rPr>
        <w:t xml:space="preserve"> €</w:t>
      </w:r>
      <w:r w:rsidRPr="00DB430D">
        <w:rPr>
          <w:rFonts w:ascii="Arial" w:hAnsi="Arial" w:cs="Arial" w:eastAsiaTheme="minorHAnsi"/>
          <w:bCs/>
          <w:color w:val="000000"/>
          <w:lang w:eastAsia="en-US"/>
        </w:rPr>
        <w:t xml:space="preserve"> </w:t>
      </w:r>
      <w:r w:rsidRPr="00DB430D">
        <w:rPr>
          <w:rFonts w:ascii="Arial" w:hAnsi="Arial" w:cs="Arial" w:eastAsiaTheme="minorHAnsi"/>
          <w:color w:val="000000"/>
          <w:lang w:eastAsia="en-US"/>
        </w:rPr>
        <w:t xml:space="preserve">sa zateznim kamatama obračunatim do 31.12.2007. po stopi od 15% godišnje, od 01.01.2008. do 31.07.2015. po stopi koja se određuje za svako polugodište uvećanjem eskontne stope Hrvatske narodne banke koja je vrijedila zadnjeg dana polugodišta, a koje je prethodilo tekućem polugodištu uvećano za pet postotnih poena, od 01.08.2015. do 31.12.2022. po stopi obračunatoj uvećanjem prosječne kamatne stope na stanja kredita odobrenih na razdoblje dulje od godine dana nefinancijskim trgovačkim društvima izračunate za referentno razdoblje koje prethodi tekućem polugodištu za tri postotna poena, od 01.01.2023. do 29.12.2023. po stopi koja se određuje za svako polugodište, uvećanjem kamatne stope koju je Europska središnja banka primijenila na svoje posljednje glavne operacije refinanciranja koje je obavila prije prvog kalendarskog dana tekućeg polugodišta za tri postotna poena, a od 30.12.2023. do isplate po stopi koja se određuje, za svako polugodište, uvećanjem referentne stope za tri postotna poena, pri čemu se za prvo polugodište primjenjuje referentna stopa koja je na snazi na dan 1. siječnja, a za drugo polugodište referentna stopa koja je na snazi na dan 1. srpnja te godine, koje zatezne kamate teku od dospijeća svakog pojedinog iznosa do isplate, kako slijedi: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12.02.2007. na iznos od 1,75 €;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12.03.2007. na iznos od 2,51 €;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10.04.2007. na iznos od 3,91 €;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10.05.2007. na iznos od 6,40 €;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11.06.2007. na iznos od 6,35 €;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10.07.2007. na iznos od 7,92 €;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10.08.2007. na iznos od 6,08 €;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10.09.2007. na iznos od 6,09 €;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10.10.2007. na iznos od 8,14 €;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w:t>
      </w:r>
      <w:r w:rsidR="00CF1C23">
        <w:rPr>
          <w:rFonts w:ascii="Arial" w:hAnsi="Arial" w:cs="Arial" w:eastAsiaTheme="minorHAnsi"/>
          <w:iCs/>
          <w:lang w:eastAsia="en-US"/>
        </w:rPr>
        <w:t>2</w:t>
      </w:r>
      <w:r>
        <w:rPr>
          <w:rFonts w:ascii="Arial" w:hAnsi="Arial" w:cs="Arial" w:eastAsiaTheme="minorHAnsi"/>
          <w:iCs/>
          <w:lang w:eastAsia="en-US"/>
        </w:rPr>
        <w:t>.1</w:t>
      </w:r>
      <w:r w:rsidR="00CF1C23">
        <w:rPr>
          <w:rFonts w:ascii="Arial" w:hAnsi="Arial" w:cs="Arial" w:eastAsiaTheme="minorHAnsi"/>
          <w:iCs/>
          <w:lang w:eastAsia="en-US"/>
        </w:rPr>
        <w:t>1</w:t>
      </w:r>
      <w:r>
        <w:rPr>
          <w:rFonts w:ascii="Arial" w:hAnsi="Arial" w:cs="Arial" w:eastAsiaTheme="minorHAnsi"/>
          <w:iCs/>
          <w:lang w:eastAsia="en-US"/>
        </w:rPr>
        <w:t>.200</w:t>
      </w:r>
      <w:r w:rsidR="00CF1C23">
        <w:rPr>
          <w:rFonts w:ascii="Arial" w:hAnsi="Arial" w:cs="Arial" w:eastAsiaTheme="minorHAnsi"/>
          <w:iCs/>
          <w:lang w:eastAsia="en-US"/>
        </w:rPr>
        <w:t>7</w:t>
      </w:r>
      <w:r>
        <w:rPr>
          <w:rFonts w:ascii="Arial" w:hAnsi="Arial" w:cs="Arial" w:eastAsiaTheme="minorHAnsi"/>
          <w:iCs/>
          <w:lang w:eastAsia="en-US"/>
        </w:rPr>
        <w:t xml:space="preserve">. na iznos od </w:t>
      </w:r>
      <w:r w:rsidR="00CF1C23">
        <w:rPr>
          <w:rFonts w:ascii="Arial" w:hAnsi="Arial" w:cs="Arial" w:eastAsiaTheme="minorHAnsi"/>
          <w:iCs/>
          <w:lang w:eastAsia="en-US"/>
        </w:rPr>
        <w:t>6,38</w:t>
      </w:r>
      <w:r>
        <w:rPr>
          <w:rFonts w:ascii="Arial" w:hAnsi="Arial" w:cs="Arial" w:eastAsiaTheme="minorHAnsi"/>
          <w:iCs/>
          <w:lang w:eastAsia="en-US"/>
        </w:rPr>
        <w:t xml:space="preserve">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10.1</w:t>
      </w:r>
      <w:r w:rsidR="00CF1C23">
        <w:rPr>
          <w:rFonts w:ascii="Arial" w:hAnsi="Arial" w:cs="Arial" w:eastAsiaTheme="minorHAnsi"/>
          <w:iCs/>
          <w:lang w:eastAsia="en-US"/>
        </w:rPr>
        <w:t>2</w:t>
      </w:r>
      <w:r>
        <w:rPr>
          <w:rFonts w:ascii="Arial" w:hAnsi="Arial" w:cs="Arial" w:eastAsiaTheme="minorHAnsi"/>
          <w:iCs/>
          <w:lang w:eastAsia="en-US"/>
        </w:rPr>
        <w:t>.200</w:t>
      </w:r>
      <w:r w:rsidR="00CF1C23">
        <w:rPr>
          <w:rFonts w:ascii="Arial" w:hAnsi="Arial" w:cs="Arial" w:eastAsiaTheme="minorHAnsi"/>
          <w:iCs/>
          <w:lang w:eastAsia="en-US"/>
        </w:rPr>
        <w:t>7</w:t>
      </w:r>
      <w:r>
        <w:rPr>
          <w:rFonts w:ascii="Arial" w:hAnsi="Arial" w:cs="Arial" w:eastAsiaTheme="minorHAnsi"/>
          <w:iCs/>
          <w:lang w:eastAsia="en-US"/>
        </w:rPr>
        <w:t xml:space="preserve">. na iznos od </w:t>
      </w:r>
      <w:r w:rsidR="00CF1C23">
        <w:rPr>
          <w:rFonts w:ascii="Arial" w:hAnsi="Arial" w:cs="Arial" w:eastAsiaTheme="minorHAnsi"/>
          <w:iCs/>
          <w:lang w:eastAsia="en-US"/>
        </w:rPr>
        <w:t>6,82</w:t>
      </w:r>
      <w:r>
        <w:rPr>
          <w:rFonts w:ascii="Arial" w:hAnsi="Arial" w:cs="Arial" w:eastAsiaTheme="minorHAnsi"/>
          <w:iCs/>
          <w:lang w:eastAsia="en-US"/>
        </w:rPr>
        <w:t xml:space="preserve">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w:t>
      </w:r>
      <w:r w:rsidR="00CF1C23">
        <w:rPr>
          <w:rFonts w:ascii="Arial" w:hAnsi="Arial" w:cs="Arial" w:eastAsiaTheme="minorHAnsi"/>
          <w:iCs/>
          <w:lang w:eastAsia="en-US"/>
        </w:rPr>
        <w:t>0</w:t>
      </w:r>
      <w:r>
        <w:rPr>
          <w:rFonts w:ascii="Arial" w:hAnsi="Arial" w:cs="Arial" w:eastAsiaTheme="minorHAnsi"/>
          <w:iCs/>
          <w:lang w:eastAsia="en-US"/>
        </w:rPr>
        <w:t>.</w:t>
      </w:r>
      <w:r w:rsidR="00CF1C23">
        <w:rPr>
          <w:rFonts w:ascii="Arial" w:hAnsi="Arial" w:cs="Arial" w:eastAsiaTheme="minorHAnsi"/>
          <w:iCs/>
          <w:lang w:eastAsia="en-US"/>
        </w:rPr>
        <w:t>0</w:t>
      </w:r>
      <w:r>
        <w:rPr>
          <w:rFonts w:ascii="Arial" w:hAnsi="Arial" w:cs="Arial" w:eastAsiaTheme="minorHAnsi"/>
          <w:iCs/>
          <w:lang w:eastAsia="en-US"/>
        </w:rPr>
        <w:t>1.200</w:t>
      </w:r>
      <w:r w:rsidR="00CF1C23">
        <w:rPr>
          <w:rFonts w:ascii="Arial" w:hAnsi="Arial" w:cs="Arial" w:eastAsiaTheme="minorHAnsi"/>
          <w:iCs/>
          <w:lang w:eastAsia="en-US"/>
        </w:rPr>
        <w:t>8</w:t>
      </w:r>
      <w:r>
        <w:rPr>
          <w:rFonts w:ascii="Arial" w:hAnsi="Arial" w:cs="Arial" w:eastAsiaTheme="minorHAnsi"/>
          <w:iCs/>
          <w:lang w:eastAsia="en-US"/>
        </w:rPr>
        <w:t xml:space="preserve">. na iznos od </w:t>
      </w:r>
      <w:r w:rsidR="00CF1C23">
        <w:rPr>
          <w:rFonts w:ascii="Arial" w:hAnsi="Arial" w:cs="Arial" w:eastAsiaTheme="minorHAnsi"/>
          <w:iCs/>
          <w:lang w:eastAsia="en-US"/>
        </w:rPr>
        <w:t>4,40</w:t>
      </w:r>
      <w:r>
        <w:rPr>
          <w:rFonts w:ascii="Arial" w:hAnsi="Arial" w:cs="Arial" w:eastAsiaTheme="minorHAnsi"/>
          <w:iCs/>
          <w:lang w:eastAsia="en-US"/>
        </w:rPr>
        <w:t xml:space="preserve"> €;</w:t>
      </w:r>
    </w:p>
    <w:p w:rsidR="00D10F1E" w:rsidP="00D10F1E" w:rsidRDefault="00CF1C23">
      <w:pPr>
        <w:pStyle w:val="Bezproreda"/>
        <w:rPr>
          <w:rFonts w:ascii="Arial" w:hAnsi="Arial" w:cs="Arial" w:eastAsiaTheme="minorHAnsi"/>
          <w:iCs/>
          <w:lang w:eastAsia="en-US"/>
        </w:rPr>
      </w:pPr>
      <w:r>
        <w:rPr>
          <w:rFonts w:ascii="Arial" w:hAnsi="Arial" w:cs="Arial" w:eastAsiaTheme="minorHAnsi"/>
          <w:iCs/>
          <w:lang w:eastAsia="en-US"/>
        </w:rPr>
        <w:t>-od 11</w:t>
      </w:r>
      <w:r w:rsidR="00D10F1E">
        <w:rPr>
          <w:rFonts w:ascii="Arial" w:hAnsi="Arial" w:cs="Arial" w:eastAsiaTheme="minorHAnsi"/>
          <w:iCs/>
          <w:lang w:eastAsia="en-US"/>
        </w:rPr>
        <w:t>.0</w:t>
      </w:r>
      <w:r>
        <w:rPr>
          <w:rFonts w:ascii="Arial" w:hAnsi="Arial" w:cs="Arial" w:eastAsiaTheme="minorHAnsi"/>
          <w:iCs/>
          <w:lang w:eastAsia="en-US"/>
        </w:rPr>
        <w:t>2</w:t>
      </w:r>
      <w:r w:rsidR="00D10F1E">
        <w:rPr>
          <w:rFonts w:ascii="Arial" w:hAnsi="Arial" w:cs="Arial" w:eastAsiaTheme="minorHAnsi"/>
          <w:iCs/>
          <w:lang w:eastAsia="en-US"/>
        </w:rPr>
        <w:t>.200</w:t>
      </w:r>
      <w:r>
        <w:rPr>
          <w:rFonts w:ascii="Arial" w:hAnsi="Arial" w:cs="Arial" w:eastAsiaTheme="minorHAnsi"/>
          <w:iCs/>
          <w:lang w:eastAsia="en-US"/>
        </w:rPr>
        <w:t>8. na iznos od 2,08</w:t>
      </w:r>
      <w:r w:rsidR="00D10F1E">
        <w:rPr>
          <w:rFonts w:ascii="Arial" w:hAnsi="Arial" w:cs="Arial" w:eastAsiaTheme="minorHAnsi"/>
          <w:iCs/>
          <w:lang w:eastAsia="en-US"/>
        </w:rPr>
        <w:t xml:space="preserve">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w:t>
      </w:r>
      <w:r w:rsidR="00CF1C23">
        <w:rPr>
          <w:rFonts w:ascii="Arial" w:hAnsi="Arial" w:cs="Arial" w:eastAsiaTheme="minorHAnsi"/>
          <w:iCs/>
          <w:lang w:eastAsia="en-US"/>
        </w:rPr>
        <w:t>0</w:t>
      </w:r>
      <w:r>
        <w:rPr>
          <w:rFonts w:ascii="Arial" w:hAnsi="Arial" w:cs="Arial" w:eastAsiaTheme="minorHAnsi"/>
          <w:iCs/>
          <w:lang w:eastAsia="en-US"/>
        </w:rPr>
        <w:t>.0</w:t>
      </w:r>
      <w:r w:rsidR="00CF1C23">
        <w:rPr>
          <w:rFonts w:ascii="Arial" w:hAnsi="Arial" w:cs="Arial" w:eastAsiaTheme="minorHAnsi"/>
          <w:iCs/>
          <w:lang w:eastAsia="en-US"/>
        </w:rPr>
        <w:t>4</w:t>
      </w:r>
      <w:r>
        <w:rPr>
          <w:rFonts w:ascii="Arial" w:hAnsi="Arial" w:cs="Arial" w:eastAsiaTheme="minorHAnsi"/>
          <w:iCs/>
          <w:lang w:eastAsia="en-US"/>
        </w:rPr>
        <w:t>.200</w:t>
      </w:r>
      <w:r w:rsidR="00CF1C23">
        <w:rPr>
          <w:rFonts w:ascii="Arial" w:hAnsi="Arial" w:cs="Arial" w:eastAsiaTheme="minorHAnsi"/>
          <w:iCs/>
          <w:lang w:eastAsia="en-US"/>
        </w:rPr>
        <w:t>8</w:t>
      </w:r>
      <w:r>
        <w:rPr>
          <w:rFonts w:ascii="Arial" w:hAnsi="Arial" w:cs="Arial" w:eastAsiaTheme="minorHAnsi"/>
          <w:iCs/>
          <w:lang w:eastAsia="en-US"/>
        </w:rPr>
        <w:t xml:space="preserve">. na iznos od </w:t>
      </w:r>
      <w:r w:rsidR="00CF1C23">
        <w:rPr>
          <w:rFonts w:ascii="Arial" w:hAnsi="Arial" w:cs="Arial" w:eastAsiaTheme="minorHAnsi"/>
          <w:iCs/>
          <w:lang w:eastAsia="en-US"/>
        </w:rPr>
        <w:t>1,49</w:t>
      </w:r>
      <w:r>
        <w:rPr>
          <w:rFonts w:ascii="Arial" w:hAnsi="Arial" w:cs="Arial" w:eastAsiaTheme="minorHAnsi"/>
          <w:iCs/>
          <w:lang w:eastAsia="en-US"/>
        </w:rPr>
        <w:t xml:space="preserve">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12.0</w:t>
      </w:r>
      <w:r w:rsidR="00CF1C23">
        <w:rPr>
          <w:rFonts w:ascii="Arial" w:hAnsi="Arial" w:cs="Arial" w:eastAsiaTheme="minorHAnsi"/>
          <w:iCs/>
          <w:lang w:eastAsia="en-US"/>
        </w:rPr>
        <w:t>5</w:t>
      </w:r>
      <w:r>
        <w:rPr>
          <w:rFonts w:ascii="Arial" w:hAnsi="Arial" w:cs="Arial" w:eastAsiaTheme="minorHAnsi"/>
          <w:iCs/>
          <w:lang w:eastAsia="en-US"/>
        </w:rPr>
        <w:t>.200</w:t>
      </w:r>
      <w:r w:rsidR="00CF1C23">
        <w:rPr>
          <w:rFonts w:ascii="Arial" w:hAnsi="Arial" w:cs="Arial" w:eastAsiaTheme="minorHAnsi"/>
          <w:iCs/>
          <w:lang w:eastAsia="en-US"/>
        </w:rPr>
        <w:t>8</w:t>
      </w:r>
      <w:r>
        <w:rPr>
          <w:rFonts w:ascii="Arial" w:hAnsi="Arial" w:cs="Arial" w:eastAsiaTheme="minorHAnsi"/>
          <w:iCs/>
          <w:lang w:eastAsia="en-US"/>
        </w:rPr>
        <w:t xml:space="preserve">. na iznos od </w:t>
      </w:r>
      <w:r w:rsidR="00CF1C23">
        <w:rPr>
          <w:rFonts w:ascii="Arial" w:hAnsi="Arial" w:cs="Arial" w:eastAsiaTheme="minorHAnsi"/>
          <w:iCs/>
          <w:lang w:eastAsia="en-US"/>
        </w:rPr>
        <w:t>3,16</w:t>
      </w:r>
      <w:r>
        <w:rPr>
          <w:rFonts w:ascii="Arial" w:hAnsi="Arial" w:cs="Arial" w:eastAsiaTheme="minorHAnsi"/>
          <w:iCs/>
          <w:lang w:eastAsia="en-US"/>
        </w:rPr>
        <w:t xml:space="preserve">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10.0</w:t>
      </w:r>
      <w:r w:rsidR="00CF1C23">
        <w:rPr>
          <w:rFonts w:ascii="Arial" w:hAnsi="Arial" w:cs="Arial" w:eastAsiaTheme="minorHAnsi"/>
          <w:iCs/>
          <w:lang w:eastAsia="en-US"/>
        </w:rPr>
        <w:t>6</w:t>
      </w:r>
      <w:r>
        <w:rPr>
          <w:rFonts w:ascii="Arial" w:hAnsi="Arial" w:cs="Arial" w:eastAsiaTheme="minorHAnsi"/>
          <w:iCs/>
          <w:lang w:eastAsia="en-US"/>
        </w:rPr>
        <w:t>.200</w:t>
      </w:r>
      <w:r w:rsidR="00CF1C23">
        <w:rPr>
          <w:rFonts w:ascii="Arial" w:hAnsi="Arial" w:cs="Arial" w:eastAsiaTheme="minorHAnsi"/>
          <w:iCs/>
          <w:lang w:eastAsia="en-US"/>
        </w:rPr>
        <w:t>8</w:t>
      </w:r>
      <w:r>
        <w:rPr>
          <w:rFonts w:ascii="Arial" w:hAnsi="Arial" w:cs="Arial" w:eastAsiaTheme="minorHAnsi"/>
          <w:iCs/>
          <w:lang w:eastAsia="en-US"/>
        </w:rPr>
        <w:t xml:space="preserve">. na iznos od </w:t>
      </w:r>
      <w:r w:rsidR="00CF1C23">
        <w:rPr>
          <w:rFonts w:ascii="Arial" w:hAnsi="Arial" w:cs="Arial" w:eastAsiaTheme="minorHAnsi"/>
          <w:iCs/>
          <w:lang w:eastAsia="en-US"/>
        </w:rPr>
        <w:t>3,55</w:t>
      </w:r>
      <w:r>
        <w:rPr>
          <w:rFonts w:ascii="Arial" w:hAnsi="Arial" w:cs="Arial" w:eastAsiaTheme="minorHAnsi"/>
          <w:iCs/>
          <w:lang w:eastAsia="en-US"/>
        </w:rPr>
        <w:t xml:space="preserve">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10.0</w:t>
      </w:r>
      <w:r w:rsidR="00CF1C23">
        <w:rPr>
          <w:rFonts w:ascii="Arial" w:hAnsi="Arial" w:cs="Arial" w:eastAsiaTheme="minorHAnsi"/>
          <w:iCs/>
          <w:lang w:eastAsia="en-US"/>
        </w:rPr>
        <w:t>7</w:t>
      </w:r>
      <w:r>
        <w:rPr>
          <w:rFonts w:ascii="Arial" w:hAnsi="Arial" w:cs="Arial" w:eastAsiaTheme="minorHAnsi"/>
          <w:iCs/>
          <w:lang w:eastAsia="en-US"/>
        </w:rPr>
        <w:t>.200</w:t>
      </w:r>
      <w:r w:rsidR="00CF1C23">
        <w:rPr>
          <w:rFonts w:ascii="Arial" w:hAnsi="Arial" w:cs="Arial" w:eastAsiaTheme="minorHAnsi"/>
          <w:iCs/>
          <w:lang w:eastAsia="en-US"/>
        </w:rPr>
        <w:t>8</w:t>
      </w:r>
      <w:r>
        <w:rPr>
          <w:rFonts w:ascii="Arial" w:hAnsi="Arial" w:cs="Arial" w:eastAsiaTheme="minorHAnsi"/>
          <w:iCs/>
          <w:lang w:eastAsia="en-US"/>
        </w:rPr>
        <w:t xml:space="preserve">. na iznos od </w:t>
      </w:r>
      <w:r w:rsidR="00CF1C23">
        <w:rPr>
          <w:rFonts w:ascii="Arial" w:hAnsi="Arial" w:cs="Arial" w:eastAsiaTheme="minorHAnsi"/>
          <w:iCs/>
          <w:lang w:eastAsia="en-US"/>
        </w:rPr>
        <w:t>3,89</w:t>
      </w:r>
      <w:r>
        <w:rPr>
          <w:rFonts w:ascii="Arial" w:hAnsi="Arial" w:cs="Arial" w:eastAsiaTheme="minorHAnsi"/>
          <w:iCs/>
          <w:lang w:eastAsia="en-US"/>
        </w:rPr>
        <w:t xml:space="preserve"> €;</w:t>
      </w:r>
    </w:p>
    <w:p w:rsidR="00D10F1E" w:rsidP="00D10F1E" w:rsidRDefault="00D10F1E">
      <w:pPr>
        <w:pStyle w:val="Bezproreda"/>
        <w:rPr>
          <w:rFonts w:ascii="Arial" w:hAnsi="Arial" w:cs="Arial" w:eastAsiaTheme="minorHAnsi"/>
          <w:iCs/>
          <w:lang w:eastAsia="en-US"/>
        </w:rPr>
      </w:pPr>
      <w:r>
        <w:rPr>
          <w:rFonts w:ascii="Arial" w:hAnsi="Arial" w:cs="Arial" w:eastAsiaTheme="minorHAnsi"/>
          <w:iCs/>
          <w:lang w:eastAsia="en-US"/>
        </w:rPr>
        <w:t>-od 11.0</w:t>
      </w:r>
      <w:r w:rsidR="00CF1C23">
        <w:rPr>
          <w:rFonts w:ascii="Arial" w:hAnsi="Arial" w:cs="Arial" w:eastAsiaTheme="minorHAnsi"/>
          <w:iCs/>
          <w:lang w:eastAsia="en-US"/>
        </w:rPr>
        <w:t>8</w:t>
      </w:r>
      <w:r>
        <w:rPr>
          <w:rFonts w:ascii="Arial" w:hAnsi="Arial" w:cs="Arial" w:eastAsiaTheme="minorHAnsi"/>
          <w:iCs/>
          <w:lang w:eastAsia="en-US"/>
        </w:rPr>
        <w:t>.200</w:t>
      </w:r>
      <w:r w:rsidR="00CF1C23">
        <w:rPr>
          <w:rFonts w:ascii="Arial" w:hAnsi="Arial" w:cs="Arial" w:eastAsiaTheme="minorHAnsi"/>
          <w:iCs/>
          <w:lang w:eastAsia="en-US"/>
        </w:rPr>
        <w:t>8</w:t>
      </w:r>
      <w:r>
        <w:rPr>
          <w:rFonts w:ascii="Arial" w:hAnsi="Arial" w:cs="Arial" w:eastAsiaTheme="minorHAnsi"/>
          <w:iCs/>
          <w:lang w:eastAsia="en-US"/>
        </w:rPr>
        <w:t xml:space="preserve">. na iznos od </w:t>
      </w:r>
      <w:r w:rsidR="00CF1C23">
        <w:rPr>
          <w:rFonts w:ascii="Arial" w:hAnsi="Arial" w:cs="Arial" w:eastAsiaTheme="minorHAnsi"/>
          <w:iCs/>
          <w:lang w:eastAsia="en-US"/>
        </w:rPr>
        <w:t>4,98</w:t>
      </w:r>
      <w:r>
        <w:rPr>
          <w:rFonts w:ascii="Arial" w:hAnsi="Arial" w:cs="Arial" w:eastAsiaTheme="minorHAnsi"/>
          <w:iCs/>
          <w:lang w:eastAsia="en-US"/>
        </w:rPr>
        <w:t xml:space="preserve"> €;</w:t>
      </w:r>
    </w:p>
    <w:p w:rsidR="00D10F1E" w:rsidP="00D10F1E" w:rsidRDefault="00CF1C23">
      <w:pPr>
        <w:pStyle w:val="Bezproreda"/>
        <w:rPr>
          <w:rFonts w:ascii="Arial" w:hAnsi="Arial" w:cs="Arial" w:eastAsiaTheme="minorHAnsi"/>
          <w:iCs/>
          <w:lang w:eastAsia="en-US"/>
        </w:rPr>
      </w:pPr>
      <w:r>
        <w:rPr>
          <w:rFonts w:ascii="Arial" w:hAnsi="Arial" w:cs="Arial" w:eastAsiaTheme="minorHAnsi"/>
          <w:iCs/>
          <w:lang w:eastAsia="en-US"/>
        </w:rPr>
        <w:t>-od 10.09</w:t>
      </w:r>
      <w:r w:rsidR="00D10F1E">
        <w:rPr>
          <w:rFonts w:ascii="Arial" w:hAnsi="Arial" w:cs="Arial" w:eastAsiaTheme="minorHAnsi"/>
          <w:iCs/>
          <w:lang w:eastAsia="en-US"/>
        </w:rPr>
        <w:t>.200</w:t>
      </w:r>
      <w:r>
        <w:rPr>
          <w:rFonts w:ascii="Arial" w:hAnsi="Arial" w:cs="Arial" w:eastAsiaTheme="minorHAnsi"/>
          <w:iCs/>
          <w:lang w:eastAsia="en-US"/>
        </w:rPr>
        <w:t>8</w:t>
      </w:r>
      <w:r w:rsidR="00D10F1E">
        <w:rPr>
          <w:rFonts w:ascii="Arial" w:hAnsi="Arial" w:cs="Arial" w:eastAsiaTheme="minorHAnsi"/>
          <w:iCs/>
          <w:lang w:eastAsia="en-US"/>
        </w:rPr>
        <w:t xml:space="preserve">. na iznos od </w:t>
      </w:r>
      <w:r>
        <w:rPr>
          <w:rFonts w:ascii="Arial" w:hAnsi="Arial" w:cs="Arial" w:eastAsiaTheme="minorHAnsi"/>
          <w:iCs/>
          <w:lang w:eastAsia="en-US"/>
        </w:rPr>
        <w:t>6,42</w:t>
      </w:r>
      <w:r w:rsidR="00D10F1E">
        <w:rPr>
          <w:rFonts w:ascii="Arial" w:hAnsi="Arial" w:cs="Arial" w:eastAsiaTheme="minorHAnsi"/>
          <w:iCs/>
          <w:lang w:eastAsia="en-US"/>
        </w:rPr>
        <w:t xml:space="preserve"> €</w:t>
      </w:r>
      <w:r>
        <w:rPr>
          <w:rFonts w:ascii="Arial" w:hAnsi="Arial" w:cs="Arial" w:eastAsiaTheme="minorHAnsi"/>
          <w:iCs/>
          <w:lang w:eastAsia="en-US"/>
        </w:rPr>
        <w:t xml:space="preserve"> i</w:t>
      </w:r>
    </w:p>
    <w:p w:rsidR="00D10F1E" w:rsidP="00CF1C23" w:rsidRDefault="00D10F1E">
      <w:pPr>
        <w:pStyle w:val="Bezproreda"/>
        <w:rPr>
          <w:rFonts w:ascii="Arial" w:hAnsi="Arial" w:cs="Arial" w:eastAsiaTheme="minorHAnsi"/>
          <w:iCs/>
          <w:lang w:eastAsia="en-US"/>
        </w:rPr>
      </w:pPr>
      <w:r>
        <w:rPr>
          <w:rFonts w:ascii="Arial" w:hAnsi="Arial" w:cs="Arial" w:eastAsiaTheme="minorHAnsi"/>
          <w:iCs/>
          <w:lang w:eastAsia="en-US"/>
        </w:rPr>
        <w:lastRenderedPageBreak/>
        <w:t>-od 10.</w:t>
      </w:r>
      <w:r w:rsidR="00CF1C23">
        <w:rPr>
          <w:rFonts w:ascii="Arial" w:hAnsi="Arial" w:cs="Arial" w:eastAsiaTheme="minorHAnsi"/>
          <w:iCs/>
          <w:lang w:eastAsia="en-US"/>
        </w:rPr>
        <w:t>10</w:t>
      </w:r>
      <w:r>
        <w:rPr>
          <w:rFonts w:ascii="Arial" w:hAnsi="Arial" w:cs="Arial" w:eastAsiaTheme="minorHAnsi"/>
          <w:iCs/>
          <w:lang w:eastAsia="en-US"/>
        </w:rPr>
        <w:t>.200</w:t>
      </w:r>
      <w:r w:rsidR="00CF1C23">
        <w:rPr>
          <w:rFonts w:ascii="Arial" w:hAnsi="Arial" w:cs="Arial" w:eastAsiaTheme="minorHAnsi"/>
          <w:iCs/>
          <w:lang w:eastAsia="en-US"/>
        </w:rPr>
        <w:t>8</w:t>
      </w:r>
      <w:r>
        <w:rPr>
          <w:rFonts w:ascii="Arial" w:hAnsi="Arial" w:cs="Arial" w:eastAsiaTheme="minorHAnsi"/>
          <w:iCs/>
          <w:lang w:eastAsia="en-US"/>
        </w:rPr>
        <w:t xml:space="preserve">. na iznos od </w:t>
      </w:r>
      <w:r w:rsidR="00CF1C23">
        <w:rPr>
          <w:rFonts w:ascii="Arial" w:hAnsi="Arial" w:cs="Arial" w:eastAsiaTheme="minorHAnsi"/>
          <w:iCs/>
          <w:lang w:eastAsia="en-US"/>
        </w:rPr>
        <w:t>1,90</w:t>
      </w:r>
      <w:r>
        <w:rPr>
          <w:rFonts w:ascii="Arial" w:hAnsi="Arial" w:cs="Arial" w:eastAsiaTheme="minorHAnsi"/>
          <w:iCs/>
          <w:lang w:eastAsia="en-US"/>
        </w:rPr>
        <w:t xml:space="preserve"> €."</w:t>
      </w:r>
    </w:p>
    <w:p w:rsidRPr="005B4BF6" w:rsidR="00B0165D" w:rsidP="00505DE8" w:rsidRDefault="00D10F1E">
      <w:pPr>
        <w:ind w:firstLine="708"/>
        <w:jc w:val="both"/>
        <w:rPr>
          <w:rFonts w:ascii="Arial" w:hAnsi="Arial" w:cs="Arial" w:eastAsiaTheme="minorHAnsi"/>
          <w:iCs/>
          <w:lang w:eastAsia="en-US"/>
        </w:rPr>
      </w:pPr>
      <w:r>
        <w:rPr>
          <w:rFonts w:ascii="Arial" w:hAnsi="Arial" w:cs="Arial" w:eastAsiaTheme="minorHAnsi"/>
          <w:iCs/>
          <w:lang w:eastAsia="en-US"/>
        </w:rPr>
        <w:t xml:space="preserve">III. </w:t>
      </w:r>
      <w:r w:rsidRPr="005B4BF6" w:rsidR="00D8524A">
        <w:rPr>
          <w:rFonts w:ascii="Arial" w:hAnsi="Arial" w:cs="Arial" w:eastAsiaTheme="minorHAnsi"/>
          <w:iCs/>
          <w:lang w:eastAsia="en-US"/>
        </w:rPr>
        <w:t xml:space="preserve">Dužan je tuženik u roku od 15 dana i pod prijetnjom ovrhe isplatiti tužitelju parnični trošak </w:t>
      </w:r>
      <w:r w:rsidRPr="005B4BF6" w:rsidR="00093207">
        <w:rPr>
          <w:rFonts w:ascii="Arial" w:hAnsi="Arial" w:cs="Arial" w:eastAsiaTheme="minorHAnsi"/>
          <w:iCs/>
          <w:lang w:eastAsia="en-US"/>
        </w:rPr>
        <w:t xml:space="preserve">u iznosu od </w:t>
      </w:r>
      <w:r w:rsidR="00505DE8">
        <w:rPr>
          <w:rFonts w:ascii="Arial" w:hAnsi="Arial" w:cs="Arial" w:eastAsiaTheme="minorHAnsi"/>
          <w:iCs/>
          <w:lang w:eastAsia="en-US"/>
        </w:rPr>
        <w:t>1.707,00</w:t>
      </w:r>
      <w:r w:rsidRPr="005B4BF6" w:rsidR="00A36373">
        <w:rPr>
          <w:rFonts w:ascii="Arial" w:hAnsi="Arial" w:cs="Arial" w:eastAsiaTheme="minorHAnsi"/>
          <w:iCs/>
          <w:lang w:eastAsia="en-US"/>
        </w:rPr>
        <w:t xml:space="preserve"> € </w:t>
      </w:r>
      <w:r w:rsidRPr="005B4BF6" w:rsidR="00D8524A">
        <w:rPr>
          <w:rFonts w:ascii="Arial" w:hAnsi="Arial" w:cs="Arial" w:eastAsiaTheme="minorHAnsi"/>
          <w:iCs/>
          <w:lang w:eastAsia="en-US"/>
        </w:rPr>
        <w:t>sa kamatom koja teče od donošenja prvostupanjske presude do isplate koja se na navedeni iznos obračunava po stopi iz izmijenjene odredbe čl.29</w:t>
      </w:r>
      <w:r w:rsidRPr="005B4BF6" w:rsidR="00BE37AF">
        <w:rPr>
          <w:rFonts w:ascii="Arial" w:hAnsi="Arial" w:cs="Arial" w:eastAsiaTheme="minorHAnsi"/>
          <w:iCs/>
          <w:lang w:eastAsia="en-US"/>
        </w:rPr>
        <w:t xml:space="preserve"> </w:t>
      </w:r>
      <w:r w:rsidRPr="005B4BF6" w:rsidR="00D8524A">
        <w:rPr>
          <w:rFonts w:ascii="Arial" w:hAnsi="Arial" w:cs="Arial" w:eastAsiaTheme="minorHAnsi"/>
          <w:iCs/>
          <w:lang w:eastAsia="en-US"/>
        </w:rPr>
        <w:t>st.2</w:t>
      </w:r>
      <w:r w:rsidRPr="005B4BF6" w:rsidR="00BE37AF">
        <w:rPr>
          <w:rFonts w:ascii="Arial" w:hAnsi="Arial" w:cs="Arial" w:eastAsiaTheme="minorHAnsi"/>
          <w:iCs/>
          <w:lang w:eastAsia="en-US"/>
        </w:rPr>
        <w:t xml:space="preserve"> </w:t>
      </w:r>
      <w:r w:rsidRPr="005B4BF6" w:rsidR="00D8524A">
        <w:rPr>
          <w:rFonts w:ascii="Arial" w:hAnsi="Arial" w:cs="Arial" w:eastAsiaTheme="minorHAnsi"/>
          <w:iCs/>
          <w:lang w:eastAsia="en-US"/>
        </w:rPr>
        <w:t>ZOO-a (''NN'' 114/22), te Uredbe o izmjeni ZOO-a (''NN'' 156/22), i to po stopi</w:t>
      </w:r>
      <w:r w:rsidRPr="00505DE8" w:rsidR="00505DE8">
        <w:rPr>
          <w:rFonts w:ascii="Arial" w:hAnsi="Arial" w:cs="Arial"/>
        </w:rPr>
        <w:t xml:space="preserve"> </w:t>
      </w:r>
      <w:r w:rsidR="00505DE8">
        <w:rPr>
          <w:rFonts w:ascii="Arial" w:hAnsi="Arial" w:cs="Arial"/>
        </w:rPr>
        <w:t>određenoj za svako polugodište, uvećanjem referentne stope za tri postotna poena, pri čemu se za prvo polugodište primjenjuje referentna stopa koja je na snazi na dan 1. siječnja, a za drugo polugodište referentna stopa koja je na snazi na dan 1. srpnja te godine, koja referentna stopa je kamatna stopa koju je Europska središnja banka primijenila na svoje posljednje glavne operacije refinanciranja ili granična kamatna stopa proizašla iz natječajnih postupaka za varijabilnu stopu za posljednje glavne operacije refinanciranja Europske središnje banke.</w:t>
      </w:r>
    </w:p>
    <w:p w:rsidRPr="005B4BF6" w:rsidR="00D8524A" w:rsidP="005E0080" w:rsidRDefault="00D8524A">
      <w:pPr>
        <w:pStyle w:val="Bezproreda"/>
        <w:rPr>
          <w:rFonts w:ascii="Arial" w:hAnsi="Arial" w:cs="Arial"/>
        </w:rPr>
      </w:pPr>
    </w:p>
    <w:p w:rsidRPr="005B4BF6" w:rsidR="00824815" w:rsidP="00824815" w:rsidRDefault="007B5D70">
      <w:pPr>
        <w:pStyle w:val="Bezproreda"/>
        <w:jc w:val="center"/>
        <w:rPr>
          <w:rFonts w:ascii="Arial" w:hAnsi="Arial" w:cs="Arial"/>
        </w:rPr>
      </w:pPr>
      <w:r w:rsidRPr="005B4BF6">
        <w:rPr>
          <w:rFonts w:ascii="Arial" w:hAnsi="Arial" w:cs="Arial"/>
        </w:rPr>
        <w:t>Obrazloženje</w:t>
      </w:r>
    </w:p>
    <w:p w:rsidRPr="005B4BF6" w:rsidR="00824815" w:rsidP="00824815" w:rsidRDefault="00824815">
      <w:pPr>
        <w:pStyle w:val="Bezproreda"/>
        <w:jc w:val="center"/>
        <w:rPr>
          <w:rFonts w:ascii="Arial" w:hAnsi="Arial" w:cs="Arial"/>
        </w:rPr>
      </w:pPr>
    </w:p>
    <w:p w:rsidRPr="005B4BF6" w:rsidR="00016E14" w:rsidP="00892710" w:rsidRDefault="00CE4CAA">
      <w:pPr>
        <w:pStyle w:val="Bezproreda"/>
        <w:jc w:val="both"/>
        <w:rPr>
          <w:rFonts w:ascii="Arial" w:hAnsi="Arial" w:cs="Arial"/>
        </w:rPr>
      </w:pPr>
      <w:r w:rsidRPr="005B4BF6">
        <w:rPr>
          <w:rFonts w:ascii="Arial" w:hAnsi="Arial" w:cs="Arial"/>
        </w:rPr>
        <w:tab/>
        <w:t>1.</w:t>
      </w:r>
      <w:r w:rsidRPr="005B4BF6" w:rsidR="00870F00">
        <w:rPr>
          <w:rFonts w:ascii="Arial" w:hAnsi="Arial" w:cs="Arial"/>
        </w:rPr>
        <w:t xml:space="preserve"> </w:t>
      </w:r>
      <w:r w:rsidRPr="005B4BF6" w:rsidR="002561B5">
        <w:rPr>
          <w:rFonts w:ascii="Arial" w:hAnsi="Arial" w:cs="Arial"/>
        </w:rPr>
        <w:t>D</w:t>
      </w:r>
      <w:r w:rsidRPr="005B4BF6" w:rsidR="00016E14">
        <w:rPr>
          <w:rFonts w:ascii="Arial" w:hAnsi="Arial" w:cs="Arial"/>
        </w:rPr>
        <w:t xml:space="preserve">ana </w:t>
      </w:r>
      <w:r w:rsidR="00CF1C23">
        <w:rPr>
          <w:rFonts w:ascii="Arial" w:hAnsi="Arial" w:cs="Arial"/>
        </w:rPr>
        <w:t>27</w:t>
      </w:r>
      <w:r w:rsidRPr="005B4BF6" w:rsidR="00016E14">
        <w:rPr>
          <w:rFonts w:ascii="Arial" w:hAnsi="Arial" w:cs="Arial"/>
        </w:rPr>
        <w:t xml:space="preserve">. </w:t>
      </w:r>
      <w:r w:rsidR="00CF1C23">
        <w:rPr>
          <w:rFonts w:ascii="Arial" w:hAnsi="Arial" w:cs="Arial"/>
        </w:rPr>
        <w:t>ožujka</w:t>
      </w:r>
      <w:r w:rsidRPr="005B4BF6" w:rsidR="00016E14">
        <w:rPr>
          <w:rFonts w:ascii="Arial" w:hAnsi="Arial" w:cs="Arial"/>
        </w:rPr>
        <w:t xml:space="preserve"> 20</w:t>
      </w:r>
      <w:r w:rsidRPr="005B4BF6" w:rsidR="002561B5">
        <w:rPr>
          <w:rFonts w:ascii="Arial" w:hAnsi="Arial" w:cs="Arial"/>
        </w:rPr>
        <w:t>2</w:t>
      </w:r>
      <w:r w:rsidRPr="005B4BF6" w:rsidR="00870F00">
        <w:rPr>
          <w:rFonts w:ascii="Arial" w:hAnsi="Arial" w:cs="Arial"/>
        </w:rPr>
        <w:t>3</w:t>
      </w:r>
      <w:r w:rsidRPr="005B4BF6" w:rsidR="00016E14">
        <w:rPr>
          <w:rFonts w:ascii="Arial" w:hAnsi="Arial" w:cs="Arial"/>
        </w:rPr>
        <w:t xml:space="preserve">. </w:t>
      </w:r>
      <w:r w:rsidRPr="005B4BF6" w:rsidR="002561B5">
        <w:rPr>
          <w:rFonts w:ascii="Arial" w:hAnsi="Arial" w:cs="Arial"/>
        </w:rPr>
        <w:t xml:space="preserve">zaprimljena je </w:t>
      </w:r>
      <w:r w:rsidRPr="005B4BF6" w:rsidR="00016E14">
        <w:rPr>
          <w:rFonts w:ascii="Arial" w:hAnsi="Arial" w:cs="Arial"/>
        </w:rPr>
        <w:t>tužba tužitelj</w:t>
      </w:r>
      <w:r w:rsidRPr="005B4BF6" w:rsidR="002561B5">
        <w:rPr>
          <w:rFonts w:ascii="Arial" w:hAnsi="Arial" w:cs="Arial"/>
        </w:rPr>
        <w:t>a</w:t>
      </w:r>
      <w:r w:rsidRPr="005B4BF6" w:rsidR="00016E14">
        <w:rPr>
          <w:rFonts w:ascii="Arial" w:hAnsi="Arial" w:cs="Arial"/>
        </w:rPr>
        <w:t xml:space="preserve"> u kojoj je nave</w:t>
      </w:r>
      <w:r w:rsidRPr="005B4BF6" w:rsidR="002561B5">
        <w:rPr>
          <w:rFonts w:ascii="Arial" w:hAnsi="Arial" w:cs="Arial"/>
        </w:rPr>
        <w:t>deno da je s tuženikom sklopio</w:t>
      </w:r>
      <w:r w:rsidRPr="005B4BF6" w:rsidR="00892710">
        <w:rPr>
          <w:rFonts w:ascii="Arial" w:hAnsi="Arial" w:cs="Arial"/>
        </w:rPr>
        <w:t xml:space="preserve"> Ugovor o kreditu broj </w:t>
      </w:r>
      <w:r w:rsidR="00CF1C23">
        <w:rPr>
          <w:rFonts w:ascii="Arial" w:hAnsi="Arial" w:cs="Arial"/>
        </w:rPr>
        <w:t>43219/06</w:t>
      </w:r>
      <w:r w:rsidRPr="005B4BF6" w:rsidR="00016E14">
        <w:rPr>
          <w:rFonts w:ascii="Arial" w:hAnsi="Arial" w:cs="Arial"/>
        </w:rPr>
        <w:t xml:space="preserve"> (nadalje: Ugovor), a temeljem kojeg </w:t>
      </w:r>
      <w:r w:rsidRPr="005B4BF6" w:rsidR="002561B5">
        <w:rPr>
          <w:rFonts w:ascii="Arial" w:hAnsi="Arial" w:cs="Arial"/>
        </w:rPr>
        <w:t>mu</w:t>
      </w:r>
      <w:r w:rsidRPr="005B4BF6" w:rsidR="00016E14">
        <w:rPr>
          <w:rFonts w:ascii="Arial" w:hAnsi="Arial" w:cs="Arial"/>
        </w:rPr>
        <w:t xml:space="preserve"> je tuženik na raspolaganje stavio kredit u iznosu od </w:t>
      </w:r>
      <w:r w:rsidR="00CF1C23">
        <w:rPr>
          <w:rFonts w:ascii="Arial" w:hAnsi="Arial" w:cs="Arial"/>
        </w:rPr>
        <w:t>18.780,00</w:t>
      </w:r>
      <w:r w:rsidRPr="005B4BF6" w:rsidR="00016E14">
        <w:rPr>
          <w:rFonts w:ascii="Arial" w:hAnsi="Arial" w:cs="Arial"/>
        </w:rPr>
        <w:t xml:space="preserve"> CHF i koji je isplaćen u protuvrijednosti kuna, prema srednjem tečaju tuženika, važećem na dan korištenja kredita. U unaprijed standardiziranom Ugovoru tuženik je ugovorio valutnu klauzulu</w:t>
      </w:r>
      <w:r w:rsidRPr="005B4BF6" w:rsidR="00870F00">
        <w:rPr>
          <w:rFonts w:ascii="Arial" w:hAnsi="Arial" w:cs="Arial"/>
        </w:rPr>
        <w:t xml:space="preserve"> te je</w:t>
      </w:r>
      <w:r w:rsidRPr="005B4BF6" w:rsidR="00016E14">
        <w:rPr>
          <w:rFonts w:ascii="Arial" w:hAnsi="Arial" w:cs="Arial"/>
        </w:rPr>
        <w:t xml:space="preserve"> otplatu kredita vezao uz ovu valutu. Postupajući na taj način tuženik je ugovorio nepošten</w:t>
      </w:r>
      <w:r w:rsidRPr="005B4BF6" w:rsidR="002561B5">
        <w:rPr>
          <w:rFonts w:ascii="Arial" w:hAnsi="Arial" w:cs="Arial"/>
        </w:rPr>
        <w:t>u</w:t>
      </w:r>
      <w:r w:rsidRPr="005B4BF6" w:rsidR="00016E14">
        <w:rPr>
          <w:rFonts w:ascii="Arial" w:hAnsi="Arial" w:cs="Arial"/>
        </w:rPr>
        <w:t xml:space="preserve"> i ništetn</w:t>
      </w:r>
      <w:r w:rsidRPr="005B4BF6" w:rsidR="002561B5">
        <w:rPr>
          <w:rFonts w:ascii="Arial" w:hAnsi="Arial" w:cs="Arial"/>
        </w:rPr>
        <w:t>u</w:t>
      </w:r>
      <w:r w:rsidRPr="005B4BF6" w:rsidR="00016E14">
        <w:rPr>
          <w:rFonts w:ascii="Arial" w:hAnsi="Arial" w:cs="Arial"/>
        </w:rPr>
        <w:t xml:space="preserve"> odredbe što za posljedicu ima neravnotežu u pravima i obvezama ugovornih strana. Obzirom na navedeno te odluku Trgovačkog suda u Zagrebu P-1401/12 koja je pravomoćna, utvrđeno je da je između ostalog i tuženik i to kao sedmotuženik, povrijedio kolektivne interese i prava potrošač</w:t>
      </w:r>
      <w:r w:rsidRPr="005B4BF6" w:rsidR="002561B5">
        <w:rPr>
          <w:rFonts w:ascii="Arial" w:hAnsi="Arial" w:cs="Arial"/>
        </w:rPr>
        <w:t>a korisnika kredita. Tužitelj je predložio</w:t>
      </w:r>
      <w:r w:rsidRPr="005B4BF6" w:rsidR="00016E14">
        <w:rPr>
          <w:rFonts w:ascii="Arial" w:hAnsi="Arial" w:cs="Arial"/>
        </w:rPr>
        <w:t xml:space="preserve"> da sud provede raspravu, utvrdi odlučne činjenice i nakon toga donese presudu kojom će nalož</w:t>
      </w:r>
      <w:r w:rsidRPr="005B4BF6" w:rsidR="002561B5">
        <w:rPr>
          <w:rFonts w:ascii="Arial" w:hAnsi="Arial" w:cs="Arial"/>
        </w:rPr>
        <w:t>iti da tuženik tužitelju</w:t>
      </w:r>
      <w:r w:rsidRPr="005B4BF6" w:rsidR="00016E14">
        <w:rPr>
          <w:rFonts w:ascii="Arial" w:hAnsi="Arial" w:cs="Arial"/>
        </w:rPr>
        <w:t xml:space="preserve"> isplati ono što je stekao temeljem tako ništetn</w:t>
      </w:r>
      <w:r w:rsidRPr="005B4BF6" w:rsidR="002561B5">
        <w:rPr>
          <w:rFonts w:ascii="Arial" w:hAnsi="Arial" w:cs="Arial"/>
        </w:rPr>
        <w:t>e</w:t>
      </w:r>
      <w:r w:rsidRPr="005B4BF6" w:rsidR="00016E14">
        <w:rPr>
          <w:rFonts w:ascii="Arial" w:hAnsi="Arial" w:cs="Arial"/>
        </w:rPr>
        <w:t>, a nadasve nepošten</w:t>
      </w:r>
      <w:r w:rsidRPr="005B4BF6" w:rsidR="002561B5">
        <w:rPr>
          <w:rFonts w:ascii="Arial" w:hAnsi="Arial" w:cs="Arial"/>
        </w:rPr>
        <w:t>e</w:t>
      </w:r>
      <w:r w:rsidRPr="005B4BF6" w:rsidR="00016E14">
        <w:rPr>
          <w:rFonts w:ascii="Arial" w:hAnsi="Arial" w:cs="Arial"/>
        </w:rPr>
        <w:t xml:space="preserve"> odredb</w:t>
      </w:r>
      <w:r w:rsidRPr="005B4BF6" w:rsidR="002561B5">
        <w:rPr>
          <w:rFonts w:ascii="Arial" w:hAnsi="Arial" w:cs="Arial"/>
        </w:rPr>
        <w:t>e</w:t>
      </w:r>
      <w:r w:rsidRPr="005B4BF6" w:rsidR="00016E14">
        <w:rPr>
          <w:rFonts w:ascii="Arial" w:hAnsi="Arial" w:cs="Arial"/>
        </w:rPr>
        <w:t xml:space="preserve"> </w:t>
      </w:r>
      <w:r w:rsidRPr="005B4BF6" w:rsidR="002561B5">
        <w:rPr>
          <w:rFonts w:ascii="Arial" w:hAnsi="Arial" w:cs="Arial"/>
        </w:rPr>
        <w:t>U</w:t>
      </w:r>
      <w:r w:rsidRPr="005B4BF6" w:rsidR="00016E14">
        <w:rPr>
          <w:rFonts w:ascii="Arial" w:hAnsi="Arial" w:cs="Arial"/>
        </w:rPr>
        <w:t>govora</w:t>
      </w:r>
      <w:r w:rsidRPr="005B4BF6" w:rsidR="002561B5">
        <w:rPr>
          <w:rFonts w:ascii="Arial" w:hAnsi="Arial" w:cs="Arial"/>
        </w:rPr>
        <w:t>. Tužitelj</w:t>
      </w:r>
      <w:r w:rsidRPr="005B4BF6" w:rsidR="00016E14">
        <w:rPr>
          <w:rFonts w:ascii="Arial" w:hAnsi="Arial" w:cs="Arial"/>
        </w:rPr>
        <w:t xml:space="preserve"> je zatraži</w:t>
      </w:r>
      <w:r w:rsidRPr="005B4BF6" w:rsidR="002561B5">
        <w:rPr>
          <w:rFonts w:ascii="Arial" w:hAnsi="Arial" w:cs="Arial"/>
        </w:rPr>
        <w:t>o</w:t>
      </w:r>
      <w:r w:rsidRPr="005B4BF6" w:rsidR="00016E14">
        <w:rPr>
          <w:rFonts w:ascii="Arial" w:hAnsi="Arial" w:cs="Arial"/>
        </w:rPr>
        <w:t xml:space="preserve"> da </w:t>
      </w:r>
      <w:r w:rsidRPr="005B4BF6" w:rsidR="002561B5">
        <w:rPr>
          <w:rFonts w:ascii="Arial" w:hAnsi="Arial" w:cs="Arial"/>
        </w:rPr>
        <w:t>mu</w:t>
      </w:r>
      <w:r w:rsidRPr="005B4BF6" w:rsidR="00016E14">
        <w:rPr>
          <w:rFonts w:ascii="Arial" w:hAnsi="Arial" w:cs="Arial"/>
        </w:rPr>
        <w:t xml:space="preserve"> se naknadi i trošak postupka.</w:t>
      </w:r>
      <w:r w:rsidRPr="005B4BF6" w:rsidR="00870F00">
        <w:rPr>
          <w:rFonts w:ascii="Arial" w:hAnsi="Arial" w:cs="Arial"/>
        </w:rPr>
        <w:t xml:space="preserve"> </w:t>
      </w:r>
    </w:p>
    <w:p w:rsidR="001E0935" w:rsidP="003F27D5" w:rsidRDefault="002561B5">
      <w:pPr>
        <w:pStyle w:val="Default"/>
        <w:ind w:firstLine="708"/>
        <w:jc w:val="both"/>
        <w:rPr>
          <w:rFonts w:ascii="Arial" w:hAnsi="Arial" w:cs="Arial"/>
          <w:color w:val="auto"/>
        </w:rPr>
      </w:pPr>
      <w:r w:rsidRPr="005B4BF6">
        <w:rPr>
          <w:rFonts w:ascii="Arial" w:hAnsi="Arial" w:cs="Arial"/>
          <w:color w:val="auto"/>
        </w:rPr>
        <w:t>2</w:t>
      </w:r>
      <w:r w:rsidRPr="005B4BF6" w:rsidR="00C04CBE">
        <w:rPr>
          <w:rFonts w:ascii="Arial" w:hAnsi="Arial" w:cs="Arial"/>
          <w:color w:val="auto"/>
        </w:rPr>
        <w:t xml:space="preserve">. </w:t>
      </w:r>
      <w:r w:rsidRPr="005B4BF6" w:rsidR="003F27D5">
        <w:rPr>
          <w:rFonts w:ascii="Arial" w:hAnsi="Arial" w:cs="Arial"/>
          <w:color w:val="auto"/>
        </w:rPr>
        <w:t xml:space="preserve">Dana </w:t>
      </w:r>
      <w:r w:rsidR="00CF1C23">
        <w:rPr>
          <w:rFonts w:ascii="Arial" w:hAnsi="Arial" w:cs="Arial"/>
          <w:color w:val="auto"/>
        </w:rPr>
        <w:t>29.</w:t>
      </w:r>
      <w:r w:rsidRPr="005B4BF6" w:rsidR="003F27D5">
        <w:rPr>
          <w:rFonts w:ascii="Arial" w:hAnsi="Arial" w:cs="Arial"/>
          <w:color w:val="auto"/>
        </w:rPr>
        <w:t xml:space="preserve"> </w:t>
      </w:r>
      <w:r w:rsidRPr="005B4BF6" w:rsidR="00870F00">
        <w:rPr>
          <w:rFonts w:ascii="Arial" w:hAnsi="Arial" w:cs="Arial"/>
          <w:color w:val="auto"/>
        </w:rPr>
        <w:t>travnja</w:t>
      </w:r>
      <w:r w:rsidRPr="005B4BF6" w:rsidR="003F27D5">
        <w:rPr>
          <w:rFonts w:ascii="Arial" w:hAnsi="Arial" w:cs="Arial"/>
          <w:color w:val="auto"/>
        </w:rPr>
        <w:t xml:space="preserve"> 202</w:t>
      </w:r>
      <w:r w:rsidRPr="005B4BF6" w:rsidR="00870F00">
        <w:rPr>
          <w:rFonts w:ascii="Arial" w:hAnsi="Arial" w:cs="Arial"/>
          <w:color w:val="auto"/>
        </w:rPr>
        <w:t>5</w:t>
      </w:r>
      <w:r w:rsidRPr="005B4BF6" w:rsidR="003F27D5">
        <w:rPr>
          <w:rFonts w:ascii="Arial" w:hAnsi="Arial" w:cs="Arial"/>
          <w:color w:val="auto"/>
        </w:rPr>
        <w:t>. tužen</w:t>
      </w:r>
      <w:r w:rsidRPr="005B4BF6" w:rsidR="00E024AF">
        <w:rPr>
          <w:rFonts w:ascii="Arial" w:hAnsi="Arial" w:cs="Arial"/>
          <w:color w:val="auto"/>
        </w:rPr>
        <w:t>ik</w:t>
      </w:r>
      <w:r w:rsidRPr="005B4BF6" w:rsidR="003F27D5">
        <w:rPr>
          <w:rFonts w:ascii="Arial" w:hAnsi="Arial" w:cs="Arial"/>
          <w:color w:val="auto"/>
        </w:rPr>
        <w:t xml:space="preserve"> podnosi odgovor na tužbu u kojem navodi da se protivi </w:t>
      </w:r>
      <w:r w:rsidRPr="005B4BF6" w:rsidR="006C5417">
        <w:rPr>
          <w:rFonts w:ascii="Arial" w:hAnsi="Arial" w:cs="Arial"/>
          <w:color w:val="auto"/>
        </w:rPr>
        <w:t xml:space="preserve">tužbi i tužbenom zahtjevu u cijelosti. </w:t>
      </w:r>
      <w:r w:rsidRPr="005B4BF6" w:rsidR="003403D6">
        <w:rPr>
          <w:rFonts w:ascii="Arial" w:hAnsi="Arial" w:cs="Arial"/>
          <w:color w:val="auto"/>
        </w:rPr>
        <w:t>Istaka</w:t>
      </w:r>
      <w:r w:rsidRPr="005B4BF6" w:rsidR="00E024AF">
        <w:rPr>
          <w:rFonts w:ascii="Arial" w:hAnsi="Arial" w:cs="Arial"/>
          <w:color w:val="auto"/>
        </w:rPr>
        <w:t>o</w:t>
      </w:r>
      <w:r w:rsidRPr="005B4BF6" w:rsidR="003403D6">
        <w:rPr>
          <w:rFonts w:ascii="Arial" w:hAnsi="Arial" w:cs="Arial"/>
          <w:color w:val="auto"/>
        </w:rPr>
        <w:t xml:space="preserve"> je prigovor </w:t>
      </w:r>
      <w:r w:rsidRPr="005B4BF6" w:rsidR="00E024AF">
        <w:rPr>
          <w:rFonts w:ascii="Arial" w:hAnsi="Arial" w:cs="Arial"/>
          <w:color w:val="auto"/>
        </w:rPr>
        <w:t>nedostatk</w:t>
      </w:r>
      <w:r w:rsidRPr="005B4BF6" w:rsidR="005F25F7">
        <w:rPr>
          <w:rFonts w:ascii="Arial" w:hAnsi="Arial" w:cs="Arial"/>
          <w:color w:val="auto"/>
        </w:rPr>
        <w:t>a</w:t>
      </w:r>
      <w:r w:rsidRPr="005B4BF6" w:rsidR="00E024AF">
        <w:rPr>
          <w:rFonts w:ascii="Arial" w:hAnsi="Arial" w:cs="Arial"/>
          <w:color w:val="auto"/>
        </w:rPr>
        <w:t xml:space="preserve"> tužiteljevog</w:t>
      </w:r>
      <w:r w:rsidRPr="005B4BF6" w:rsidR="003403D6">
        <w:rPr>
          <w:rFonts w:ascii="Arial" w:hAnsi="Arial" w:cs="Arial"/>
          <w:color w:val="auto"/>
        </w:rPr>
        <w:t xml:space="preserve"> pravnog in</w:t>
      </w:r>
      <w:r w:rsidRPr="005B4BF6" w:rsidR="00E024AF">
        <w:rPr>
          <w:rFonts w:ascii="Arial" w:hAnsi="Arial" w:cs="Arial"/>
          <w:color w:val="auto"/>
        </w:rPr>
        <w:t>teresa za podnošenje ove tužbe</w:t>
      </w:r>
      <w:r w:rsidRPr="005B4BF6" w:rsidR="00A36373">
        <w:rPr>
          <w:rFonts w:ascii="Arial" w:hAnsi="Arial" w:cs="Arial"/>
          <w:color w:val="auto"/>
        </w:rPr>
        <w:t xml:space="preserve"> jer je kredit otplaćen. U preostalom dijelu tuženik je ustvrdio da je ugovorena valutna klauzula pravno valjana te da se sa tužiteljem pregovaralo o toj ugovornoj odredbi, a tuženik tužitelju nije zatajio niti jednu informaciju koju je imao ili za koju je znao, a koja je ev. mogla utjecati na odluku tužitelja o sklapanju ugovora o kreditu s valutnom klauzulom u CHF-u. 200</w:t>
      </w:r>
      <w:r w:rsidR="00CF1C23">
        <w:rPr>
          <w:rFonts w:ascii="Arial" w:hAnsi="Arial" w:cs="Arial"/>
          <w:color w:val="auto"/>
        </w:rPr>
        <w:t>6</w:t>
      </w:r>
      <w:r w:rsidRPr="005B4BF6" w:rsidR="00A36373">
        <w:rPr>
          <w:rFonts w:ascii="Arial" w:hAnsi="Arial" w:cs="Arial"/>
          <w:color w:val="auto"/>
        </w:rPr>
        <w:t xml:space="preserve">. godine tuženik je imao razne ponude kredita, pa i kredite u kunama, no tužitelj je želio sklopiti baš ugovor u CHF-u. Sve odredbe Ugovora su jasne, lako uočljive i razumljive, a odredba o valutnoj klauzuli nije protivna načelu savjesnosti i poštenja. Odredba o valutnoj klauzuli nije prouzročila znatniju neravnotežu u pravima i obvezama na štetu potrošača odnosno tužitelja. Slijedom navedenog, tuženik je predložio da sud odbije tužbu i tužbeni zahtjev i osudi tužitelja na snašanje parničnog troška. </w:t>
      </w:r>
      <w:r w:rsidRPr="005B4BF6" w:rsidR="005F25F7">
        <w:rPr>
          <w:rFonts w:ascii="Arial" w:hAnsi="Arial" w:cs="Arial"/>
          <w:color w:val="auto"/>
        </w:rPr>
        <w:t xml:space="preserve">U podnesku od </w:t>
      </w:r>
      <w:r w:rsidRPr="005B4BF6" w:rsidR="00870F00">
        <w:rPr>
          <w:rFonts w:ascii="Arial" w:hAnsi="Arial" w:cs="Arial"/>
          <w:color w:val="auto"/>
        </w:rPr>
        <w:t>1</w:t>
      </w:r>
      <w:r w:rsidR="00CF1C23">
        <w:rPr>
          <w:rFonts w:ascii="Arial" w:hAnsi="Arial" w:cs="Arial"/>
          <w:color w:val="auto"/>
        </w:rPr>
        <w:t>8</w:t>
      </w:r>
      <w:r w:rsidRPr="005B4BF6" w:rsidR="005F25F7">
        <w:rPr>
          <w:rFonts w:ascii="Arial" w:hAnsi="Arial" w:cs="Arial"/>
          <w:color w:val="auto"/>
        </w:rPr>
        <w:t>. s</w:t>
      </w:r>
      <w:r w:rsidR="00CF1C23">
        <w:rPr>
          <w:rFonts w:ascii="Arial" w:hAnsi="Arial" w:cs="Arial"/>
          <w:color w:val="auto"/>
        </w:rPr>
        <w:t>rp</w:t>
      </w:r>
      <w:r w:rsidRPr="005B4BF6" w:rsidR="005F25F7">
        <w:rPr>
          <w:rFonts w:ascii="Arial" w:hAnsi="Arial" w:cs="Arial"/>
          <w:color w:val="auto"/>
        </w:rPr>
        <w:t>nja 2025. tuženik je istakao i prigovor</w:t>
      </w:r>
      <w:r w:rsidR="005F25F7">
        <w:rPr>
          <w:rFonts w:ascii="Arial" w:hAnsi="Arial" w:cs="Arial"/>
          <w:color w:val="auto"/>
        </w:rPr>
        <w:t xml:space="preserve"> prijeboja.</w:t>
      </w:r>
    </w:p>
    <w:p w:rsidR="00870F00" w:rsidP="003F27D5" w:rsidRDefault="00870F00">
      <w:pPr>
        <w:pStyle w:val="Default"/>
        <w:ind w:firstLine="708"/>
        <w:jc w:val="both"/>
        <w:rPr>
          <w:rFonts w:ascii="Arial" w:hAnsi="Arial" w:cs="Arial"/>
          <w:color w:val="auto"/>
        </w:rPr>
      </w:pPr>
      <w:r>
        <w:rPr>
          <w:rFonts w:ascii="Arial" w:hAnsi="Arial" w:cs="Arial"/>
          <w:color w:val="auto"/>
        </w:rPr>
        <w:t xml:space="preserve">3. Tužitelj je na ročištu od </w:t>
      </w:r>
      <w:r w:rsidR="00A46116">
        <w:rPr>
          <w:rFonts w:ascii="Arial" w:hAnsi="Arial" w:cs="Arial"/>
          <w:color w:val="auto"/>
        </w:rPr>
        <w:t>03</w:t>
      </w:r>
      <w:r>
        <w:rPr>
          <w:rFonts w:ascii="Arial" w:hAnsi="Arial" w:cs="Arial"/>
          <w:color w:val="auto"/>
        </w:rPr>
        <w:t xml:space="preserve">. </w:t>
      </w:r>
      <w:r w:rsidR="00A46116">
        <w:rPr>
          <w:rFonts w:ascii="Arial" w:hAnsi="Arial" w:cs="Arial"/>
          <w:color w:val="auto"/>
        </w:rPr>
        <w:t>ožujka</w:t>
      </w:r>
      <w:r>
        <w:rPr>
          <w:rFonts w:ascii="Arial" w:hAnsi="Arial" w:cs="Arial"/>
          <w:color w:val="auto"/>
        </w:rPr>
        <w:t xml:space="preserve"> 2026. prigovorio zastari na istaknuto potraživanje tuženika sa naslova tzv. negativnih razlika. </w:t>
      </w:r>
    </w:p>
    <w:p w:rsidR="00FF75DC" w:rsidP="00742CB8" w:rsidRDefault="00870F00">
      <w:pPr>
        <w:pStyle w:val="Default"/>
        <w:ind w:firstLine="708"/>
        <w:jc w:val="both"/>
        <w:rPr>
          <w:rFonts w:ascii="Arial" w:hAnsi="Arial" w:cs="Arial"/>
          <w:color w:val="auto"/>
        </w:rPr>
      </w:pPr>
      <w:r>
        <w:rPr>
          <w:rFonts w:ascii="Arial" w:hAnsi="Arial" w:cs="Arial"/>
          <w:color w:val="auto"/>
        </w:rPr>
        <w:t>4</w:t>
      </w:r>
      <w:r w:rsidR="000C3BB9">
        <w:rPr>
          <w:rFonts w:ascii="Arial" w:hAnsi="Arial" w:cs="Arial"/>
          <w:color w:val="auto"/>
        </w:rPr>
        <w:t xml:space="preserve">. </w:t>
      </w:r>
      <w:r w:rsidRPr="00821040" w:rsidR="006C5417">
        <w:rPr>
          <w:rFonts w:ascii="Arial" w:hAnsi="Arial" w:cs="Arial"/>
          <w:color w:val="auto"/>
        </w:rPr>
        <w:t>U postu</w:t>
      </w:r>
      <w:r w:rsidR="00F842A8">
        <w:rPr>
          <w:rFonts w:ascii="Arial" w:hAnsi="Arial" w:cs="Arial"/>
          <w:color w:val="auto"/>
        </w:rPr>
        <w:t xml:space="preserve">pku su izvedeni dokazi pregledom: </w:t>
      </w:r>
      <w:r w:rsidR="00A46116">
        <w:rPr>
          <w:rFonts w:ascii="Arial" w:hAnsi="Arial" w:cs="Arial"/>
          <w:color w:val="auto"/>
        </w:rPr>
        <w:t xml:space="preserve">presude Općinskog suda u Splitu P-726/2019 i </w:t>
      </w:r>
      <w:r w:rsidR="00F842A8">
        <w:rPr>
          <w:rFonts w:ascii="Arial" w:hAnsi="Arial" w:cs="Arial"/>
          <w:color w:val="auto"/>
        </w:rPr>
        <w:t xml:space="preserve">Ugovora o kreditu broj </w:t>
      </w:r>
      <w:r w:rsidR="00A46116">
        <w:rPr>
          <w:rFonts w:ascii="Arial" w:hAnsi="Arial" w:cs="Arial"/>
        </w:rPr>
        <w:t>43219/06. Proveden je dokaz financijskim vještačenjem po vještaku Marijanu Joviću te je saslušan tužitelj</w:t>
      </w:r>
      <w:r w:rsidR="00FF75DC">
        <w:rPr>
          <w:rFonts w:ascii="Arial" w:hAnsi="Arial" w:cs="Arial"/>
          <w:color w:val="auto"/>
        </w:rPr>
        <w:t>.</w:t>
      </w:r>
      <w:r w:rsidR="00A32A60">
        <w:rPr>
          <w:rFonts w:ascii="Arial" w:hAnsi="Arial" w:cs="Arial"/>
          <w:color w:val="auto"/>
        </w:rPr>
        <w:t xml:space="preserve"> </w:t>
      </w:r>
    </w:p>
    <w:p w:rsidRPr="00821040" w:rsidR="006C5417" w:rsidP="00742CB8" w:rsidRDefault="00FF75DC">
      <w:pPr>
        <w:pStyle w:val="Default"/>
        <w:ind w:firstLine="708"/>
        <w:jc w:val="both"/>
        <w:rPr>
          <w:rFonts w:ascii="Arial" w:hAnsi="Arial" w:cs="Arial"/>
          <w:color w:val="auto"/>
        </w:rPr>
      </w:pPr>
      <w:r>
        <w:rPr>
          <w:rFonts w:ascii="Arial" w:hAnsi="Arial" w:cs="Arial"/>
          <w:color w:val="auto"/>
        </w:rPr>
        <w:t>5</w:t>
      </w:r>
      <w:r w:rsidR="00742CB8">
        <w:rPr>
          <w:rFonts w:ascii="Arial" w:hAnsi="Arial" w:cs="Arial"/>
          <w:color w:val="auto"/>
        </w:rPr>
        <w:t xml:space="preserve">. </w:t>
      </w:r>
      <w:r w:rsidRPr="00821040" w:rsidR="006C5417">
        <w:rPr>
          <w:rFonts w:ascii="Arial" w:hAnsi="Arial" w:cs="Arial"/>
          <w:color w:val="auto"/>
        </w:rPr>
        <w:t>Tužbeni zahtjev tužitelj</w:t>
      </w:r>
      <w:r w:rsidR="00E024AF">
        <w:rPr>
          <w:rFonts w:ascii="Arial" w:hAnsi="Arial" w:cs="Arial"/>
          <w:color w:val="auto"/>
        </w:rPr>
        <w:t>a</w:t>
      </w:r>
      <w:r w:rsidR="00742CB8">
        <w:rPr>
          <w:rFonts w:ascii="Arial" w:hAnsi="Arial" w:cs="Arial"/>
          <w:color w:val="auto"/>
        </w:rPr>
        <w:t xml:space="preserve"> </w:t>
      </w:r>
      <w:r w:rsidR="005F25F7">
        <w:rPr>
          <w:rFonts w:ascii="Arial" w:hAnsi="Arial" w:cs="Arial"/>
          <w:color w:val="auto"/>
        </w:rPr>
        <w:t>je osnovan, dok tuženikov prigovor prijeboja nije osnovan</w:t>
      </w:r>
    </w:p>
    <w:p w:rsidR="007D7F84" w:rsidP="00742CB8" w:rsidRDefault="00FF75DC">
      <w:pPr>
        <w:pStyle w:val="Default"/>
        <w:ind w:firstLine="708"/>
        <w:jc w:val="both"/>
        <w:rPr>
          <w:rFonts w:ascii="Arial" w:hAnsi="Arial" w:cs="Arial"/>
          <w:color w:val="auto"/>
        </w:rPr>
      </w:pPr>
      <w:r>
        <w:rPr>
          <w:rFonts w:ascii="Arial" w:hAnsi="Arial" w:cs="Arial"/>
          <w:color w:val="auto"/>
        </w:rPr>
        <w:lastRenderedPageBreak/>
        <w:t>6</w:t>
      </w:r>
      <w:r w:rsidR="00656B3D">
        <w:rPr>
          <w:rFonts w:ascii="Arial" w:hAnsi="Arial" w:cs="Arial"/>
          <w:color w:val="auto"/>
        </w:rPr>
        <w:t xml:space="preserve">. </w:t>
      </w:r>
      <w:r w:rsidR="007D7F84">
        <w:rPr>
          <w:rFonts w:ascii="Arial" w:hAnsi="Arial" w:cs="Arial"/>
          <w:color w:val="auto"/>
        </w:rPr>
        <w:t xml:space="preserve">Stranke su popisale parnični trošak. </w:t>
      </w:r>
    </w:p>
    <w:p w:rsidRPr="001F3A6B" w:rsidR="001F3A6B" w:rsidP="00FF75DC" w:rsidRDefault="00FF75DC">
      <w:pPr>
        <w:pStyle w:val="Default"/>
        <w:ind w:firstLine="708"/>
        <w:jc w:val="both"/>
        <w:rPr>
          <w:rFonts w:ascii="Arial" w:hAnsi="Arial" w:cs="Arial"/>
        </w:rPr>
      </w:pPr>
      <w:r>
        <w:rPr>
          <w:rFonts w:ascii="Arial" w:hAnsi="Arial" w:cs="Arial"/>
          <w:color w:val="auto"/>
        </w:rPr>
        <w:t>7</w:t>
      </w:r>
      <w:r w:rsidR="00A36373">
        <w:rPr>
          <w:rFonts w:ascii="Arial" w:hAnsi="Arial" w:cs="Arial"/>
          <w:color w:val="auto"/>
        </w:rPr>
        <w:t xml:space="preserve">. </w:t>
      </w:r>
      <w:r w:rsidR="007D7F84">
        <w:rPr>
          <w:rFonts w:ascii="Arial" w:hAnsi="Arial" w:cs="Arial"/>
          <w:color w:val="auto"/>
        </w:rPr>
        <w:t>P</w:t>
      </w:r>
      <w:r w:rsidRPr="00821040" w:rsidR="006C5417">
        <w:rPr>
          <w:rFonts w:ascii="Arial" w:hAnsi="Arial" w:cs="Arial"/>
          <w:color w:val="auto"/>
        </w:rPr>
        <w:t>redm</w:t>
      </w:r>
      <w:r w:rsidR="00656B3D">
        <w:rPr>
          <w:rFonts w:ascii="Arial" w:hAnsi="Arial" w:cs="Arial"/>
          <w:color w:val="auto"/>
        </w:rPr>
        <w:t>et</w:t>
      </w:r>
      <w:r w:rsidR="00E024AF">
        <w:rPr>
          <w:rFonts w:ascii="Arial" w:hAnsi="Arial" w:cs="Arial"/>
          <w:color w:val="auto"/>
        </w:rPr>
        <w:t xml:space="preserve"> postupka je zahtjev tužitelja</w:t>
      </w:r>
      <w:r w:rsidR="00656B3D">
        <w:rPr>
          <w:rFonts w:ascii="Arial" w:hAnsi="Arial" w:cs="Arial"/>
          <w:color w:val="auto"/>
        </w:rPr>
        <w:t xml:space="preserve"> prema tužen</w:t>
      </w:r>
      <w:r w:rsidR="00E024AF">
        <w:rPr>
          <w:rFonts w:ascii="Arial" w:hAnsi="Arial" w:cs="Arial"/>
          <w:color w:val="auto"/>
        </w:rPr>
        <w:t>iku</w:t>
      </w:r>
      <w:r w:rsidR="00656B3D">
        <w:rPr>
          <w:rFonts w:ascii="Arial" w:hAnsi="Arial" w:cs="Arial"/>
          <w:color w:val="auto"/>
        </w:rPr>
        <w:t xml:space="preserve"> </w:t>
      </w:r>
      <w:r w:rsidR="00E024AF">
        <w:rPr>
          <w:rFonts w:ascii="Arial" w:hAnsi="Arial" w:cs="Arial"/>
          <w:color w:val="auto"/>
        </w:rPr>
        <w:t xml:space="preserve">za </w:t>
      </w:r>
      <w:r w:rsidR="000C3BB9">
        <w:rPr>
          <w:rFonts w:ascii="Arial" w:hAnsi="Arial" w:cs="Arial"/>
          <w:color w:val="auto"/>
        </w:rPr>
        <w:t>isplat</w:t>
      </w:r>
      <w:r w:rsidR="00E024AF">
        <w:rPr>
          <w:rFonts w:ascii="Arial" w:hAnsi="Arial" w:cs="Arial"/>
          <w:color w:val="auto"/>
        </w:rPr>
        <w:t>om</w:t>
      </w:r>
      <w:r w:rsidR="000C3BB9">
        <w:rPr>
          <w:rFonts w:ascii="Arial" w:hAnsi="Arial" w:cs="Arial"/>
          <w:color w:val="auto"/>
        </w:rPr>
        <w:t xml:space="preserve"> neosnovano naplaćenih i s</w:t>
      </w:r>
      <w:r w:rsidR="00E024AF">
        <w:rPr>
          <w:rFonts w:ascii="Arial" w:hAnsi="Arial" w:cs="Arial"/>
          <w:color w:val="auto"/>
        </w:rPr>
        <w:t>tečenih iznosa s osnova ništetne</w:t>
      </w:r>
      <w:r w:rsidR="000C3BB9">
        <w:rPr>
          <w:rFonts w:ascii="Arial" w:hAnsi="Arial" w:cs="Arial"/>
          <w:color w:val="auto"/>
        </w:rPr>
        <w:t xml:space="preserve"> odredb</w:t>
      </w:r>
      <w:r w:rsidR="00E024AF">
        <w:rPr>
          <w:rFonts w:ascii="Arial" w:hAnsi="Arial" w:cs="Arial"/>
          <w:color w:val="auto"/>
        </w:rPr>
        <w:t>e</w:t>
      </w:r>
      <w:r>
        <w:rPr>
          <w:rFonts w:ascii="Arial" w:hAnsi="Arial" w:cs="Arial"/>
          <w:color w:val="auto"/>
        </w:rPr>
        <w:t xml:space="preserve"> o valuti u Ugovoru o kreditu</w:t>
      </w:r>
      <w:r w:rsidR="000C3BB9">
        <w:rPr>
          <w:rFonts w:ascii="Arial" w:hAnsi="Arial" w:cs="Arial"/>
          <w:color w:val="auto"/>
        </w:rPr>
        <w:t xml:space="preserve"> </w:t>
      </w:r>
      <w:r w:rsidR="00932D1A">
        <w:rPr>
          <w:rFonts w:ascii="Arial" w:hAnsi="Arial" w:cs="Arial"/>
          <w:color w:val="auto"/>
        </w:rPr>
        <w:t xml:space="preserve">i zahtjev za isplatu parničnog troška. </w:t>
      </w:r>
    </w:p>
    <w:p w:rsidR="006C5417" w:rsidP="00742CB8" w:rsidRDefault="00FF75DC">
      <w:pPr>
        <w:pStyle w:val="Default"/>
        <w:ind w:firstLine="708"/>
        <w:jc w:val="both"/>
        <w:rPr>
          <w:rFonts w:ascii="Arial" w:hAnsi="Arial" w:cs="Arial"/>
          <w:color w:val="auto"/>
        </w:rPr>
      </w:pPr>
      <w:r>
        <w:rPr>
          <w:rFonts w:ascii="Arial" w:hAnsi="Arial" w:cs="Arial"/>
          <w:color w:val="auto"/>
        </w:rPr>
        <w:t>8</w:t>
      </w:r>
      <w:r w:rsidRPr="00A32A60" w:rsidR="00742CB8">
        <w:rPr>
          <w:rFonts w:ascii="Arial" w:hAnsi="Arial" w:cs="Arial"/>
          <w:color w:val="auto"/>
        </w:rPr>
        <w:t>.</w:t>
      </w:r>
      <w:r w:rsidR="00742CB8">
        <w:rPr>
          <w:rFonts w:ascii="Arial" w:hAnsi="Arial" w:cs="Arial"/>
          <w:color w:val="auto"/>
        </w:rPr>
        <w:t xml:space="preserve"> </w:t>
      </w:r>
      <w:r w:rsidRPr="000640F1" w:rsidR="006C5417">
        <w:rPr>
          <w:rFonts w:ascii="Arial" w:hAnsi="Arial" w:cs="Arial"/>
          <w:color w:val="auto"/>
        </w:rPr>
        <w:t>Među strankama nije sporno kako je između prednika tužen</w:t>
      </w:r>
      <w:r w:rsidR="00E024AF">
        <w:rPr>
          <w:rFonts w:ascii="Arial" w:hAnsi="Arial" w:cs="Arial"/>
          <w:color w:val="auto"/>
        </w:rPr>
        <w:t>ika</w:t>
      </w:r>
      <w:r w:rsidRPr="000640F1" w:rsidR="006C5417">
        <w:rPr>
          <w:rFonts w:ascii="Arial" w:hAnsi="Arial" w:cs="Arial"/>
          <w:color w:val="auto"/>
        </w:rPr>
        <w:t xml:space="preserve"> </w:t>
      </w:r>
      <w:r w:rsidR="00E024AF">
        <w:rPr>
          <w:rFonts w:ascii="Arial" w:hAnsi="Arial" w:cs="Arial"/>
          <w:color w:val="auto"/>
        </w:rPr>
        <w:t>i tužitelja</w:t>
      </w:r>
      <w:r w:rsidRPr="000640F1" w:rsidR="006C5417">
        <w:rPr>
          <w:rFonts w:ascii="Arial" w:hAnsi="Arial" w:cs="Arial"/>
          <w:color w:val="auto"/>
        </w:rPr>
        <w:t xml:space="preserve"> </w:t>
      </w:r>
      <w:r w:rsidR="00742CB8">
        <w:rPr>
          <w:rFonts w:ascii="Arial" w:hAnsi="Arial" w:cs="Arial"/>
          <w:color w:val="auto"/>
        </w:rPr>
        <w:t>sklopljen</w:t>
      </w:r>
      <w:r w:rsidRPr="000640F1" w:rsidR="006C5417">
        <w:rPr>
          <w:rFonts w:ascii="Arial" w:hAnsi="Arial" w:cs="Arial"/>
          <w:color w:val="auto"/>
        </w:rPr>
        <w:t xml:space="preserve"> </w:t>
      </w:r>
      <w:r w:rsidR="00A46116">
        <w:rPr>
          <w:rFonts w:ascii="Arial" w:hAnsi="Arial" w:cs="Arial"/>
          <w:color w:val="auto"/>
        </w:rPr>
        <w:t>24</w:t>
      </w:r>
      <w:r w:rsidR="00A32A60">
        <w:rPr>
          <w:rFonts w:ascii="Arial" w:hAnsi="Arial" w:cs="Arial"/>
          <w:color w:val="auto"/>
        </w:rPr>
        <w:t>.</w:t>
      </w:r>
      <w:r w:rsidR="003149C9">
        <w:rPr>
          <w:rFonts w:ascii="Arial" w:hAnsi="Arial" w:cs="Arial"/>
          <w:color w:val="auto"/>
        </w:rPr>
        <w:t xml:space="preserve"> </w:t>
      </w:r>
      <w:r w:rsidR="00A46116">
        <w:rPr>
          <w:rFonts w:ascii="Arial" w:hAnsi="Arial" w:cs="Arial"/>
          <w:color w:val="auto"/>
        </w:rPr>
        <w:t>svibnja</w:t>
      </w:r>
      <w:r w:rsidR="00742CB8">
        <w:rPr>
          <w:rFonts w:ascii="Arial" w:hAnsi="Arial" w:cs="Arial"/>
          <w:color w:val="auto"/>
        </w:rPr>
        <w:t xml:space="preserve"> 200</w:t>
      </w:r>
      <w:r w:rsidR="00A46116">
        <w:rPr>
          <w:rFonts w:ascii="Arial" w:hAnsi="Arial" w:cs="Arial"/>
          <w:color w:val="auto"/>
        </w:rPr>
        <w:t>6</w:t>
      </w:r>
      <w:r w:rsidRPr="000640F1" w:rsidR="006C5417">
        <w:rPr>
          <w:rFonts w:ascii="Arial" w:hAnsi="Arial" w:cs="Arial"/>
          <w:color w:val="auto"/>
        </w:rPr>
        <w:t xml:space="preserve">. </w:t>
      </w:r>
      <w:r w:rsidR="00742CB8">
        <w:rPr>
          <w:rFonts w:ascii="Arial" w:hAnsi="Arial" w:cs="Arial"/>
          <w:color w:val="auto"/>
        </w:rPr>
        <w:t>U</w:t>
      </w:r>
      <w:r w:rsidRPr="000640F1" w:rsidR="006C5417">
        <w:rPr>
          <w:rFonts w:ascii="Arial" w:hAnsi="Arial" w:cs="Arial"/>
          <w:color w:val="auto"/>
        </w:rPr>
        <w:t xml:space="preserve">govor o kreditu broj </w:t>
      </w:r>
      <w:r w:rsidR="00A46116">
        <w:rPr>
          <w:rFonts w:ascii="Arial" w:hAnsi="Arial" w:cs="Arial"/>
        </w:rPr>
        <w:t>43219/06</w:t>
      </w:r>
      <w:r w:rsidR="00FF0D70">
        <w:rPr>
          <w:rFonts w:ascii="Arial" w:hAnsi="Arial" w:cs="Arial"/>
          <w:color w:val="auto"/>
        </w:rPr>
        <w:t xml:space="preserve">, </w:t>
      </w:r>
      <w:r w:rsidRPr="000640F1" w:rsidR="006C5417">
        <w:rPr>
          <w:rFonts w:ascii="Arial" w:hAnsi="Arial" w:cs="Arial"/>
          <w:color w:val="auto"/>
        </w:rPr>
        <w:t>kojim je pr</w:t>
      </w:r>
      <w:r w:rsidR="00742CB8">
        <w:rPr>
          <w:rFonts w:ascii="Arial" w:hAnsi="Arial" w:cs="Arial"/>
          <w:color w:val="auto"/>
        </w:rPr>
        <w:t>ednik tužen</w:t>
      </w:r>
      <w:r w:rsidR="006C4CCC">
        <w:rPr>
          <w:rFonts w:ascii="Arial" w:hAnsi="Arial" w:cs="Arial"/>
          <w:color w:val="auto"/>
        </w:rPr>
        <w:t>ika</w:t>
      </w:r>
      <w:r w:rsidR="00E024AF">
        <w:rPr>
          <w:rFonts w:ascii="Arial" w:hAnsi="Arial" w:cs="Arial"/>
          <w:color w:val="auto"/>
        </w:rPr>
        <w:t xml:space="preserve"> odobrio tužitelj</w:t>
      </w:r>
      <w:r w:rsidR="006C4CCC">
        <w:rPr>
          <w:rFonts w:ascii="Arial" w:hAnsi="Arial" w:cs="Arial"/>
          <w:color w:val="auto"/>
        </w:rPr>
        <w:t>u</w:t>
      </w:r>
      <w:r w:rsidR="00742CB8">
        <w:rPr>
          <w:rFonts w:ascii="Arial" w:hAnsi="Arial" w:cs="Arial"/>
          <w:color w:val="auto"/>
        </w:rPr>
        <w:t xml:space="preserve"> </w:t>
      </w:r>
      <w:r w:rsidR="00A46116">
        <w:rPr>
          <w:rFonts w:ascii="Arial" w:hAnsi="Arial" w:cs="Arial"/>
          <w:color w:val="auto"/>
        </w:rPr>
        <w:t>ne</w:t>
      </w:r>
      <w:r w:rsidR="00FF0D70">
        <w:rPr>
          <w:rFonts w:ascii="Arial" w:hAnsi="Arial" w:cs="Arial"/>
          <w:color w:val="auto"/>
        </w:rPr>
        <w:t>namjenski kredit</w:t>
      </w:r>
      <w:r w:rsidR="00321B8B">
        <w:rPr>
          <w:rFonts w:ascii="Arial" w:hAnsi="Arial" w:cs="Arial"/>
          <w:color w:val="auto"/>
        </w:rPr>
        <w:t xml:space="preserve"> </w:t>
      </w:r>
      <w:r w:rsidR="00FF0D70">
        <w:rPr>
          <w:rFonts w:ascii="Arial" w:hAnsi="Arial" w:cs="Arial"/>
          <w:color w:val="auto"/>
        </w:rPr>
        <w:t xml:space="preserve">sa rokom otplate od </w:t>
      </w:r>
      <w:r w:rsidR="00A46116">
        <w:rPr>
          <w:rFonts w:ascii="Arial" w:hAnsi="Arial" w:cs="Arial"/>
          <w:color w:val="auto"/>
        </w:rPr>
        <w:t>84</w:t>
      </w:r>
      <w:r w:rsidR="00FF0D70">
        <w:rPr>
          <w:rFonts w:ascii="Arial" w:hAnsi="Arial" w:cs="Arial"/>
          <w:color w:val="auto"/>
        </w:rPr>
        <w:t xml:space="preserve"> mjesec</w:t>
      </w:r>
      <w:r w:rsidR="00321B8B">
        <w:rPr>
          <w:rFonts w:ascii="Arial" w:hAnsi="Arial" w:cs="Arial"/>
          <w:color w:val="auto"/>
        </w:rPr>
        <w:t>i</w:t>
      </w:r>
      <w:r w:rsidR="00FF0D70">
        <w:rPr>
          <w:rFonts w:ascii="Arial" w:hAnsi="Arial" w:cs="Arial"/>
          <w:color w:val="auto"/>
        </w:rPr>
        <w:t>, kamatnom stopom koja je promjenjiva, a na dan zaključenja Ugovora iznosi</w:t>
      </w:r>
      <w:r w:rsidR="00E024AF">
        <w:rPr>
          <w:rFonts w:ascii="Arial" w:hAnsi="Arial" w:cs="Arial"/>
          <w:color w:val="auto"/>
        </w:rPr>
        <w:t xml:space="preserve"> </w:t>
      </w:r>
      <w:r w:rsidR="00A46116">
        <w:rPr>
          <w:rFonts w:ascii="Arial" w:hAnsi="Arial" w:cs="Arial"/>
          <w:color w:val="auto"/>
        </w:rPr>
        <w:t>6,99</w:t>
      </w:r>
      <w:r w:rsidR="00FF0D70">
        <w:rPr>
          <w:rFonts w:ascii="Arial" w:hAnsi="Arial" w:cs="Arial"/>
          <w:color w:val="auto"/>
        </w:rPr>
        <w:t xml:space="preserve"> %</w:t>
      </w:r>
      <w:r w:rsidR="00E024AF">
        <w:rPr>
          <w:rFonts w:ascii="Arial" w:hAnsi="Arial" w:cs="Arial"/>
          <w:color w:val="auto"/>
        </w:rPr>
        <w:t xml:space="preserve"> uz valutnu klauzulu kojom se odobrava isplata sredstava u visini od </w:t>
      </w:r>
      <w:r w:rsidR="00A46116">
        <w:rPr>
          <w:rFonts w:ascii="Arial" w:hAnsi="Arial" w:cs="Arial"/>
          <w:color w:val="auto"/>
        </w:rPr>
        <w:t>18.780,</w:t>
      </w:r>
      <w:r>
        <w:rPr>
          <w:rFonts w:ascii="Arial" w:hAnsi="Arial" w:cs="Arial"/>
          <w:color w:val="auto"/>
        </w:rPr>
        <w:t>00</w:t>
      </w:r>
      <w:r w:rsidR="00E024AF">
        <w:rPr>
          <w:rFonts w:ascii="Arial" w:hAnsi="Arial" w:cs="Arial"/>
          <w:color w:val="auto"/>
        </w:rPr>
        <w:t xml:space="preserve"> CHF u protuvrijednosti kuna po prodajnom tečaju kreditora na dan korištenja kredita</w:t>
      </w:r>
      <w:r w:rsidRPr="000640F1" w:rsidR="006C5417">
        <w:rPr>
          <w:rFonts w:ascii="Arial" w:hAnsi="Arial" w:cs="Arial"/>
          <w:color w:val="auto"/>
        </w:rPr>
        <w:t xml:space="preserve">. </w:t>
      </w:r>
    </w:p>
    <w:p w:rsidRPr="000640F1" w:rsidR="006C5417" w:rsidP="002610D7" w:rsidRDefault="00FF75DC">
      <w:pPr>
        <w:pStyle w:val="Default"/>
        <w:ind w:firstLine="708"/>
        <w:jc w:val="both"/>
        <w:rPr>
          <w:rFonts w:ascii="Arial" w:hAnsi="Arial" w:cs="Arial"/>
          <w:color w:val="auto"/>
        </w:rPr>
      </w:pPr>
      <w:r>
        <w:rPr>
          <w:rFonts w:ascii="Arial" w:hAnsi="Arial" w:cs="Arial"/>
          <w:color w:val="auto"/>
        </w:rPr>
        <w:t>9</w:t>
      </w:r>
      <w:r w:rsidR="002610D7">
        <w:rPr>
          <w:rFonts w:ascii="Arial" w:hAnsi="Arial" w:cs="Arial"/>
          <w:color w:val="auto"/>
        </w:rPr>
        <w:t>. N</w:t>
      </w:r>
      <w:r w:rsidRPr="000640F1" w:rsidR="006C5417">
        <w:rPr>
          <w:rFonts w:ascii="Arial" w:hAnsi="Arial" w:cs="Arial"/>
          <w:color w:val="auto"/>
        </w:rPr>
        <w:t>ije sporno</w:t>
      </w:r>
      <w:r w:rsidR="002610D7">
        <w:rPr>
          <w:rFonts w:ascii="Arial" w:hAnsi="Arial" w:cs="Arial"/>
          <w:color w:val="auto"/>
        </w:rPr>
        <w:t xml:space="preserve"> niti to </w:t>
      </w:r>
      <w:r w:rsidRPr="000640F1" w:rsidR="006C5417">
        <w:rPr>
          <w:rFonts w:ascii="Arial" w:hAnsi="Arial" w:cs="Arial"/>
          <w:color w:val="auto"/>
        </w:rPr>
        <w:t xml:space="preserve">da je </w:t>
      </w:r>
      <w:r w:rsidR="002610D7">
        <w:rPr>
          <w:rFonts w:ascii="Arial" w:hAnsi="Arial" w:cs="Arial"/>
          <w:color w:val="auto"/>
        </w:rPr>
        <w:t>kod</w:t>
      </w:r>
      <w:r w:rsidRPr="000640F1" w:rsidR="006C5417">
        <w:rPr>
          <w:rFonts w:ascii="Arial" w:hAnsi="Arial" w:cs="Arial"/>
          <w:color w:val="auto"/>
        </w:rPr>
        <w:t xml:space="preserve"> Trgovačk</w:t>
      </w:r>
      <w:r w:rsidR="002610D7">
        <w:rPr>
          <w:rFonts w:ascii="Arial" w:hAnsi="Arial" w:cs="Arial"/>
          <w:color w:val="auto"/>
        </w:rPr>
        <w:t>og</w:t>
      </w:r>
      <w:r w:rsidRPr="000640F1" w:rsidR="006C5417">
        <w:rPr>
          <w:rFonts w:ascii="Arial" w:hAnsi="Arial" w:cs="Arial"/>
          <w:color w:val="auto"/>
        </w:rPr>
        <w:t xml:space="preserve"> sud</w:t>
      </w:r>
      <w:r w:rsidR="002610D7">
        <w:rPr>
          <w:rFonts w:ascii="Arial" w:hAnsi="Arial" w:cs="Arial"/>
          <w:color w:val="auto"/>
        </w:rPr>
        <w:t xml:space="preserve">a </w:t>
      </w:r>
      <w:r w:rsidRPr="000640F1" w:rsidR="006C5417">
        <w:rPr>
          <w:rFonts w:ascii="Arial" w:hAnsi="Arial" w:cs="Arial"/>
          <w:color w:val="auto"/>
        </w:rPr>
        <w:t xml:space="preserve">u Zagrebu vođen postupak radi zaštite kolektivnih prava i interesa predmet kojega je bila zaštita potrošača od korištenja dvije ugovorne odredbe o kojima se nije pojedinačno pregovaralo: odredbe o valutnoj klauzuli prema kojoj je glavnica vezana za švicarski franak i odredbe kojom je ugovorena redovna kamatna stopa koje je tijekom postojanja obveze promjenjiva u skladu s jednostranom odlukom banke. </w:t>
      </w:r>
    </w:p>
    <w:p w:rsidRPr="000640F1" w:rsidR="006C5417" w:rsidP="002610D7" w:rsidRDefault="00FF75DC">
      <w:pPr>
        <w:pStyle w:val="Default"/>
        <w:ind w:firstLine="708"/>
        <w:jc w:val="both"/>
        <w:rPr>
          <w:rFonts w:ascii="Arial" w:hAnsi="Arial" w:cs="Arial"/>
          <w:color w:val="auto"/>
        </w:rPr>
      </w:pPr>
      <w:r>
        <w:rPr>
          <w:rFonts w:ascii="Arial" w:hAnsi="Arial" w:cs="Arial"/>
          <w:color w:val="auto"/>
        </w:rPr>
        <w:t>10</w:t>
      </w:r>
      <w:r w:rsidR="002610D7">
        <w:rPr>
          <w:rFonts w:ascii="Arial" w:hAnsi="Arial" w:cs="Arial"/>
          <w:color w:val="auto"/>
        </w:rPr>
        <w:t xml:space="preserve">. </w:t>
      </w:r>
      <w:r w:rsidR="00C971E7">
        <w:rPr>
          <w:rFonts w:ascii="Arial" w:hAnsi="Arial" w:cs="Arial"/>
          <w:color w:val="auto"/>
        </w:rPr>
        <w:t>Spornim je tužen</w:t>
      </w:r>
      <w:r w:rsidR="006C4CCC">
        <w:rPr>
          <w:rFonts w:ascii="Arial" w:hAnsi="Arial" w:cs="Arial"/>
          <w:color w:val="auto"/>
        </w:rPr>
        <w:t>ik</w:t>
      </w:r>
      <w:r w:rsidR="00C971E7">
        <w:rPr>
          <w:rFonts w:ascii="Arial" w:hAnsi="Arial" w:cs="Arial"/>
          <w:color w:val="auto"/>
        </w:rPr>
        <w:t xml:space="preserve"> učini</w:t>
      </w:r>
      <w:r w:rsidR="006C4CCC">
        <w:rPr>
          <w:rFonts w:ascii="Arial" w:hAnsi="Arial" w:cs="Arial"/>
          <w:color w:val="auto"/>
        </w:rPr>
        <w:t>o</w:t>
      </w:r>
      <w:r w:rsidRPr="000640F1" w:rsidR="006C5417">
        <w:rPr>
          <w:rFonts w:ascii="Arial" w:hAnsi="Arial" w:cs="Arial"/>
          <w:color w:val="auto"/>
        </w:rPr>
        <w:t xml:space="preserve"> sljedeće: je li se </w:t>
      </w:r>
      <w:r w:rsidR="006C4CCC">
        <w:rPr>
          <w:rFonts w:ascii="Arial" w:hAnsi="Arial" w:cs="Arial"/>
          <w:color w:val="auto"/>
        </w:rPr>
        <w:t>predmetnim ugovaranjem postupilo</w:t>
      </w:r>
      <w:r w:rsidRPr="000640F1" w:rsidR="006C5417">
        <w:rPr>
          <w:rFonts w:ascii="Arial" w:hAnsi="Arial" w:cs="Arial"/>
          <w:color w:val="auto"/>
        </w:rPr>
        <w:t xml:space="preserve"> suprotno načelu savjesnosti i poštenja</w:t>
      </w:r>
      <w:r w:rsidR="006C4CCC">
        <w:rPr>
          <w:rFonts w:ascii="Arial" w:hAnsi="Arial" w:cs="Arial"/>
          <w:color w:val="auto"/>
        </w:rPr>
        <w:t xml:space="preserve"> a što bi </w:t>
      </w:r>
      <w:r w:rsidRPr="000640F1" w:rsidR="006C5417">
        <w:rPr>
          <w:rFonts w:ascii="Arial" w:hAnsi="Arial" w:cs="Arial"/>
          <w:color w:val="auto"/>
        </w:rPr>
        <w:t>uzrok</w:t>
      </w:r>
      <w:r w:rsidR="006C4CCC">
        <w:rPr>
          <w:rFonts w:ascii="Arial" w:hAnsi="Arial" w:cs="Arial"/>
          <w:color w:val="auto"/>
        </w:rPr>
        <w:t>ovalo</w:t>
      </w:r>
      <w:r w:rsidRPr="000640F1" w:rsidR="006C5417">
        <w:rPr>
          <w:rFonts w:ascii="Arial" w:hAnsi="Arial" w:cs="Arial"/>
          <w:color w:val="auto"/>
        </w:rPr>
        <w:t xml:space="preserve"> znatnu neravnotežu u pravima i obvezama ugovornih strana na štetu potrošača (ovdje tužitelja). </w:t>
      </w:r>
    </w:p>
    <w:p w:rsidR="002610D7" w:rsidP="006C4CCC" w:rsidRDefault="009A7AD7">
      <w:pPr>
        <w:pStyle w:val="Default"/>
        <w:ind w:firstLine="708"/>
        <w:jc w:val="both"/>
        <w:rPr>
          <w:rFonts w:ascii="Arial" w:hAnsi="Arial" w:cs="Arial"/>
          <w:b/>
          <w:bCs/>
          <w:color w:val="auto"/>
        </w:rPr>
      </w:pPr>
      <w:r>
        <w:rPr>
          <w:rFonts w:ascii="Arial" w:hAnsi="Arial" w:cs="Arial"/>
          <w:color w:val="auto"/>
        </w:rPr>
        <w:t>1</w:t>
      </w:r>
      <w:r w:rsidR="00FF75DC">
        <w:rPr>
          <w:rFonts w:ascii="Arial" w:hAnsi="Arial" w:cs="Arial"/>
          <w:color w:val="auto"/>
        </w:rPr>
        <w:t>1</w:t>
      </w:r>
      <w:r w:rsidR="002610D7">
        <w:rPr>
          <w:rFonts w:ascii="Arial" w:hAnsi="Arial" w:cs="Arial"/>
          <w:color w:val="auto"/>
        </w:rPr>
        <w:t xml:space="preserve">. </w:t>
      </w:r>
      <w:r w:rsidRPr="000640F1" w:rsidR="006C5417">
        <w:rPr>
          <w:rFonts w:ascii="Arial" w:hAnsi="Arial" w:cs="Arial"/>
          <w:color w:val="auto"/>
        </w:rPr>
        <w:t>Treba navesti da je Visoki trgovački sud Republike Hrvatske 13. lipnja 2014., postupajući po žalbi izjavljenoj na presudu Trgovačkog suda u Zagrebu poslovnog broja P-1401/12 od 4. srpnja 2013. u parnici tužitelja Udruge potrošač protiv ovdje tuženika i drugih, radi zaštite kolektivnih interesa u točki I. izreke preinačio presudu Trgovačkog suda u Zagrebu poslovni broj P-1401/12 od 4. srpnja 2013. i odbio kao neosnovan tužbeni zahtjev tužitelja za utvrđenje da su banke, među njima i ovdje tuženik (potonji u periodu od 1. travnja 2005. do 31. prosinca 2008.) povrijedili kolektivne interese i prava potrošača korisnika kredita koristeći u potrošačkim ugovorima o kreditima nepoštenu ugovornu odredbu kojom je ugovorena valuta uz koju je vezana glavnica švicarski franak, o kojoj se nije pojedinačno pregovaralo. Vrhovni sud RH u svojoj odluci pod brojem Revt-249/14</w:t>
      </w:r>
      <w:r w:rsidR="002C0D78">
        <w:rPr>
          <w:rFonts w:ascii="Arial" w:hAnsi="Arial" w:cs="Arial"/>
          <w:color w:val="auto"/>
        </w:rPr>
        <w:t xml:space="preserve"> </w:t>
      </w:r>
      <w:r w:rsidRPr="000640F1" w:rsidR="006C5417">
        <w:rPr>
          <w:rFonts w:ascii="Arial" w:hAnsi="Arial" w:cs="Arial"/>
          <w:color w:val="auto"/>
        </w:rPr>
        <w:t>od 9. travnja 2015. odbio je revizije tužitelja i 1.-7. tuženika kao neosnovane, koje su izjavljene protiv presude i rješenja Visokog trgovačkog suda Republike Hrvatske br. Pž-7129/13-4 od 13. lipnja 2014. kojom je djelomično potvrđena, djelomično preinačena i djelomično ukinuta presuda Trgovačkog suda u Zagrebu broj P</w:t>
      </w:r>
      <w:r w:rsidR="000640F1">
        <w:rPr>
          <w:rFonts w:ascii="Arial" w:hAnsi="Arial" w:cs="Arial"/>
          <w:color w:val="auto"/>
        </w:rPr>
        <w:t xml:space="preserve">-1401/2012 od 4. srpnja 2013. </w:t>
      </w:r>
      <w:r w:rsidRPr="000640F1" w:rsidR="006C5417">
        <w:rPr>
          <w:rFonts w:ascii="Arial" w:hAnsi="Arial" w:cs="Arial"/>
          <w:b/>
          <w:bCs/>
          <w:color w:val="auto"/>
        </w:rPr>
        <w:t xml:space="preserve"> </w:t>
      </w:r>
    </w:p>
    <w:p w:rsidRPr="000640F1" w:rsidR="006C5417" w:rsidP="002610D7" w:rsidRDefault="006C4CCC">
      <w:pPr>
        <w:pStyle w:val="Default"/>
        <w:ind w:firstLine="708"/>
        <w:jc w:val="both"/>
        <w:rPr>
          <w:rFonts w:ascii="Arial" w:hAnsi="Arial" w:cs="Arial"/>
          <w:color w:val="auto"/>
        </w:rPr>
      </w:pPr>
      <w:r>
        <w:rPr>
          <w:rFonts w:ascii="Arial" w:hAnsi="Arial" w:cs="Arial"/>
          <w:color w:val="auto"/>
        </w:rPr>
        <w:t>1</w:t>
      </w:r>
      <w:r w:rsidR="00E56ABB">
        <w:rPr>
          <w:rFonts w:ascii="Arial" w:hAnsi="Arial" w:cs="Arial"/>
          <w:color w:val="auto"/>
        </w:rPr>
        <w:t>1</w:t>
      </w:r>
      <w:r>
        <w:rPr>
          <w:rFonts w:ascii="Arial" w:hAnsi="Arial" w:cs="Arial"/>
          <w:color w:val="auto"/>
        </w:rPr>
        <w:t xml:space="preserve">.1. </w:t>
      </w:r>
      <w:r w:rsidRPr="000640F1" w:rsidR="006C5417">
        <w:rPr>
          <w:rFonts w:ascii="Arial" w:hAnsi="Arial" w:cs="Arial"/>
          <w:color w:val="auto"/>
        </w:rPr>
        <w:t>U obrazloženju presude Visokog trgovačkog suda navodi se kako se pojedini potrošači, u slučaju postojanja osuđujuće odluke, dakle kada sud utvrdi postojanje određene povrede propisa o zaštiti potrošača, u postupku individualne pravne zaštite, naknade štete, izmjene ugovora ili slično, mogu pozvati na sadržaj odluke iz postupka zaštite kolektivnih prava i interesa. Na taj način proširene su subjektivne granice pravomoćnosti jer osuđujuća presuda iz postupka zaštite kolektivnih interesa u postupcima individualne zaštite koje pokrenu potrošači obvezuje ostale sudove. Naime, navedeno je u skladu sa odredbom čl.138a Zakona o zaštiti potrošača („Narodne novine“ broj: 79/07, 125/07, 79/09 i 89/09</w:t>
      </w:r>
      <w:r>
        <w:rPr>
          <w:rFonts w:ascii="Arial" w:hAnsi="Arial" w:cs="Arial"/>
          <w:color w:val="auto"/>
        </w:rPr>
        <w:t>, nadalje u tekstu:</w:t>
      </w:r>
      <w:r w:rsidRPr="000640F1" w:rsidR="006C5417">
        <w:rPr>
          <w:rFonts w:ascii="Arial" w:hAnsi="Arial" w:cs="Arial"/>
          <w:color w:val="auto"/>
        </w:rPr>
        <w:t xml:space="preserve"> ZZP) koji propisuje da odluka suda donesena u postupku za zaštitu kolektivnih interesa potrošača iz čl</w:t>
      </w:r>
      <w:r>
        <w:rPr>
          <w:rFonts w:ascii="Arial" w:hAnsi="Arial" w:cs="Arial"/>
          <w:color w:val="auto"/>
        </w:rPr>
        <w:t>.</w:t>
      </w:r>
      <w:r w:rsidRPr="000640F1" w:rsidR="006C5417">
        <w:rPr>
          <w:rFonts w:ascii="Arial" w:hAnsi="Arial" w:cs="Arial"/>
          <w:color w:val="auto"/>
        </w:rPr>
        <w:t>131 st</w:t>
      </w:r>
      <w:r>
        <w:rPr>
          <w:rFonts w:ascii="Arial" w:hAnsi="Arial" w:cs="Arial"/>
          <w:color w:val="auto"/>
        </w:rPr>
        <w:t>.</w:t>
      </w:r>
      <w:r w:rsidRPr="000640F1" w:rsidR="006C5417">
        <w:rPr>
          <w:rFonts w:ascii="Arial" w:hAnsi="Arial" w:cs="Arial"/>
          <w:color w:val="auto"/>
        </w:rPr>
        <w:t>1 ovoga Zakona u smislu postojanja povrede propisa zaštite potrošača iz čl</w:t>
      </w:r>
      <w:r>
        <w:rPr>
          <w:rFonts w:ascii="Arial" w:hAnsi="Arial" w:cs="Arial"/>
          <w:color w:val="auto"/>
        </w:rPr>
        <w:t>.</w:t>
      </w:r>
      <w:r w:rsidRPr="000640F1" w:rsidR="006C5417">
        <w:rPr>
          <w:rFonts w:ascii="Arial" w:hAnsi="Arial" w:cs="Arial"/>
          <w:color w:val="auto"/>
        </w:rPr>
        <w:t>131 st</w:t>
      </w:r>
      <w:r>
        <w:rPr>
          <w:rFonts w:ascii="Arial" w:hAnsi="Arial" w:cs="Arial"/>
          <w:color w:val="auto"/>
        </w:rPr>
        <w:t>.</w:t>
      </w:r>
      <w:r w:rsidRPr="000640F1" w:rsidR="006C5417">
        <w:rPr>
          <w:rFonts w:ascii="Arial" w:hAnsi="Arial" w:cs="Arial"/>
          <w:color w:val="auto"/>
        </w:rPr>
        <w:t xml:space="preserve">1 ovoga Zakona obvezuje ostale sudove u postupku koji potrošač osobno pokrene radi naknade štete koja mu je uzrokovana postupanjem tuženika (koji obuhvaća i povrede učinjene kod potrošačkog kreditiranja). Navedeni </w:t>
      </w:r>
      <w:r w:rsidRPr="000640F1" w:rsidR="006C5417">
        <w:rPr>
          <w:rFonts w:ascii="Arial" w:hAnsi="Arial" w:cs="Arial"/>
          <w:color w:val="auto"/>
        </w:rPr>
        <w:lastRenderedPageBreak/>
        <w:t xml:space="preserve">zakon se ima primijeniti s obzirom na vrijeme kada je sklopljen ugovor, dakle kada je i ugovorena predmetna odredba. </w:t>
      </w:r>
    </w:p>
    <w:p w:rsidR="006C5417" w:rsidP="002610D7" w:rsidRDefault="006C4CCC">
      <w:pPr>
        <w:pStyle w:val="Default"/>
        <w:ind w:firstLine="708"/>
        <w:jc w:val="both"/>
        <w:rPr>
          <w:rFonts w:ascii="Arial" w:hAnsi="Arial" w:cs="Arial"/>
          <w:color w:val="auto"/>
        </w:rPr>
      </w:pPr>
      <w:r>
        <w:rPr>
          <w:rFonts w:ascii="Arial" w:hAnsi="Arial" w:cs="Arial"/>
          <w:color w:val="auto"/>
        </w:rPr>
        <w:t>1</w:t>
      </w:r>
      <w:r w:rsidR="00E56ABB">
        <w:rPr>
          <w:rFonts w:ascii="Arial" w:hAnsi="Arial" w:cs="Arial"/>
          <w:color w:val="auto"/>
        </w:rPr>
        <w:t>1</w:t>
      </w:r>
      <w:r>
        <w:rPr>
          <w:rFonts w:ascii="Arial" w:hAnsi="Arial" w:cs="Arial"/>
          <w:color w:val="auto"/>
        </w:rPr>
        <w:t xml:space="preserve">.2. </w:t>
      </w:r>
      <w:r w:rsidRPr="000640F1" w:rsidR="006C5417">
        <w:rPr>
          <w:rFonts w:ascii="Arial" w:hAnsi="Arial" w:cs="Arial"/>
          <w:color w:val="auto"/>
        </w:rPr>
        <w:t xml:space="preserve">Razmatrajući presudu Visokog Trgovačkog suda Republike Hrvatske kojom je navedeni spor pravomoćno okončan, za navesti je da su u istoj pojašnjene sve činjenice sporne u ovom postupku, a kako je naprijed obrazloženo. </w:t>
      </w:r>
    </w:p>
    <w:p w:rsidRPr="000640F1" w:rsidR="00A46116" w:rsidP="002610D7" w:rsidRDefault="00A46116">
      <w:pPr>
        <w:pStyle w:val="Default"/>
        <w:ind w:firstLine="708"/>
        <w:jc w:val="both"/>
        <w:rPr>
          <w:rFonts w:ascii="Arial" w:hAnsi="Arial" w:cs="Arial"/>
          <w:color w:val="auto"/>
        </w:rPr>
      </w:pPr>
      <w:r>
        <w:rPr>
          <w:rFonts w:ascii="Arial" w:hAnsi="Arial" w:cs="Arial"/>
          <w:color w:val="auto"/>
        </w:rPr>
        <w:t>11.3. U svom je iskazu tužitelj kazao da je kritične prigode u banku došao zatražiti bilo koju vrstu kredita jer mu je novac trebao.</w:t>
      </w:r>
      <w:r w:rsidR="00596EB7">
        <w:rPr>
          <w:rFonts w:ascii="Arial" w:hAnsi="Arial" w:cs="Arial"/>
          <w:color w:val="auto"/>
        </w:rPr>
        <w:t xml:space="preserve"> Bankarska službenica da mu je kazala da je najpovoljniji ugovor u tzv. švicarcima i uvjerila ga je da baš taj izabere. Kredit je otplatio. Početna rata kredita bila je 1.050,00 kn a kasnije je "narasla" na 2.200,00 kn. Sa bankarskom službenicom o ničemu da nije mogao pregovarati već samo prihvatiti ponuđeno. Novac iz kredita da je iskoristio za plaćanja tekućih i inih obaveza svoje obitelji, nije poslužio za nikakav posao, obrt ili investiciju.</w:t>
      </w:r>
    </w:p>
    <w:p w:rsidRPr="000640F1" w:rsidR="006C5417" w:rsidP="002610D7" w:rsidRDefault="002610D7">
      <w:pPr>
        <w:pStyle w:val="Default"/>
        <w:ind w:firstLine="708"/>
        <w:jc w:val="both"/>
        <w:rPr>
          <w:rFonts w:ascii="Arial" w:hAnsi="Arial" w:cs="Arial"/>
          <w:color w:val="auto"/>
        </w:rPr>
      </w:pPr>
      <w:r>
        <w:rPr>
          <w:rFonts w:ascii="Arial" w:hAnsi="Arial" w:cs="Arial"/>
          <w:color w:val="auto"/>
        </w:rPr>
        <w:t>1</w:t>
      </w:r>
      <w:r w:rsidR="00E56ABB">
        <w:rPr>
          <w:rFonts w:ascii="Arial" w:hAnsi="Arial" w:cs="Arial"/>
          <w:color w:val="auto"/>
        </w:rPr>
        <w:t>2</w:t>
      </w:r>
      <w:r>
        <w:rPr>
          <w:rFonts w:ascii="Arial" w:hAnsi="Arial" w:cs="Arial"/>
          <w:color w:val="auto"/>
        </w:rPr>
        <w:t xml:space="preserve">. </w:t>
      </w:r>
      <w:r w:rsidR="006C4CCC">
        <w:rPr>
          <w:rFonts w:ascii="Arial" w:hAnsi="Arial" w:cs="Arial"/>
          <w:color w:val="auto"/>
        </w:rPr>
        <w:t>Odredbom čl.</w:t>
      </w:r>
      <w:r w:rsidRPr="000640F1" w:rsidR="006C5417">
        <w:rPr>
          <w:rFonts w:ascii="Arial" w:hAnsi="Arial" w:cs="Arial"/>
          <w:color w:val="auto"/>
        </w:rPr>
        <w:t xml:space="preserve">96 st.1 ZZP-a, propisano je da se ugovorna odredba o kojoj se nije pojedinačno pregovaralo smatra nepoštenom ako, suprotno načelu savjesnosti i poštenja, uzrokuje znatnu neravnotežu u pravima i obvezama ugovornih strana na štetu potrošača. St.2 istog članka propisano je da se smatra kako se o pojedinoj ugovornoj odredbi nije pojedinačno pregovaralo ako je tu odredbu unaprijed formulirao trgovac, zbog čega potrošač nije imao utjecaja na njezin sadržaj, poglavito ako je riječ o odredbi unaprijed formuliranog standardnog ugovora trgovca, a odredbom st.4 navedenog članka propisano je da ako trgovac tvrdi kako se o pojedinoj ugovornoj odredbi u unaprijed formuliranom standardnom ugovoru pojedinačno pregovaralo, dužan je to i dokazati. </w:t>
      </w:r>
    </w:p>
    <w:p w:rsidR="007F1994" w:rsidP="002610D7" w:rsidRDefault="006C4CCC">
      <w:pPr>
        <w:pStyle w:val="Default"/>
        <w:ind w:firstLine="708"/>
        <w:jc w:val="both"/>
        <w:rPr>
          <w:rFonts w:ascii="Arial" w:hAnsi="Arial" w:cs="Arial"/>
          <w:color w:val="auto"/>
        </w:rPr>
      </w:pPr>
      <w:r>
        <w:rPr>
          <w:rFonts w:ascii="Arial" w:hAnsi="Arial" w:cs="Arial"/>
          <w:color w:val="auto"/>
        </w:rPr>
        <w:t>1</w:t>
      </w:r>
      <w:r w:rsidR="00E56ABB">
        <w:rPr>
          <w:rFonts w:ascii="Arial" w:hAnsi="Arial" w:cs="Arial"/>
          <w:color w:val="auto"/>
        </w:rPr>
        <w:t>3</w:t>
      </w:r>
      <w:r w:rsidR="002610D7">
        <w:rPr>
          <w:rFonts w:ascii="Arial" w:hAnsi="Arial" w:cs="Arial"/>
          <w:color w:val="auto"/>
        </w:rPr>
        <w:t xml:space="preserve">. </w:t>
      </w:r>
      <w:r w:rsidRPr="000640F1" w:rsidR="006C5417">
        <w:rPr>
          <w:rFonts w:ascii="Arial" w:hAnsi="Arial" w:cs="Arial"/>
          <w:color w:val="auto"/>
        </w:rPr>
        <w:t>Čl</w:t>
      </w:r>
      <w:r>
        <w:rPr>
          <w:rFonts w:ascii="Arial" w:hAnsi="Arial" w:cs="Arial"/>
          <w:color w:val="auto"/>
        </w:rPr>
        <w:t>.</w:t>
      </w:r>
      <w:r w:rsidRPr="000640F1" w:rsidR="006C5417">
        <w:rPr>
          <w:rFonts w:ascii="Arial" w:hAnsi="Arial" w:cs="Arial"/>
          <w:color w:val="auto"/>
        </w:rPr>
        <w:t xml:space="preserve">99 ZZP-a propisano je da nije dopušteno ocjenjivati jesu li ugovorne odredbe o predmetu ugovora i cijene poštene ako su te odredbe jasne, lako razumljive i uočljive. </w:t>
      </w:r>
    </w:p>
    <w:p w:rsidRPr="000640F1" w:rsidR="006C5417" w:rsidP="002610D7" w:rsidRDefault="007F1994">
      <w:pPr>
        <w:pStyle w:val="Default"/>
        <w:ind w:firstLine="708"/>
        <w:jc w:val="both"/>
        <w:rPr>
          <w:rFonts w:ascii="Arial" w:hAnsi="Arial" w:cs="Arial"/>
          <w:color w:val="auto"/>
        </w:rPr>
      </w:pPr>
      <w:r>
        <w:rPr>
          <w:rFonts w:ascii="Arial" w:hAnsi="Arial" w:cs="Arial"/>
          <w:color w:val="auto"/>
        </w:rPr>
        <w:t>1</w:t>
      </w:r>
      <w:r w:rsidR="00E56ABB">
        <w:rPr>
          <w:rFonts w:ascii="Arial" w:hAnsi="Arial" w:cs="Arial"/>
          <w:color w:val="auto"/>
        </w:rPr>
        <w:t>4</w:t>
      </w:r>
      <w:r>
        <w:rPr>
          <w:rFonts w:ascii="Arial" w:hAnsi="Arial" w:cs="Arial"/>
          <w:color w:val="auto"/>
        </w:rPr>
        <w:t xml:space="preserve">. </w:t>
      </w:r>
      <w:r w:rsidRPr="000640F1" w:rsidR="006C5417">
        <w:rPr>
          <w:rFonts w:ascii="Arial" w:hAnsi="Arial" w:cs="Arial"/>
          <w:color w:val="auto"/>
        </w:rPr>
        <w:t xml:space="preserve">Po ocjeni Visokog </w:t>
      </w:r>
      <w:r>
        <w:rPr>
          <w:rFonts w:ascii="Arial" w:hAnsi="Arial" w:cs="Arial"/>
          <w:color w:val="auto"/>
        </w:rPr>
        <w:t>t</w:t>
      </w:r>
      <w:r w:rsidRPr="000640F1" w:rsidR="006C5417">
        <w:rPr>
          <w:rFonts w:ascii="Arial" w:hAnsi="Arial" w:cs="Arial"/>
          <w:color w:val="auto"/>
        </w:rPr>
        <w:t xml:space="preserve">rgovačkog suda </w:t>
      </w:r>
      <w:r>
        <w:rPr>
          <w:rFonts w:ascii="Arial" w:hAnsi="Arial" w:cs="Arial"/>
          <w:color w:val="auto"/>
        </w:rPr>
        <w:t>RH n</w:t>
      </w:r>
      <w:r w:rsidRPr="000640F1" w:rsidR="006C5417">
        <w:rPr>
          <w:rFonts w:ascii="Arial" w:hAnsi="Arial" w:cs="Arial"/>
          <w:color w:val="auto"/>
        </w:rPr>
        <w:t xml:space="preserve">a ovaj način </w:t>
      </w:r>
      <w:r>
        <w:rPr>
          <w:rFonts w:ascii="Arial" w:hAnsi="Arial" w:cs="Arial"/>
          <w:color w:val="auto"/>
        </w:rPr>
        <w:t>ugovaranja</w:t>
      </w:r>
      <w:r w:rsidRPr="000640F1" w:rsidR="006C5417">
        <w:rPr>
          <w:rFonts w:ascii="Arial" w:hAnsi="Arial" w:cs="Arial"/>
          <w:color w:val="auto"/>
        </w:rPr>
        <w:t xml:space="preserve"> izbjegao </w:t>
      </w:r>
      <w:r>
        <w:rPr>
          <w:rFonts w:ascii="Arial" w:hAnsi="Arial" w:cs="Arial"/>
          <w:color w:val="auto"/>
        </w:rPr>
        <w:t xml:space="preserve">se </w:t>
      </w:r>
      <w:r w:rsidRPr="000640F1" w:rsidR="006C5417">
        <w:rPr>
          <w:rFonts w:ascii="Arial" w:hAnsi="Arial" w:cs="Arial"/>
          <w:color w:val="auto"/>
        </w:rPr>
        <w:t xml:space="preserve">u potpunosti utjecaj druge ugovorne strane na cijenu, što je protivno odredbi čl.247 ZOO-a koje propisuju da je ugovor sklopljen kad su se ugovorne strane suglasile o bitnim sastojcima ugovora. Nadalje, navodi se kako banke kao trgovci profesionalci nisu korisnicima kredita pružili dovoljno informacija za donošenje odluke utemeljene na potpunoj obavijesti, te ih nisu upoznali sa povećanim rizikom ugovaranja valutne klauzule. </w:t>
      </w:r>
    </w:p>
    <w:p w:rsidR="007F1994" w:rsidP="002610D7" w:rsidRDefault="007F1994">
      <w:pPr>
        <w:pStyle w:val="Default"/>
        <w:ind w:firstLine="708"/>
        <w:jc w:val="both"/>
        <w:rPr>
          <w:rFonts w:ascii="Arial" w:hAnsi="Arial" w:cs="Arial"/>
          <w:color w:val="auto"/>
        </w:rPr>
      </w:pPr>
      <w:r>
        <w:rPr>
          <w:rFonts w:ascii="Arial" w:hAnsi="Arial" w:cs="Arial"/>
          <w:color w:val="auto"/>
        </w:rPr>
        <w:t>1</w:t>
      </w:r>
      <w:r w:rsidR="00E56ABB">
        <w:rPr>
          <w:rFonts w:ascii="Arial" w:hAnsi="Arial" w:cs="Arial"/>
          <w:color w:val="auto"/>
        </w:rPr>
        <w:t>5</w:t>
      </w:r>
      <w:r w:rsidR="002610D7">
        <w:rPr>
          <w:rFonts w:ascii="Arial" w:hAnsi="Arial" w:cs="Arial"/>
          <w:color w:val="auto"/>
        </w:rPr>
        <w:t xml:space="preserve">. </w:t>
      </w:r>
      <w:r w:rsidRPr="000640F1" w:rsidR="006C5417">
        <w:rPr>
          <w:rFonts w:ascii="Arial" w:hAnsi="Arial" w:cs="Arial"/>
          <w:color w:val="auto"/>
        </w:rPr>
        <w:t xml:space="preserve">Odredbom čl.4 ZOO-a propisano je da su se u zasnivanju obveznih odnosa i ostvarivanja prava i obveza iz tih odnosa sudionici dužni pridržavati načela savjesnosti i poštenja. Ovo načelo valja tumačiti na način da treba postojati moralna obveza ugovaratelja prilikom zasnivanja obveznog odnosa. U presudi se zaključno navodi da su banke, vodeći računa samo o svom interesu ne uvažavajući interese potrošača, iskoristivši činjenicu da nema propisa koji im to nalaže, potrošačima nametnule ugovorne odredbe koje potrošače stavljaju u neravnopravan položaj, koje uzrokuje znatnu neravnotežu u pravima i obvezama ugovornih strana i sve to na štetu potrošača, sve suprotno načelu savjesnosti i poštenja. </w:t>
      </w:r>
    </w:p>
    <w:p w:rsidRPr="000640F1" w:rsidR="006C5417" w:rsidP="00615C31" w:rsidRDefault="006C2BF4">
      <w:pPr>
        <w:ind w:firstLine="708"/>
        <w:jc w:val="both"/>
        <w:rPr>
          <w:rFonts w:ascii="Arial" w:hAnsi="Arial" w:cs="Arial"/>
        </w:rPr>
      </w:pPr>
      <w:r>
        <w:rPr>
          <w:rFonts w:ascii="Arial" w:hAnsi="Arial" w:cs="Arial"/>
        </w:rPr>
        <w:t>1</w:t>
      </w:r>
      <w:r w:rsidR="00E56ABB">
        <w:rPr>
          <w:rFonts w:ascii="Arial" w:hAnsi="Arial" w:cs="Arial"/>
        </w:rPr>
        <w:t>6</w:t>
      </w:r>
      <w:r w:rsidR="00615C31">
        <w:rPr>
          <w:rFonts w:ascii="Arial" w:hAnsi="Arial" w:cs="Arial"/>
        </w:rPr>
        <w:t xml:space="preserve">. </w:t>
      </w:r>
      <w:r w:rsidRPr="000640F1" w:rsidR="006C5417">
        <w:rPr>
          <w:rFonts w:ascii="Arial" w:hAnsi="Arial" w:cs="Arial"/>
        </w:rPr>
        <w:t>Prema</w:t>
      </w:r>
      <w:r w:rsidR="00AC32F6">
        <w:rPr>
          <w:rFonts w:ascii="Arial" w:hAnsi="Arial" w:cs="Arial"/>
        </w:rPr>
        <w:t xml:space="preserve"> odredbi</w:t>
      </w:r>
      <w:r w:rsidRPr="000640F1" w:rsidR="006C5417">
        <w:rPr>
          <w:rFonts w:ascii="Arial" w:hAnsi="Arial" w:cs="Arial"/>
        </w:rPr>
        <w:t xml:space="preserve"> čl.1111 st.1 </w:t>
      </w:r>
      <w:r w:rsidRPr="0097782A" w:rsidR="00615C31">
        <w:rPr>
          <w:rFonts w:ascii="Arial" w:hAnsi="Arial" w:cs="Arial"/>
        </w:rPr>
        <w:t>Zakona o obveznim odnosima („Narodne novine“ broj 53/91, 73/91, 3/94,7/96, 91/96, 112/99, 88/01, 35/05, 41/08, 125/11,78/15 i 29/18 u daljnjem tekstu: ZOO)</w:t>
      </w:r>
      <w:r w:rsidR="00615C31">
        <w:rPr>
          <w:rFonts w:ascii="Arial" w:hAnsi="Arial" w:cs="Arial"/>
        </w:rPr>
        <w:t xml:space="preserve"> </w:t>
      </w:r>
      <w:r w:rsidRPr="000640F1" w:rsidR="006C5417">
        <w:rPr>
          <w:rFonts w:ascii="Arial" w:hAnsi="Arial" w:cs="Arial"/>
        </w:rPr>
        <w:t xml:space="preserve">, kad dio imovine neke osobe na bilo koji način prijeđe u imovinu druge osobe, a taj prijelaz nema osnove u nekom pravnom poslu, odluci suda, odnosno druge nadležne vlasti ili zakonu, stjecatelj je dužan vratiti ga, odnosno, ako to nije moguće, naknaditi vrijednost postignute koristi, dok je st.2 istog članka određeno da se pod prijelazom imovine razumijeva i stjecanje koristi izvršenom radnjom. Prema st.3 istog članka obveza vraćanja, odnosno nadoknade vrijednosti </w:t>
      </w:r>
      <w:r w:rsidRPr="000640F1" w:rsidR="006C5417">
        <w:rPr>
          <w:rFonts w:ascii="Arial" w:hAnsi="Arial" w:cs="Arial"/>
        </w:rPr>
        <w:lastRenderedPageBreak/>
        <w:t xml:space="preserve">nastaje i kad se nešto primi s obzirom na osnovu koja se nije ostvarila ili koja je kasnije otpala. </w:t>
      </w:r>
    </w:p>
    <w:p w:rsidRPr="002B06CD" w:rsidR="00E56ABB" w:rsidP="00CE4CAA" w:rsidRDefault="002B06CD">
      <w:pPr>
        <w:pStyle w:val="Odlomakpopisa"/>
        <w:ind w:left="0" w:firstLine="708"/>
        <w:jc w:val="both"/>
        <w:rPr>
          <w:rFonts w:ascii="Arial" w:hAnsi="Arial" w:cs="Arial"/>
        </w:rPr>
      </w:pPr>
      <w:r>
        <w:rPr>
          <w:rFonts w:ascii="Arial" w:hAnsi="Arial" w:cs="Arial"/>
        </w:rPr>
        <w:t>17. Dakle, u slučaju kad je na naprijed navedeni način utvrđeno da je tuženik u predmetnom Ugovoru koristio nepošten</w:t>
      </w:r>
      <w:r w:rsidR="00D074C4">
        <w:rPr>
          <w:rFonts w:ascii="Arial" w:hAnsi="Arial" w:cs="Arial"/>
        </w:rPr>
        <w:t>u</w:t>
      </w:r>
      <w:r>
        <w:rPr>
          <w:rFonts w:ascii="Arial" w:hAnsi="Arial" w:cs="Arial"/>
        </w:rPr>
        <w:t xml:space="preserve"> a time i ništetnu odredbu o valutnoj klauzuli i kod činjenice da je tuženik nespornim učinio visinu tužiteljevog potraživanja valjalo je donijeti odluku kao pod točkom I. izreke ove presude. </w:t>
      </w:r>
    </w:p>
    <w:p w:rsidR="003E503D" w:rsidP="00CE4CAA" w:rsidRDefault="002B06CD">
      <w:pPr>
        <w:pStyle w:val="Odlomakpopisa"/>
        <w:ind w:left="0" w:firstLine="708"/>
        <w:jc w:val="both"/>
        <w:rPr>
          <w:rFonts w:ascii="Arial" w:hAnsi="Arial" w:cs="Arial"/>
        </w:rPr>
      </w:pPr>
      <w:r>
        <w:rPr>
          <w:rFonts w:ascii="Arial" w:hAnsi="Arial" w:cs="Arial"/>
        </w:rPr>
        <w:t xml:space="preserve">18. </w:t>
      </w:r>
      <w:r w:rsidR="003149C9">
        <w:rPr>
          <w:rFonts w:ascii="Arial" w:hAnsi="Arial" w:cs="Arial"/>
        </w:rPr>
        <w:t xml:space="preserve"> </w:t>
      </w:r>
      <w:r w:rsidR="003E503D">
        <w:rPr>
          <w:rFonts w:ascii="Arial" w:hAnsi="Arial" w:cs="Arial"/>
        </w:rPr>
        <w:t>Iako je tuženik artikulirao u konačnici svoj zahtjev glede tzv. negativnih razlika svojim podneskom</w:t>
      </w:r>
      <w:r w:rsidR="00E56ABB">
        <w:rPr>
          <w:rFonts w:ascii="Arial" w:hAnsi="Arial" w:cs="Arial"/>
        </w:rPr>
        <w:t xml:space="preserve"> od 1</w:t>
      </w:r>
      <w:r w:rsidR="00596EB7">
        <w:rPr>
          <w:rFonts w:ascii="Arial" w:hAnsi="Arial" w:cs="Arial"/>
        </w:rPr>
        <w:t>8</w:t>
      </w:r>
      <w:r w:rsidR="00E56ABB">
        <w:rPr>
          <w:rFonts w:ascii="Arial" w:hAnsi="Arial" w:cs="Arial"/>
        </w:rPr>
        <w:t>. s</w:t>
      </w:r>
      <w:r w:rsidR="00596EB7">
        <w:rPr>
          <w:rFonts w:ascii="Arial" w:hAnsi="Arial" w:cs="Arial"/>
        </w:rPr>
        <w:t>rp</w:t>
      </w:r>
      <w:r w:rsidR="00E56ABB">
        <w:rPr>
          <w:rFonts w:ascii="Arial" w:hAnsi="Arial" w:cs="Arial"/>
        </w:rPr>
        <w:t>nja 2025.</w:t>
      </w:r>
      <w:r w:rsidR="003E503D">
        <w:rPr>
          <w:rFonts w:ascii="Arial" w:hAnsi="Arial" w:cs="Arial"/>
        </w:rPr>
        <w:t xml:space="preserve"> </w:t>
      </w:r>
      <w:r w:rsidR="00E56ABB">
        <w:rPr>
          <w:rFonts w:ascii="Arial" w:hAnsi="Arial" w:cs="Arial"/>
        </w:rPr>
        <w:t>P</w:t>
      </w:r>
      <w:r w:rsidR="003E503D">
        <w:rPr>
          <w:rFonts w:ascii="Arial" w:hAnsi="Arial" w:cs="Arial"/>
        </w:rPr>
        <w:t xml:space="preserve">rigovor je postavljen s pojedinačnim iznosima tzv. negativnih razlika premda je već u zastari. Mora se naglasiti da bez obzira na sve, pa i činjenicu da se raspravlja o prigovoru, kao što je to napravio ovaj sud smatrajući isto svrsishodnim za konačno rješenje nastalih problema među strankama, da valja štititi Ustavno i konvencijsko načelo prema kojem nitko ne može imati koristi od vlastitog nezakonitog postupanja. Tužitelj nije ništa od tuženika stekao jer je samo tužitelj u ovom ugovornom odnosu bio taj koji je plaćao. </w:t>
      </w:r>
    </w:p>
    <w:p w:rsidR="002B06CD" w:rsidP="00CE4CAA" w:rsidRDefault="002B06CD">
      <w:pPr>
        <w:pStyle w:val="Odlomakpopisa"/>
        <w:ind w:left="0" w:firstLine="708"/>
        <w:jc w:val="both"/>
        <w:rPr>
          <w:rFonts w:ascii="Arial" w:hAnsi="Arial" w:cs="Arial"/>
        </w:rPr>
      </w:pPr>
      <w:r>
        <w:rPr>
          <w:rFonts w:ascii="Arial" w:hAnsi="Arial" w:cs="Arial"/>
        </w:rPr>
        <w:t xml:space="preserve">18.1. Valja napomenuti da je Ustavni sud Republike Hrvatske u odluci U-III/1068/2022 izrijekom kazao i zauzeo stav o tome da je podnositeljičin prigovor radi prebijanja protutražbine s osnova negativnih tečajnih razlika pao u zastaru s obzirom na to da je podnositeljica (misli se na podnositelja ustavne tužbe, banku sa sjedištem u </w:t>
      </w:r>
      <w:r w:rsidR="00D8371D">
        <w:rPr>
          <w:rFonts w:ascii="Arial" w:hAnsi="Arial" w:cs="Arial"/>
        </w:rPr>
        <w:t>Splitu</w:t>
      </w:r>
      <w:r>
        <w:rPr>
          <w:rFonts w:ascii="Arial" w:hAnsi="Arial" w:cs="Arial"/>
        </w:rPr>
        <w:t>) trgovac a ne potrošač, zbog čega se na nju ne primjenjuju stajališta Vrhovnog suda RH o prekidu roka zastare pokretanjem kolektivnog spora.</w:t>
      </w:r>
    </w:p>
    <w:p w:rsidR="002B06CD" w:rsidP="00CE4CAA" w:rsidRDefault="002B06CD">
      <w:pPr>
        <w:pStyle w:val="Odlomakpopisa"/>
        <w:ind w:left="0" w:firstLine="708"/>
        <w:jc w:val="both"/>
        <w:rPr>
          <w:rFonts w:ascii="Arial" w:hAnsi="Arial" w:cs="Arial"/>
        </w:rPr>
      </w:pPr>
      <w:r>
        <w:rPr>
          <w:rFonts w:ascii="Arial" w:hAnsi="Arial" w:cs="Arial"/>
        </w:rPr>
        <w:t>18.2. Slijedom iznijetog odlučeno je kao pod točkom II. izreke ove presude.</w:t>
      </w:r>
    </w:p>
    <w:p w:rsidR="00AC32F6" w:rsidP="00AC32F6" w:rsidRDefault="002B06CD">
      <w:pPr>
        <w:ind w:firstLine="708"/>
        <w:jc w:val="both"/>
        <w:rPr>
          <w:rFonts w:ascii="Arial" w:hAnsi="Arial" w:cs="Arial"/>
        </w:rPr>
      </w:pPr>
      <w:r>
        <w:rPr>
          <w:rFonts w:ascii="Arial" w:hAnsi="Arial" w:cs="Arial"/>
        </w:rPr>
        <w:t xml:space="preserve">19. </w:t>
      </w:r>
      <w:r w:rsidRPr="00821040" w:rsidR="006C5417">
        <w:rPr>
          <w:rFonts w:ascii="Arial" w:hAnsi="Arial" w:cs="Arial"/>
        </w:rPr>
        <w:t xml:space="preserve">Odluka o parničnom trošku </w:t>
      </w:r>
      <w:r w:rsidR="006C2BF4">
        <w:rPr>
          <w:rFonts w:ascii="Arial" w:hAnsi="Arial" w:cs="Arial"/>
        </w:rPr>
        <w:t>temelji se na odredbi čl.</w:t>
      </w:r>
      <w:r w:rsidRPr="00821040" w:rsidR="006C5417">
        <w:rPr>
          <w:rFonts w:ascii="Arial" w:hAnsi="Arial" w:cs="Arial"/>
        </w:rPr>
        <w:t>154 st.2 Z</w:t>
      </w:r>
      <w:r w:rsidR="006C2BF4">
        <w:rPr>
          <w:rFonts w:ascii="Arial" w:hAnsi="Arial" w:cs="Arial"/>
        </w:rPr>
        <w:t>PP-a</w:t>
      </w:r>
      <w:r w:rsidRPr="00821040" w:rsidR="006C5417">
        <w:rPr>
          <w:rFonts w:ascii="Arial" w:hAnsi="Arial" w:cs="Arial"/>
        </w:rPr>
        <w:t>, a tužitelj</w:t>
      </w:r>
      <w:r w:rsidR="006C2BF4">
        <w:rPr>
          <w:rFonts w:ascii="Arial" w:hAnsi="Arial" w:cs="Arial"/>
        </w:rPr>
        <w:t>u</w:t>
      </w:r>
      <w:r w:rsidR="001D25E3">
        <w:rPr>
          <w:rFonts w:ascii="Arial" w:hAnsi="Arial" w:cs="Arial"/>
        </w:rPr>
        <w:t xml:space="preserve"> </w:t>
      </w:r>
      <w:r w:rsidRPr="00821040" w:rsidR="006C5417">
        <w:rPr>
          <w:rFonts w:ascii="Arial" w:hAnsi="Arial" w:cs="Arial"/>
        </w:rPr>
        <w:t xml:space="preserve">je obistinjen trošak kako slijedi: za sastav tužbe, </w:t>
      </w:r>
      <w:r w:rsidR="000F0BA2">
        <w:rPr>
          <w:rFonts w:ascii="Arial" w:hAnsi="Arial" w:cs="Arial"/>
        </w:rPr>
        <w:t xml:space="preserve">za </w:t>
      </w:r>
      <w:r w:rsidRPr="00821040" w:rsidR="006C5417">
        <w:rPr>
          <w:rFonts w:ascii="Arial" w:hAnsi="Arial" w:cs="Arial"/>
        </w:rPr>
        <w:t>sastav</w:t>
      </w:r>
      <w:r w:rsidR="00CA153F">
        <w:rPr>
          <w:rFonts w:ascii="Arial" w:hAnsi="Arial" w:cs="Arial"/>
        </w:rPr>
        <w:t xml:space="preserve"> obrazložen</w:t>
      </w:r>
      <w:r w:rsidR="00093207">
        <w:rPr>
          <w:rFonts w:ascii="Arial" w:hAnsi="Arial" w:cs="Arial"/>
        </w:rPr>
        <w:t>og podneska</w:t>
      </w:r>
      <w:r w:rsidR="004958F0">
        <w:rPr>
          <w:rFonts w:ascii="Arial" w:hAnsi="Arial" w:cs="Arial"/>
        </w:rPr>
        <w:t xml:space="preserve"> </w:t>
      </w:r>
      <w:r w:rsidR="00093207">
        <w:rPr>
          <w:rFonts w:ascii="Arial" w:hAnsi="Arial" w:cs="Arial"/>
        </w:rPr>
        <w:t xml:space="preserve">od </w:t>
      </w:r>
      <w:r w:rsidR="00596EB7">
        <w:rPr>
          <w:rFonts w:ascii="Arial" w:hAnsi="Arial" w:cs="Arial"/>
        </w:rPr>
        <w:t>11</w:t>
      </w:r>
      <w:r w:rsidR="00AC32F6">
        <w:rPr>
          <w:rFonts w:ascii="Arial" w:hAnsi="Arial" w:cs="Arial"/>
        </w:rPr>
        <w:t xml:space="preserve">. </w:t>
      </w:r>
      <w:r w:rsidR="00596EB7">
        <w:rPr>
          <w:rFonts w:ascii="Arial" w:hAnsi="Arial" w:cs="Arial"/>
        </w:rPr>
        <w:t>lip</w:t>
      </w:r>
      <w:r w:rsidR="00093207">
        <w:rPr>
          <w:rFonts w:ascii="Arial" w:hAnsi="Arial" w:cs="Arial"/>
        </w:rPr>
        <w:t>nja 202</w:t>
      </w:r>
      <w:r w:rsidR="00596EB7">
        <w:rPr>
          <w:rFonts w:ascii="Arial" w:hAnsi="Arial" w:cs="Arial"/>
        </w:rPr>
        <w:t>6</w:t>
      </w:r>
      <w:r w:rsidR="00093207">
        <w:rPr>
          <w:rFonts w:ascii="Arial" w:hAnsi="Arial" w:cs="Arial"/>
        </w:rPr>
        <w:t>. te za pristup i</w:t>
      </w:r>
      <w:r w:rsidR="00AC32F6">
        <w:rPr>
          <w:rFonts w:ascii="Arial" w:hAnsi="Arial" w:cs="Arial"/>
        </w:rPr>
        <w:t xml:space="preserve"> za </w:t>
      </w:r>
      <w:r w:rsidR="00093207">
        <w:rPr>
          <w:rFonts w:ascii="Arial" w:hAnsi="Arial" w:cs="Arial"/>
        </w:rPr>
        <w:t>zastupanje</w:t>
      </w:r>
      <w:r w:rsidR="00CA153F">
        <w:rPr>
          <w:rFonts w:ascii="Arial" w:hAnsi="Arial" w:cs="Arial"/>
        </w:rPr>
        <w:t xml:space="preserve"> </w:t>
      </w:r>
      <w:r w:rsidR="00093207">
        <w:rPr>
          <w:rFonts w:ascii="Arial" w:hAnsi="Arial" w:cs="Arial"/>
        </w:rPr>
        <w:t>na ročišt</w:t>
      </w:r>
      <w:r w:rsidR="00596EB7">
        <w:rPr>
          <w:rFonts w:ascii="Arial" w:hAnsi="Arial" w:cs="Arial"/>
        </w:rPr>
        <w:t>ima</w:t>
      </w:r>
      <w:r w:rsidR="00093207">
        <w:rPr>
          <w:rFonts w:ascii="Arial" w:hAnsi="Arial" w:cs="Arial"/>
        </w:rPr>
        <w:t xml:space="preserve"> od </w:t>
      </w:r>
      <w:r w:rsidR="00596EB7">
        <w:rPr>
          <w:rFonts w:ascii="Arial" w:hAnsi="Arial" w:cs="Arial"/>
        </w:rPr>
        <w:t>03</w:t>
      </w:r>
      <w:r w:rsidR="00093207">
        <w:rPr>
          <w:rFonts w:ascii="Arial" w:hAnsi="Arial" w:cs="Arial"/>
        </w:rPr>
        <w:t xml:space="preserve">. </w:t>
      </w:r>
      <w:r w:rsidR="00596EB7">
        <w:rPr>
          <w:rFonts w:ascii="Arial" w:hAnsi="Arial" w:cs="Arial"/>
        </w:rPr>
        <w:t>ožujka, 09. lipnja i 02. srpnja</w:t>
      </w:r>
      <w:r w:rsidR="00093207">
        <w:rPr>
          <w:rFonts w:ascii="Arial" w:hAnsi="Arial" w:cs="Arial"/>
        </w:rPr>
        <w:t xml:space="preserve"> 2026.</w:t>
      </w:r>
      <w:r w:rsidR="004958F0">
        <w:rPr>
          <w:rFonts w:ascii="Arial" w:hAnsi="Arial" w:cs="Arial"/>
        </w:rPr>
        <w:t xml:space="preserve"> </w:t>
      </w:r>
      <w:r w:rsidR="00CA153F">
        <w:rPr>
          <w:rFonts w:ascii="Arial" w:hAnsi="Arial" w:cs="Arial"/>
        </w:rPr>
        <w:t>-</w:t>
      </w:r>
      <w:r w:rsidR="004958F0">
        <w:rPr>
          <w:rFonts w:ascii="Arial" w:hAnsi="Arial" w:cs="Arial"/>
        </w:rPr>
        <w:t xml:space="preserve"> </w:t>
      </w:r>
      <w:r w:rsidR="001D25E3">
        <w:rPr>
          <w:rFonts w:ascii="Arial" w:hAnsi="Arial" w:cs="Arial"/>
        </w:rPr>
        <w:t>svaka radnja</w:t>
      </w:r>
      <w:r w:rsidRPr="00821040" w:rsidR="006C5417">
        <w:rPr>
          <w:rFonts w:ascii="Arial" w:hAnsi="Arial" w:cs="Arial"/>
        </w:rPr>
        <w:t xml:space="preserve"> po </w:t>
      </w:r>
      <w:r w:rsidR="004958F0">
        <w:rPr>
          <w:rFonts w:ascii="Arial" w:hAnsi="Arial" w:cs="Arial"/>
        </w:rPr>
        <w:t>10</w:t>
      </w:r>
      <w:r w:rsidRPr="00821040" w:rsidR="006C5417">
        <w:rPr>
          <w:rFonts w:ascii="Arial" w:hAnsi="Arial" w:cs="Arial"/>
        </w:rPr>
        <w:t>0</w:t>
      </w:r>
      <w:r w:rsidR="004958F0">
        <w:rPr>
          <w:rFonts w:ascii="Arial" w:hAnsi="Arial" w:cs="Arial"/>
        </w:rPr>
        <w:t xml:space="preserve"> bodova</w:t>
      </w:r>
      <w:r w:rsidR="00596EB7">
        <w:rPr>
          <w:rFonts w:ascii="Arial" w:hAnsi="Arial" w:cs="Arial"/>
        </w:rPr>
        <w:t xml:space="preserve"> te za pristup ročištu radi objave o uručenja odluke na dan 22. srpnja 2026 – 50 bodova</w:t>
      </w:r>
      <w:r w:rsidR="00093207">
        <w:rPr>
          <w:rFonts w:ascii="Arial" w:hAnsi="Arial" w:cs="Arial"/>
        </w:rPr>
        <w:t xml:space="preserve">. Ukupan zbir od </w:t>
      </w:r>
      <w:r w:rsidR="00596EB7">
        <w:rPr>
          <w:rFonts w:ascii="Arial" w:hAnsi="Arial" w:cs="Arial"/>
        </w:rPr>
        <w:t>550</w:t>
      </w:r>
      <w:r w:rsidR="00AC32F6">
        <w:rPr>
          <w:rFonts w:ascii="Arial" w:hAnsi="Arial" w:cs="Arial"/>
        </w:rPr>
        <w:t xml:space="preserve"> bodova pomnožen je sa iznosom od 2,00 €, koliko iznosi vrijednost jednog bo</w:t>
      </w:r>
      <w:r w:rsidR="00093207">
        <w:rPr>
          <w:rFonts w:ascii="Arial" w:hAnsi="Arial" w:cs="Arial"/>
        </w:rPr>
        <w:t xml:space="preserve">da, te je tako dobiven iznos </w:t>
      </w:r>
      <w:r w:rsidR="00505DE8">
        <w:rPr>
          <w:rFonts w:ascii="Arial" w:hAnsi="Arial" w:cs="Arial"/>
        </w:rPr>
        <w:t>1.100,00</w:t>
      </w:r>
      <w:r w:rsidR="00AC32F6">
        <w:rPr>
          <w:rFonts w:ascii="Arial" w:hAnsi="Arial" w:cs="Arial"/>
        </w:rPr>
        <w:t xml:space="preserve"> € koj</w:t>
      </w:r>
      <w:r w:rsidR="00093207">
        <w:rPr>
          <w:rFonts w:ascii="Arial" w:hAnsi="Arial" w:cs="Arial"/>
        </w:rPr>
        <w:t xml:space="preserve">em je pridodan još i iznos od </w:t>
      </w:r>
      <w:r w:rsidR="00505DE8">
        <w:rPr>
          <w:rFonts w:ascii="Arial" w:hAnsi="Arial" w:cs="Arial"/>
        </w:rPr>
        <w:t>275,00</w:t>
      </w:r>
      <w:r w:rsidR="00093207">
        <w:rPr>
          <w:rFonts w:ascii="Arial" w:hAnsi="Arial" w:cs="Arial"/>
        </w:rPr>
        <w:t xml:space="preserve"> € na ime 25% PDV-a</w:t>
      </w:r>
      <w:r w:rsidR="00505DE8">
        <w:rPr>
          <w:rFonts w:ascii="Arial" w:hAnsi="Arial" w:cs="Arial"/>
        </w:rPr>
        <w:t xml:space="preserve"> te trošak za vještačenje u visini od 332,00 €</w:t>
      </w:r>
      <w:r w:rsidR="00093207">
        <w:rPr>
          <w:rFonts w:ascii="Arial" w:hAnsi="Arial" w:cs="Arial"/>
        </w:rPr>
        <w:t>.</w:t>
      </w:r>
      <w:r w:rsidR="00AC32F6">
        <w:rPr>
          <w:rFonts w:ascii="Arial" w:hAnsi="Arial" w:cs="Arial"/>
        </w:rPr>
        <w:t xml:space="preserve"> Matematičkom operacijom zbrajanja navedenih iznosa dobiven je ukupan iznos parničnog troška koji je tužitelju prouzročen, a nadoknaditi će mu ga tuženik, kao stranka koja je postupak izgubil</w:t>
      </w:r>
      <w:r w:rsidR="00683362">
        <w:rPr>
          <w:rFonts w:ascii="Arial" w:hAnsi="Arial" w:cs="Arial"/>
        </w:rPr>
        <w:t xml:space="preserve">a u cijelosti, u visini od </w:t>
      </w:r>
      <w:r w:rsidR="00505DE8">
        <w:rPr>
          <w:rFonts w:ascii="Arial" w:hAnsi="Arial" w:cs="Arial"/>
        </w:rPr>
        <w:t>1.707,00</w:t>
      </w:r>
      <w:r w:rsidR="00AC32F6">
        <w:rPr>
          <w:rFonts w:ascii="Arial" w:hAnsi="Arial" w:cs="Arial"/>
        </w:rPr>
        <w:t xml:space="preserve"> €.</w:t>
      </w:r>
      <w:r w:rsidR="00093207">
        <w:rPr>
          <w:rFonts w:ascii="Arial" w:hAnsi="Arial" w:cs="Arial"/>
        </w:rPr>
        <w:t xml:space="preserve"> </w:t>
      </w:r>
    </w:p>
    <w:p w:rsidRPr="00AC32F6" w:rsidR="00AC32F6" w:rsidP="00AC32F6" w:rsidRDefault="00093207">
      <w:pPr>
        <w:ind w:firstLine="708"/>
        <w:jc w:val="both"/>
      </w:pPr>
      <w:r>
        <w:rPr>
          <w:rFonts w:ascii="Arial" w:hAnsi="Arial" w:cs="Arial"/>
        </w:rPr>
        <w:t>19</w:t>
      </w:r>
      <w:r w:rsidR="00AC32F6">
        <w:rPr>
          <w:rFonts w:ascii="Arial" w:hAnsi="Arial" w:cs="Arial"/>
        </w:rPr>
        <w:t>.</w:t>
      </w:r>
      <w:r>
        <w:rPr>
          <w:rFonts w:ascii="Arial" w:hAnsi="Arial" w:cs="Arial"/>
        </w:rPr>
        <w:t>1.</w:t>
      </w:r>
      <w:r w:rsidR="00AC32F6">
        <w:rPr>
          <w:rFonts w:ascii="Arial" w:hAnsi="Arial" w:cs="Arial"/>
        </w:rPr>
        <w:t xml:space="preserve"> </w:t>
      </w:r>
      <w:r w:rsidRPr="00163390" w:rsidR="00AC32F6">
        <w:rPr>
          <w:rFonts w:ascii="Arial" w:hAnsi="Arial" w:cs="Arial"/>
        </w:rPr>
        <w:t xml:space="preserve">Kamate na </w:t>
      </w:r>
      <w:r w:rsidR="00AC32F6">
        <w:rPr>
          <w:rFonts w:ascii="Arial" w:hAnsi="Arial" w:cs="Arial"/>
        </w:rPr>
        <w:t xml:space="preserve">tako dosuđeni </w:t>
      </w:r>
      <w:r w:rsidRPr="00163390" w:rsidR="00AC32F6">
        <w:rPr>
          <w:rFonts w:ascii="Arial" w:hAnsi="Arial" w:cs="Arial"/>
        </w:rPr>
        <w:t xml:space="preserve">trošak su temeljem </w:t>
      </w:r>
      <w:r w:rsidR="00AC32F6">
        <w:rPr>
          <w:rFonts w:ascii="Arial" w:hAnsi="Arial" w:cs="Arial"/>
        </w:rPr>
        <w:t xml:space="preserve">odredbe </w:t>
      </w:r>
      <w:r w:rsidRPr="00163390" w:rsidR="00AC32F6">
        <w:rPr>
          <w:rFonts w:ascii="Arial" w:hAnsi="Arial" w:cs="Arial"/>
        </w:rPr>
        <w:t>čl.30</w:t>
      </w:r>
      <w:r w:rsidR="00AC32F6">
        <w:rPr>
          <w:rFonts w:ascii="Arial" w:hAnsi="Arial" w:cs="Arial"/>
        </w:rPr>
        <w:t xml:space="preserve"> </w:t>
      </w:r>
      <w:r w:rsidRPr="00163390" w:rsidR="00AC32F6">
        <w:rPr>
          <w:rFonts w:ascii="Arial" w:hAnsi="Arial" w:cs="Arial"/>
        </w:rPr>
        <w:t xml:space="preserve">st.2 Ovršnog zakona ("Narodne novine" br. 112/12, 25/13, 93/14, 55/16 i 73/17) </w:t>
      </w:r>
      <w:r w:rsidR="00AC32F6">
        <w:rPr>
          <w:rFonts w:ascii="Arial" w:hAnsi="Arial" w:cs="Arial"/>
        </w:rPr>
        <w:t xml:space="preserve">tužitelju </w:t>
      </w:r>
      <w:r w:rsidRPr="00163390" w:rsidR="00AC32F6">
        <w:rPr>
          <w:rFonts w:ascii="Arial" w:hAnsi="Arial" w:cs="Arial"/>
        </w:rPr>
        <w:t>dosuđene od presuđenja do isplate.</w:t>
      </w:r>
    </w:p>
    <w:p w:rsidR="006C5417" w:rsidP="007A453C" w:rsidRDefault="006C2BF4">
      <w:pPr>
        <w:pStyle w:val="Default"/>
        <w:ind w:firstLine="708"/>
        <w:jc w:val="both"/>
        <w:rPr>
          <w:rFonts w:ascii="Arial" w:hAnsi="Arial" w:cs="Arial"/>
          <w:color w:val="auto"/>
        </w:rPr>
      </w:pPr>
      <w:r>
        <w:rPr>
          <w:rFonts w:ascii="Arial" w:hAnsi="Arial" w:cs="Arial"/>
          <w:color w:val="auto"/>
        </w:rPr>
        <w:t>2</w:t>
      </w:r>
      <w:r w:rsidR="00093207">
        <w:rPr>
          <w:rFonts w:ascii="Arial" w:hAnsi="Arial" w:cs="Arial"/>
          <w:color w:val="auto"/>
        </w:rPr>
        <w:t>0.</w:t>
      </w:r>
      <w:r w:rsidR="004958F0">
        <w:rPr>
          <w:rFonts w:ascii="Arial" w:hAnsi="Arial" w:cs="Arial"/>
          <w:color w:val="auto"/>
        </w:rPr>
        <w:t xml:space="preserve"> </w:t>
      </w:r>
      <w:r w:rsidR="009E3628">
        <w:rPr>
          <w:rFonts w:ascii="Arial" w:hAnsi="Arial" w:cs="Arial"/>
          <w:color w:val="auto"/>
        </w:rPr>
        <w:t xml:space="preserve">Slijedom navedenog odlučeno je kao pod točkom </w:t>
      </w:r>
      <w:r w:rsidR="004958F0">
        <w:rPr>
          <w:rFonts w:ascii="Arial" w:hAnsi="Arial" w:cs="Arial"/>
          <w:color w:val="auto"/>
        </w:rPr>
        <w:t>I</w:t>
      </w:r>
      <w:r>
        <w:rPr>
          <w:rFonts w:ascii="Arial" w:hAnsi="Arial" w:cs="Arial"/>
          <w:color w:val="auto"/>
        </w:rPr>
        <w:t>I</w:t>
      </w:r>
      <w:r w:rsidR="00093207">
        <w:rPr>
          <w:rFonts w:ascii="Arial" w:hAnsi="Arial" w:cs="Arial"/>
          <w:color w:val="auto"/>
        </w:rPr>
        <w:t>I</w:t>
      </w:r>
      <w:r w:rsidR="009E3628">
        <w:rPr>
          <w:rFonts w:ascii="Arial" w:hAnsi="Arial" w:cs="Arial"/>
          <w:color w:val="auto"/>
        </w:rPr>
        <w:t>. izreke ove presude.</w:t>
      </w:r>
    </w:p>
    <w:p w:rsidRPr="00821040" w:rsidR="00821040" w:rsidP="000640F1" w:rsidRDefault="00821040">
      <w:pPr>
        <w:pStyle w:val="Default"/>
        <w:jc w:val="both"/>
        <w:rPr>
          <w:rFonts w:ascii="Arial" w:hAnsi="Arial" w:cs="Arial"/>
          <w:color w:val="auto"/>
        </w:rPr>
      </w:pPr>
    </w:p>
    <w:p w:rsidR="006C5417" w:rsidP="00821040" w:rsidRDefault="00873220">
      <w:pPr>
        <w:pStyle w:val="Default"/>
        <w:jc w:val="center"/>
        <w:rPr>
          <w:rFonts w:ascii="Arial" w:hAnsi="Arial" w:cs="Arial"/>
          <w:color w:val="auto"/>
        </w:rPr>
      </w:pPr>
      <w:r>
        <w:rPr>
          <w:rFonts w:ascii="Arial" w:hAnsi="Arial" w:cs="Arial"/>
          <w:color w:val="auto"/>
        </w:rPr>
        <w:t xml:space="preserve">U Splitu, </w:t>
      </w:r>
      <w:r w:rsidR="005B4BF6">
        <w:rPr>
          <w:rFonts w:ascii="Arial" w:hAnsi="Arial" w:cs="Arial"/>
          <w:color w:val="auto"/>
        </w:rPr>
        <w:t>22</w:t>
      </w:r>
      <w:r w:rsidRPr="00821040" w:rsidR="006C5417">
        <w:rPr>
          <w:rFonts w:ascii="Arial" w:hAnsi="Arial" w:cs="Arial"/>
          <w:color w:val="auto"/>
        </w:rPr>
        <w:t xml:space="preserve">. </w:t>
      </w:r>
      <w:r w:rsidR="00605DC0">
        <w:rPr>
          <w:rFonts w:ascii="Arial" w:hAnsi="Arial" w:cs="Arial"/>
          <w:color w:val="auto"/>
        </w:rPr>
        <w:t>sr</w:t>
      </w:r>
      <w:r w:rsidR="003479AE">
        <w:rPr>
          <w:rFonts w:ascii="Arial" w:hAnsi="Arial" w:cs="Arial"/>
          <w:color w:val="auto"/>
        </w:rPr>
        <w:t>p</w:t>
      </w:r>
      <w:r w:rsidR="00727249">
        <w:rPr>
          <w:rFonts w:ascii="Arial" w:hAnsi="Arial" w:cs="Arial"/>
          <w:color w:val="auto"/>
        </w:rPr>
        <w:t>nj</w:t>
      </w:r>
      <w:r>
        <w:rPr>
          <w:rFonts w:ascii="Arial" w:hAnsi="Arial" w:cs="Arial"/>
          <w:color w:val="auto"/>
        </w:rPr>
        <w:t>a</w:t>
      </w:r>
      <w:r w:rsidRPr="00821040" w:rsidR="006C5417">
        <w:rPr>
          <w:rFonts w:ascii="Arial" w:hAnsi="Arial" w:cs="Arial"/>
          <w:color w:val="auto"/>
        </w:rPr>
        <w:t xml:space="preserve"> 202</w:t>
      </w:r>
      <w:r w:rsidR="00605DC0">
        <w:rPr>
          <w:rFonts w:ascii="Arial" w:hAnsi="Arial" w:cs="Arial"/>
          <w:color w:val="auto"/>
        </w:rPr>
        <w:t>6</w:t>
      </w:r>
      <w:r w:rsidRPr="00821040" w:rsidR="006C5417">
        <w:rPr>
          <w:rFonts w:ascii="Arial" w:hAnsi="Arial" w:cs="Arial"/>
          <w:color w:val="auto"/>
        </w:rPr>
        <w:t>.</w:t>
      </w:r>
    </w:p>
    <w:p w:rsidRPr="00821040" w:rsidR="00821040" w:rsidP="00821040" w:rsidRDefault="00821040">
      <w:pPr>
        <w:pStyle w:val="Default"/>
        <w:jc w:val="center"/>
        <w:rPr>
          <w:rFonts w:ascii="Arial" w:hAnsi="Arial" w:cs="Arial"/>
          <w:color w:val="auto"/>
        </w:rPr>
      </w:pPr>
    </w:p>
    <w:p w:rsidRPr="00821040" w:rsidR="006C5417" w:rsidP="00821040" w:rsidRDefault="00821040">
      <w:pPr>
        <w:pStyle w:val="Default"/>
        <w:ind w:left="6372" w:firstLine="708"/>
        <w:rPr>
          <w:rFonts w:ascii="Arial" w:hAnsi="Arial" w:cs="Arial"/>
          <w:bCs/>
          <w:iCs/>
          <w:color w:val="auto"/>
        </w:rPr>
      </w:pPr>
      <w:r>
        <w:rPr>
          <w:rFonts w:ascii="Arial" w:hAnsi="Arial" w:cs="Arial"/>
          <w:bCs/>
          <w:iCs/>
          <w:color w:val="auto"/>
        </w:rPr>
        <w:t xml:space="preserve">  </w:t>
      </w:r>
      <w:r w:rsidRPr="00821040" w:rsidR="006C5417">
        <w:rPr>
          <w:rFonts w:ascii="Arial" w:hAnsi="Arial" w:cs="Arial"/>
          <w:bCs/>
          <w:iCs/>
          <w:color w:val="auto"/>
        </w:rPr>
        <w:t xml:space="preserve">S U D A C </w:t>
      </w:r>
    </w:p>
    <w:p w:rsidRPr="00821040" w:rsidR="00821040" w:rsidP="006C5417" w:rsidRDefault="00821040">
      <w:pPr>
        <w:pStyle w:val="Default"/>
        <w:rPr>
          <w:rFonts w:ascii="Arial" w:hAnsi="Arial" w:cs="Arial"/>
          <w:color w:val="auto"/>
        </w:rPr>
      </w:pPr>
    </w:p>
    <w:p w:rsidR="00821040" w:rsidP="00821040" w:rsidRDefault="00821040">
      <w:pPr>
        <w:pStyle w:val="Default"/>
        <w:ind w:left="6372" w:firstLine="708"/>
        <w:rPr>
          <w:rFonts w:ascii="Arial" w:hAnsi="Arial" w:cs="Arial"/>
          <w:bCs/>
          <w:color w:val="auto"/>
        </w:rPr>
      </w:pPr>
      <w:r w:rsidRPr="00821040">
        <w:rPr>
          <w:rFonts w:ascii="Arial" w:hAnsi="Arial" w:cs="Arial"/>
          <w:bCs/>
          <w:color w:val="auto"/>
        </w:rPr>
        <w:t>Dunja Ljubičić</w:t>
      </w:r>
    </w:p>
    <w:p w:rsidR="004B7B37" w:rsidP="00821040" w:rsidRDefault="004B7B37">
      <w:pPr>
        <w:pStyle w:val="Default"/>
        <w:ind w:left="6372" w:firstLine="708"/>
        <w:rPr>
          <w:rFonts w:ascii="Arial" w:hAnsi="Arial" w:cs="Arial"/>
          <w:bCs/>
          <w:color w:val="auto"/>
        </w:rPr>
      </w:pPr>
    </w:p>
    <w:p w:rsidR="004B7B37" w:rsidP="00821040" w:rsidRDefault="004B7B37">
      <w:pPr>
        <w:pStyle w:val="Default"/>
        <w:ind w:left="6372" w:firstLine="708"/>
        <w:rPr>
          <w:rFonts w:ascii="Arial" w:hAnsi="Arial" w:cs="Arial"/>
          <w:bCs/>
          <w:color w:val="auto"/>
        </w:rPr>
      </w:pPr>
    </w:p>
    <w:p w:rsidR="004B7B37" w:rsidP="00821040" w:rsidRDefault="004B7B37">
      <w:pPr>
        <w:pStyle w:val="Default"/>
        <w:ind w:left="6372" w:firstLine="708"/>
        <w:rPr>
          <w:rFonts w:ascii="Arial" w:hAnsi="Arial" w:cs="Arial"/>
          <w:bCs/>
          <w:color w:val="auto"/>
        </w:rPr>
      </w:pPr>
    </w:p>
    <w:p w:rsidR="004B7B37" w:rsidP="00821040" w:rsidRDefault="004B7B37">
      <w:pPr>
        <w:pStyle w:val="Default"/>
        <w:ind w:left="6372" w:firstLine="708"/>
        <w:rPr>
          <w:rFonts w:ascii="Arial" w:hAnsi="Arial" w:cs="Arial"/>
          <w:bCs/>
          <w:color w:val="auto"/>
        </w:rPr>
      </w:pPr>
    </w:p>
    <w:p w:rsidR="004B7B37" w:rsidP="00821040" w:rsidRDefault="004B7B37">
      <w:pPr>
        <w:pStyle w:val="Default"/>
        <w:ind w:left="6372" w:firstLine="708"/>
        <w:rPr>
          <w:rFonts w:ascii="Arial" w:hAnsi="Arial" w:cs="Arial"/>
          <w:bCs/>
          <w:color w:val="auto"/>
        </w:rPr>
      </w:pPr>
    </w:p>
    <w:p w:rsidR="004B7B37" w:rsidP="00821040" w:rsidRDefault="004B7B37">
      <w:pPr>
        <w:pStyle w:val="Default"/>
        <w:ind w:left="6372" w:firstLine="708"/>
        <w:rPr>
          <w:rFonts w:ascii="Arial" w:hAnsi="Arial" w:cs="Arial"/>
          <w:bCs/>
          <w:color w:val="auto"/>
        </w:rPr>
      </w:pPr>
    </w:p>
    <w:p w:rsidR="004B7B37" w:rsidP="00821040" w:rsidRDefault="004B7B37">
      <w:pPr>
        <w:pStyle w:val="Default"/>
        <w:ind w:left="6372" w:firstLine="708"/>
        <w:rPr>
          <w:rFonts w:ascii="Arial" w:hAnsi="Arial" w:cs="Arial"/>
          <w:bCs/>
          <w:color w:val="auto"/>
        </w:rPr>
      </w:pPr>
    </w:p>
    <w:p w:rsidR="004B7B37" w:rsidP="00821040" w:rsidRDefault="004B7B37">
      <w:pPr>
        <w:pStyle w:val="Default"/>
        <w:ind w:left="6372" w:firstLine="708"/>
        <w:rPr>
          <w:rFonts w:ascii="Arial" w:hAnsi="Arial" w:cs="Arial"/>
          <w:bCs/>
          <w:color w:val="auto"/>
        </w:rPr>
      </w:pPr>
    </w:p>
    <w:p w:rsidRPr="00821040" w:rsidR="00821040" w:rsidP="006C5417" w:rsidRDefault="00821040">
      <w:pPr>
        <w:pStyle w:val="Default"/>
        <w:rPr>
          <w:rFonts w:ascii="Arial" w:hAnsi="Arial" w:cs="Arial"/>
          <w:bCs/>
          <w:color w:val="auto"/>
        </w:rPr>
      </w:pPr>
    </w:p>
    <w:p w:rsidR="009E3628" w:rsidP="00821040" w:rsidRDefault="006C5417">
      <w:pPr>
        <w:pStyle w:val="Default"/>
        <w:jc w:val="both"/>
        <w:rPr>
          <w:rFonts w:ascii="Arial" w:hAnsi="Arial" w:cs="Arial"/>
          <w:color w:val="auto"/>
        </w:rPr>
      </w:pPr>
      <w:r w:rsidRPr="00821040">
        <w:rPr>
          <w:rFonts w:ascii="Arial" w:hAnsi="Arial" w:cs="Arial"/>
          <w:bCs/>
          <w:color w:val="auto"/>
        </w:rPr>
        <w:t>UPUTA O PRAVNOM LIJEKU</w:t>
      </w:r>
      <w:r w:rsidRPr="00821040">
        <w:rPr>
          <w:rFonts w:ascii="Arial" w:hAnsi="Arial" w:cs="Arial"/>
          <w:color w:val="auto"/>
        </w:rPr>
        <w:t xml:space="preserve">: Protiv ove presude dopuštena je žalba </w:t>
      </w:r>
      <w:r w:rsidR="00821040">
        <w:rPr>
          <w:rFonts w:ascii="Arial" w:hAnsi="Arial" w:cs="Arial"/>
          <w:color w:val="auto"/>
        </w:rPr>
        <w:t>ž</w:t>
      </w:r>
      <w:r w:rsidRPr="00821040">
        <w:rPr>
          <w:rFonts w:ascii="Arial" w:hAnsi="Arial" w:cs="Arial"/>
          <w:color w:val="auto"/>
        </w:rPr>
        <w:t xml:space="preserve">upanijskom sudu. Žalba se podnosi putem ovog suda u 3 primjeraka, u roku 15 dana od dana </w:t>
      </w:r>
      <w:r w:rsidR="004B7B37">
        <w:rPr>
          <w:rFonts w:ascii="Arial" w:hAnsi="Arial" w:cs="Arial"/>
          <w:color w:val="auto"/>
        </w:rPr>
        <w:t>objave iste</w:t>
      </w:r>
      <w:r w:rsidRPr="00821040">
        <w:rPr>
          <w:rFonts w:ascii="Arial" w:hAnsi="Arial" w:cs="Arial"/>
          <w:color w:val="auto"/>
        </w:rPr>
        <w:t xml:space="preserve">. </w:t>
      </w:r>
    </w:p>
    <w:p w:rsidR="00CA153F" w:rsidP="00CA153F" w:rsidRDefault="006C5417">
      <w:pPr>
        <w:pStyle w:val="Default"/>
        <w:jc w:val="both"/>
        <w:rPr>
          <w:rFonts w:ascii="Arial" w:hAnsi="Arial" w:cs="Arial"/>
          <w:color w:val="auto"/>
        </w:rPr>
      </w:pPr>
      <w:r w:rsidRPr="00821040">
        <w:rPr>
          <w:rFonts w:ascii="Arial" w:hAnsi="Arial" w:cs="Arial"/>
          <w:color w:val="auto"/>
        </w:rPr>
        <w:t>Stranci koja je pristupila na ročište na kojem se presuda objavljuje i stranci koja je uredno obaviještena o tom ročištu, a na isto nije pristupila, smatra se da je dostava presude obavljena onog dana kad je održano ročište na kojem se presuda objavljuje. Stranci koja nije bila uredno obaviještena o ročištu na kojem se presuda objavljuje smatra se da je dostava presude obavljena danom zaprimanja pisanog otpravka iste</w:t>
      </w:r>
      <w:r w:rsidR="00821040">
        <w:rPr>
          <w:rFonts w:ascii="Arial" w:hAnsi="Arial" w:cs="Arial"/>
          <w:color w:val="auto"/>
        </w:rPr>
        <w:t>.</w:t>
      </w:r>
      <w:r w:rsidRPr="00821040">
        <w:rPr>
          <w:rFonts w:ascii="Arial" w:hAnsi="Arial" w:cs="Arial"/>
          <w:color w:val="auto"/>
        </w:rPr>
        <w:t xml:space="preserve"> </w:t>
      </w:r>
    </w:p>
    <w:p w:rsidR="00CA153F" w:rsidP="00CA153F" w:rsidRDefault="00CA153F">
      <w:pPr>
        <w:pStyle w:val="Default"/>
        <w:jc w:val="both"/>
        <w:rPr>
          <w:rFonts w:ascii="Arial" w:hAnsi="Arial" w:cs="Arial"/>
          <w:color w:val="auto"/>
        </w:rPr>
      </w:pPr>
    </w:p>
    <w:p w:rsidRPr="00821040" w:rsidR="006C5417" w:rsidP="00CA153F" w:rsidRDefault="00CA153F">
      <w:pPr>
        <w:pStyle w:val="Default"/>
        <w:jc w:val="both"/>
        <w:rPr>
          <w:rFonts w:ascii="Arial" w:hAnsi="Arial" w:cs="Arial"/>
          <w:color w:val="auto"/>
        </w:rPr>
      </w:pPr>
      <w:r>
        <w:rPr>
          <w:rFonts w:ascii="Arial" w:hAnsi="Arial" w:cs="Arial"/>
          <w:color w:val="auto"/>
        </w:rPr>
        <w:t>DNA:</w:t>
      </w:r>
    </w:p>
    <w:p w:rsidRPr="00821040" w:rsidR="006C5417" w:rsidP="006C5417" w:rsidRDefault="004C6961">
      <w:pPr>
        <w:pStyle w:val="Default"/>
        <w:spacing w:after="27"/>
        <w:rPr>
          <w:rFonts w:ascii="Arial" w:hAnsi="Arial" w:cs="Arial"/>
          <w:color w:val="auto"/>
        </w:rPr>
      </w:pPr>
      <w:r>
        <w:rPr>
          <w:rFonts w:ascii="Arial" w:hAnsi="Arial" w:cs="Arial"/>
          <w:color w:val="auto"/>
        </w:rPr>
        <w:t>- pun. tužitelja</w:t>
      </w:r>
      <w:r w:rsidRPr="00821040" w:rsidR="006C5417">
        <w:rPr>
          <w:rFonts w:ascii="Arial" w:hAnsi="Arial" w:cs="Arial"/>
          <w:color w:val="auto"/>
        </w:rPr>
        <w:t xml:space="preserve"> </w:t>
      </w:r>
    </w:p>
    <w:p w:rsidRPr="00821040" w:rsidR="006C5417" w:rsidP="006C5417" w:rsidRDefault="003479AE">
      <w:pPr>
        <w:pStyle w:val="Default"/>
        <w:spacing w:after="27"/>
        <w:rPr>
          <w:rFonts w:ascii="Arial" w:hAnsi="Arial" w:cs="Arial"/>
          <w:color w:val="auto"/>
        </w:rPr>
      </w:pPr>
      <w:r>
        <w:rPr>
          <w:rFonts w:ascii="Arial" w:hAnsi="Arial" w:cs="Arial"/>
          <w:color w:val="auto"/>
        </w:rPr>
        <w:t>- pun. tuženika</w:t>
      </w:r>
      <w:r w:rsidRPr="00821040" w:rsidR="006C5417">
        <w:rPr>
          <w:rFonts w:ascii="Arial" w:hAnsi="Arial" w:cs="Arial"/>
          <w:color w:val="auto"/>
        </w:rPr>
        <w:t xml:space="preserve"> </w:t>
      </w:r>
    </w:p>
    <w:p w:rsidRPr="00821040" w:rsidR="006C5417" w:rsidP="006C5417" w:rsidRDefault="006C5417">
      <w:pPr>
        <w:pStyle w:val="Default"/>
        <w:rPr>
          <w:rFonts w:ascii="Arial" w:hAnsi="Arial" w:cs="Arial"/>
          <w:color w:val="auto"/>
        </w:rPr>
      </w:pPr>
      <w:r w:rsidRPr="00821040">
        <w:rPr>
          <w:rFonts w:ascii="Arial" w:hAnsi="Arial" w:cs="Arial"/>
          <w:color w:val="auto"/>
        </w:rPr>
        <w:t xml:space="preserve">- u spis </w:t>
      </w:r>
    </w:p>
    <w:p w:rsidR="00B22BE8" w:rsidP="00163390" w:rsidRDefault="00163390">
      <w:r>
        <w:rPr>
          <w:b/>
        </w:rPr>
        <w:tab/>
      </w:r>
      <w:r>
        <w:rPr>
          <w:b/>
        </w:rPr>
        <w:tab/>
      </w:r>
      <w:r>
        <w:rPr>
          <w:b/>
        </w:rPr>
        <w:tab/>
      </w:r>
      <w:r>
        <w:rPr>
          <w:b/>
        </w:rPr>
        <w:tab/>
      </w:r>
      <w:r>
        <w:rPr>
          <w:b/>
        </w:rPr>
        <w:tab/>
      </w:r>
      <w:r>
        <w:rPr>
          <w:b/>
        </w:rPr>
        <w:tab/>
      </w:r>
      <w:r>
        <w:rPr>
          <w:b/>
        </w:rPr>
        <w:tab/>
      </w:r>
      <w:r>
        <w:tab/>
      </w:r>
      <w:r>
        <w:tab/>
      </w:r>
    </w:p>
    <w:sectPr w:rsidR="00B22BE8" w:rsidSect="00163390">
      <w:headerReference w:type="default" r:id="rId11"/>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52E21" w:rsidP="00163390" w:rsidRDefault="00B52E21">
      <w:r>
        <w:separator/>
      </w:r>
    </w:p>
  </w:endnote>
  <w:endnote w:type="continuationSeparator" w:id="0">
    <w:p w:rsidR="00B52E21" w:rsidP="00163390" w:rsidRDefault="00B52E21">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52E21" w:rsidP="00163390" w:rsidRDefault="00B52E21">
      <w:r>
        <w:separator/>
      </w:r>
    </w:p>
  </w:footnote>
  <w:footnote w:type="continuationSeparator" w:id="0">
    <w:p w:rsidR="00B52E21" w:rsidP="00163390" w:rsidRDefault="00B52E21">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19584527"/>
      <w:docPartObj>
        <w:docPartGallery w:val="Page Numbers (Top of Page)"/>
        <w:docPartUnique/>
      </w:docPartObj>
    </w:sdtPr>
    <w:sdtEndPr>
      <w:rPr>
        <w:rFonts w:ascii="Arial" w:hAnsi="Arial" w:cs="Arial"/>
      </w:rPr>
    </w:sdtEndPr>
    <w:sdtContent>
      <w:p w:rsidRPr="00EB05B5" w:rsidR="002B06CD" w:rsidRDefault="002B06CD">
        <w:pPr>
          <w:pStyle w:val="Zaglavlje"/>
          <w:jc w:val="center"/>
          <w:rPr>
            <w:rFonts w:ascii="Arial" w:hAnsi="Arial" w:cs="Arial"/>
          </w:rPr>
        </w:pPr>
        <w:r>
          <w:t xml:space="preserve">                                                                 </w:t>
        </w:r>
        <w:r w:rsidRPr="00EB05B5">
          <w:rPr>
            <w:rFonts w:ascii="Arial" w:hAnsi="Arial" w:cs="Arial"/>
          </w:rPr>
          <w:fldChar w:fldCharType="begin"/>
        </w:r>
        <w:r w:rsidRPr="00EB05B5">
          <w:rPr>
            <w:rFonts w:ascii="Arial" w:hAnsi="Arial" w:cs="Arial"/>
          </w:rPr>
          <w:instrText>PAGE   \* MERGEFORMAT</w:instrText>
        </w:r>
        <w:r w:rsidRPr="00EB05B5">
          <w:rPr>
            <w:rFonts w:ascii="Arial" w:hAnsi="Arial" w:cs="Arial"/>
          </w:rPr>
          <w:fldChar w:fldCharType="separate"/>
        </w:r>
        <w:r w:rsidR="00E5222F">
          <w:rPr>
            <w:rFonts w:ascii="Arial" w:hAnsi="Arial" w:cs="Arial"/>
            <w:noProof/>
          </w:rPr>
          <w:t>8</w:t>
        </w:r>
        <w:r w:rsidRPr="00EB05B5">
          <w:rPr>
            <w:rFonts w:ascii="Arial" w:hAnsi="Arial" w:cs="Arial"/>
          </w:rPr>
          <w:fldChar w:fldCharType="end"/>
        </w:r>
        <w:r>
          <w:rPr>
            <w:rFonts w:ascii="Arial" w:hAnsi="Arial" w:cs="Arial"/>
          </w:rPr>
          <w:t xml:space="preserve">                                    P-</w:t>
        </w:r>
        <w:r w:rsidR="008D4184">
          <w:rPr>
            <w:rFonts w:ascii="Arial" w:hAnsi="Arial" w:cs="Arial"/>
          </w:rPr>
          <w:t>1172</w:t>
        </w:r>
        <w:r>
          <w:rPr>
            <w:rFonts w:ascii="Arial" w:hAnsi="Arial" w:cs="Arial"/>
          </w:rPr>
          <w:t>/2023</w:t>
        </w:r>
        <w:r w:rsidR="00E5222F">
          <w:rPr>
            <w:rFonts w:ascii="Arial" w:hAnsi="Arial" w:cs="Arial"/>
          </w:rPr>
          <w:t>-18</w:t>
        </w:r>
      </w:p>
    </w:sdtContent>
  </w:sdt>
  <w:p w:rsidR="002B06CD" w:rsidRDefault="002B06CD">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861422A2"/>
    <w:multiLevelType w:val="hybridMultilevel"/>
    <w:tmpl w:val="6D55802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C9476D4"/>
    <w:multiLevelType w:val="hybridMultilevel"/>
    <w:tmpl w:val="C965479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1BC34E8D"/>
    <w:multiLevelType w:val="hybridMultilevel"/>
    <w:tmpl w:val="070A7D36"/>
    <w:lvl w:ilvl="0" w:tplc="2C7287EC">
      <w:start w:val="2"/>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298F0F57"/>
    <w:multiLevelType w:val="hybridMultilevel"/>
    <w:tmpl w:val="E5964F74"/>
    <w:lvl w:ilvl="0" w:tplc="7F80AFA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2E0A393E"/>
    <w:multiLevelType w:val="hybridMultilevel"/>
    <w:tmpl w:val="2F52312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5ECF7C19"/>
    <w:multiLevelType w:val="hybridMultilevel"/>
    <w:tmpl w:val="02A02E78"/>
    <w:lvl w:ilvl="0" w:tplc="C9323AFA">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6">
    <w:nsid w:val="62481FC0"/>
    <w:multiLevelType w:val="hybridMultilevel"/>
    <w:tmpl w:val="19366A90"/>
    <w:lvl w:ilvl="0" w:tplc="3EC2ECD4">
      <w:start w:val="1"/>
      <w:numFmt w:val="decimal"/>
      <w:lvlText w:val="%1."/>
      <w:lvlJc w:val="left"/>
      <w:pPr>
        <w:ind w:left="1068" w:hanging="360"/>
      </w:pPr>
      <w:rPr>
        <w:rFonts w:hint="default" w:eastAsia="Times New Roman"/>
        <w:color w:val="auto"/>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7">
    <w:nsid w:val="62F529F4"/>
    <w:multiLevelType w:val="hybridMultilevel"/>
    <w:tmpl w:val="2D1ACDF6"/>
    <w:lvl w:ilvl="0" w:tplc="F462EA44">
      <w:start w:val="1"/>
      <w:numFmt w:val="decimal"/>
      <w:lvlText w:val="%1"/>
      <w:lvlJc w:val="left"/>
      <w:pPr>
        <w:ind w:left="1068" w:hanging="360"/>
      </w:pPr>
      <w:rPr>
        <w:rFonts w:ascii="Arial" w:hAnsi="Arial" w:cs="Arial" w:eastAsiaTheme="minorHAnsi"/>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6C88B5D6"/>
    <w:multiLevelType w:val="hybridMultilevel"/>
    <w:tmpl w:val="BCEDD71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7BE43A73"/>
    <w:multiLevelType w:val="hybridMultilevel"/>
    <w:tmpl w:val="AFB654B6"/>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
    <w:nsid w:val="7C6F2598"/>
    <w:multiLevelType w:val="hybridMultilevel"/>
    <w:tmpl w:val="FB7734E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7F0957AA"/>
    <w:multiLevelType w:val="hybridMultilevel"/>
    <w:tmpl w:val="665427E6"/>
    <w:lvl w:ilvl="0" w:tplc="8E5CF220">
      <w:start w:val="1"/>
      <w:numFmt w:val="bullet"/>
      <w:lvlText w:val="-"/>
      <w:lvlJc w:val="left"/>
      <w:pPr>
        <w:ind w:left="1175" w:hanging="360"/>
      </w:pPr>
      <w:rPr>
        <w:rFonts w:hint="default" w:ascii="Arial" w:hAnsi="Arial" w:eastAsia="Times New Roman" w:cs="Arial"/>
      </w:rPr>
    </w:lvl>
    <w:lvl w:ilvl="1" w:tplc="041A0003" w:tentative="true">
      <w:start w:val="1"/>
      <w:numFmt w:val="bullet"/>
      <w:lvlText w:val="o"/>
      <w:lvlJc w:val="left"/>
      <w:pPr>
        <w:ind w:left="1895" w:hanging="360"/>
      </w:pPr>
      <w:rPr>
        <w:rFonts w:hint="default" w:ascii="Courier New" w:hAnsi="Courier New" w:cs="Courier New"/>
      </w:rPr>
    </w:lvl>
    <w:lvl w:ilvl="2" w:tplc="041A0005" w:tentative="true">
      <w:start w:val="1"/>
      <w:numFmt w:val="bullet"/>
      <w:lvlText w:val=""/>
      <w:lvlJc w:val="left"/>
      <w:pPr>
        <w:ind w:left="2615" w:hanging="360"/>
      </w:pPr>
      <w:rPr>
        <w:rFonts w:hint="default" w:ascii="Wingdings" w:hAnsi="Wingdings"/>
      </w:rPr>
    </w:lvl>
    <w:lvl w:ilvl="3" w:tplc="041A0001" w:tentative="true">
      <w:start w:val="1"/>
      <w:numFmt w:val="bullet"/>
      <w:lvlText w:val=""/>
      <w:lvlJc w:val="left"/>
      <w:pPr>
        <w:ind w:left="3335" w:hanging="360"/>
      </w:pPr>
      <w:rPr>
        <w:rFonts w:hint="default" w:ascii="Symbol" w:hAnsi="Symbol"/>
      </w:rPr>
    </w:lvl>
    <w:lvl w:ilvl="4" w:tplc="041A0003" w:tentative="true">
      <w:start w:val="1"/>
      <w:numFmt w:val="bullet"/>
      <w:lvlText w:val="o"/>
      <w:lvlJc w:val="left"/>
      <w:pPr>
        <w:ind w:left="4055" w:hanging="360"/>
      </w:pPr>
      <w:rPr>
        <w:rFonts w:hint="default" w:ascii="Courier New" w:hAnsi="Courier New" w:cs="Courier New"/>
      </w:rPr>
    </w:lvl>
    <w:lvl w:ilvl="5" w:tplc="041A0005" w:tentative="true">
      <w:start w:val="1"/>
      <w:numFmt w:val="bullet"/>
      <w:lvlText w:val=""/>
      <w:lvlJc w:val="left"/>
      <w:pPr>
        <w:ind w:left="4775" w:hanging="360"/>
      </w:pPr>
      <w:rPr>
        <w:rFonts w:hint="default" w:ascii="Wingdings" w:hAnsi="Wingdings"/>
      </w:rPr>
    </w:lvl>
    <w:lvl w:ilvl="6" w:tplc="041A0001" w:tentative="true">
      <w:start w:val="1"/>
      <w:numFmt w:val="bullet"/>
      <w:lvlText w:val=""/>
      <w:lvlJc w:val="left"/>
      <w:pPr>
        <w:ind w:left="5495" w:hanging="360"/>
      </w:pPr>
      <w:rPr>
        <w:rFonts w:hint="default" w:ascii="Symbol" w:hAnsi="Symbol"/>
      </w:rPr>
    </w:lvl>
    <w:lvl w:ilvl="7" w:tplc="041A0003" w:tentative="true">
      <w:start w:val="1"/>
      <w:numFmt w:val="bullet"/>
      <w:lvlText w:val="o"/>
      <w:lvlJc w:val="left"/>
      <w:pPr>
        <w:ind w:left="6215" w:hanging="360"/>
      </w:pPr>
      <w:rPr>
        <w:rFonts w:hint="default" w:ascii="Courier New" w:hAnsi="Courier New" w:cs="Courier New"/>
      </w:rPr>
    </w:lvl>
    <w:lvl w:ilvl="8" w:tplc="041A0005" w:tentative="true">
      <w:start w:val="1"/>
      <w:numFmt w:val="bullet"/>
      <w:lvlText w:val=""/>
      <w:lvlJc w:val="left"/>
      <w:pPr>
        <w:ind w:left="6935" w:hanging="360"/>
      </w:pPr>
      <w:rPr>
        <w:rFonts w:hint="default" w:ascii="Wingdings" w:hAnsi="Wingdings"/>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4"/>
  </w:num>
  <w:num w:numId="5">
    <w:abstractNumId w:val="7"/>
  </w:num>
  <w:num w:numId="6">
    <w:abstractNumId w:val="2"/>
  </w:num>
  <w:num w:numId="7">
    <w:abstractNumId w:val="6"/>
  </w:num>
  <w:num w:numId="8">
    <w:abstractNumId w:val="11"/>
  </w:num>
  <w:num w:numId="9">
    <w:abstractNumId w:val="0"/>
  </w:num>
  <w:num w:numId="10">
    <w:abstractNumId w:val="8"/>
  </w:num>
  <w:num w:numId="11">
    <w:abstractNumId w:val="10"/>
  </w:num>
  <w:num w:numId="12">
    <w:abstractNumId w:val="9"/>
  </w:num>
  <w:num w:numId="13">
    <w:abstractNumId w:val="1"/>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8"/>
  <w:hyphenationZone w:val="425"/>
  <w:characterSpacingControl w:val="doNotCompress"/>
  <w:hdrShapeDefaults>
    <o:shapedefaults spidmax="1433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390"/>
    <w:rsid w:val="00004E94"/>
    <w:rsid w:val="00016E14"/>
    <w:rsid w:val="000640F1"/>
    <w:rsid w:val="00072CBD"/>
    <w:rsid w:val="00093207"/>
    <w:rsid w:val="000B6DFC"/>
    <w:rsid w:val="000C3489"/>
    <w:rsid w:val="000C3BB9"/>
    <w:rsid w:val="000C5EF4"/>
    <w:rsid w:val="000F0BA2"/>
    <w:rsid w:val="000F75CA"/>
    <w:rsid w:val="00125AEC"/>
    <w:rsid w:val="00131965"/>
    <w:rsid w:val="00163390"/>
    <w:rsid w:val="00163B9E"/>
    <w:rsid w:val="00190EDA"/>
    <w:rsid w:val="001B16F7"/>
    <w:rsid w:val="001B4C75"/>
    <w:rsid w:val="001B7296"/>
    <w:rsid w:val="001D25E3"/>
    <w:rsid w:val="001E0935"/>
    <w:rsid w:val="001E6535"/>
    <w:rsid w:val="001F3A6B"/>
    <w:rsid w:val="002552D0"/>
    <w:rsid w:val="002561B5"/>
    <w:rsid w:val="002610D7"/>
    <w:rsid w:val="002776CE"/>
    <w:rsid w:val="0029089F"/>
    <w:rsid w:val="0029632B"/>
    <w:rsid w:val="002B06CD"/>
    <w:rsid w:val="002B25A1"/>
    <w:rsid w:val="002B4231"/>
    <w:rsid w:val="002C0D78"/>
    <w:rsid w:val="002C72E9"/>
    <w:rsid w:val="002E54B2"/>
    <w:rsid w:val="003149C9"/>
    <w:rsid w:val="00321B8B"/>
    <w:rsid w:val="00331AF2"/>
    <w:rsid w:val="00332264"/>
    <w:rsid w:val="003403D6"/>
    <w:rsid w:val="00342609"/>
    <w:rsid w:val="003479AE"/>
    <w:rsid w:val="00377C55"/>
    <w:rsid w:val="003D0E00"/>
    <w:rsid w:val="003D2692"/>
    <w:rsid w:val="003E503D"/>
    <w:rsid w:val="003F27D5"/>
    <w:rsid w:val="00404C43"/>
    <w:rsid w:val="0045734A"/>
    <w:rsid w:val="004958F0"/>
    <w:rsid w:val="004B7B37"/>
    <w:rsid w:val="004C0CF8"/>
    <w:rsid w:val="004C6961"/>
    <w:rsid w:val="00505DE8"/>
    <w:rsid w:val="00510F3A"/>
    <w:rsid w:val="00520C05"/>
    <w:rsid w:val="00566420"/>
    <w:rsid w:val="00575CDA"/>
    <w:rsid w:val="00585AB7"/>
    <w:rsid w:val="00596EB7"/>
    <w:rsid w:val="005A33E5"/>
    <w:rsid w:val="005B4BF6"/>
    <w:rsid w:val="005C08E6"/>
    <w:rsid w:val="005E0080"/>
    <w:rsid w:val="005F206B"/>
    <w:rsid w:val="005F25F7"/>
    <w:rsid w:val="00605DC0"/>
    <w:rsid w:val="00615C31"/>
    <w:rsid w:val="00656B3D"/>
    <w:rsid w:val="00683362"/>
    <w:rsid w:val="00691AF0"/>
    <w:rsid w:val="00697682"/>
    <w:rsid w:val="006C2BF4"/>
    <w:rsid w:val="006C4CCC"/>
    <w:rsid w:val="006C5417"/>
    <w:rsid w:val="006E3F61"/>
    <w:rsid w:val="006F3932"/>
    <w:rsid w:val="00727249"/>
    <w:rsid w:val="00742CB8"/>
    <w:rsid w:val="00771C27"/>
    <w:rsid w:val="0078246D"/>
    <w:rsid w:val="0078410D"/>
    <w:rsid w:val="007A453C"/>
    <w:rsid w:val="007B3AD9"/>
    <w:rsid w:val="007B5D70"/>
    <w:rsid w:val="007D7F84"/>
    <w:rsid w:val="007E64FF"/>
    <w:rsid w:val="007F1994"/>
    <w:rsid w:val="00807639"/>
    <w:rsid w:val="00821040"/>
    <w:rsid w:val="00824815"/>
    <w:rsid w:val="00843FDA"/>
    <w:rsid w:val="008578D6"/>
    <w:rsid w:val="008578EC"/>
    <w:rsid w:val="00870F00"/>
    <w:rsid w:val="00873220"/>
    <w:rsid w:val="00885EF3"/>
    <w:rsid w:val="00892710"/>
    <w:rsid w:val="00895C3A"/>
    <w:rsid w:val="008C493F"/>
    <w:rsid w:val="008D4184"/>
    <w:rsid w:val="00932D1A"/>
    <w:rsid w:val="009A7AD7"/>
    <w:rsid w:val="009B22BC"/>
    <w:rsid w:val="009E3628"/>
    <w:rsid w:val="00A241EF"/>
    <w:rsid w:val="00A32A60"/>
    <w:rsid w:val="00A36373"/>
    <w:rsid w:val="00A4213B"/>
    <w:rsid w:val="00A46116"/>
    <w:rsid w:val="00A56440"/>
    <w:rsid w:val="00A63002"/>
    <w:rsid w:val="00A952D3"/>
    <w:rsid w:val="00AC1F3C"/>
    <w:rsid w:val="00AC32F6"/>
    <w:rsid w:val="00AF4A28"/>
    <w:rsid w:val="00B0165D"/>
    <w:rsid w:val="00B14E1F"/>
    <w:rsid w:val="00B22BE8"/>
    <w:rsid w:val="00B35487"/>
    <w:rsid w:val="00B52E21"/>
    <w:rsid w:val="00B75B5C"/>
    <w:rsid w:val="00B87930"/>
    <w:rsid w:val="00BA4B0C"/>
    <w:rsid w:val="00BB18BD"/>
    <w:rsid w:val="00BB6FE4"/>
    <w:rsid w:val="00BE37AF"/>
    <w:rsid w:val="00BE737B"/>
    <w:rsid w:val="00C04CBE"/>
    <w:rsid w:val="00C1415D"/>
    <w:rsid w:val="00C317BE"/>
    <w:rsid w:val="00C971E7"/>
    <w:rsid w:val="00CA153F"/>
    <w:rsid w:val="00CC08A7"/>
    <w:rsid w:val="00CE12B4"/>
    <w:rsid w:val="00CE4CAA"/>
    <w:rsid w:val="00CE4EDE"/>
    <w:rsid w:val="00CF1C23"/>
    <w:rsid w:val="00D01274"/>
    <w:rsid w:val="00D06793"/>
    <w:rsid w:val="00D074C4"/>
    <w:rsid w:val="00D10F1E"/>
    <w:rsid w:val="00D36818"/>
    <w:rsid w:val="00D72054"/>
    <w:rsid w:val="00D779C4"/>
    <w:rsid w:val="00D8371D"/>
    <w:rsid w:val="00D8524A"/>
    <w:rsid w:val="00DB430D"/>
    <w:rsid w:val="00DC7502"/>
    <w:rsid w:val="00E01C35"/>
    <w:rsid w:val="00E024AF"/>
    <w:rsid w:val="00E21BBB"/>
    <w:rsid w:val="00E248ED"/>
    <w:rsid w:val="00E25AFA"/>
    <w:rsid w:val="00E5222F"/>
    <w:rsid w:val="00E56ABB"/>
    <w:rsid w:val="00E62B75"/>
    <w:rsid w:val="00E71A27"/>
    <w:rsid w:val="00E71A2B"/>
    <w:rsid w:val="00E73475"/>
    <w:rsid w:val="00EB05B5"/>
    <w:rsid w:val="00EB57D2"/>
    <w:rsid w:val="00EC442D"/>
    <w:rsid w:val="00EE1F59"/>
    <w:rsid w:val="00EF56A4"/>
    <w:rsid w:val="00F0272D"/>
    <w:rsid w:val="00F43B1D"/>
    <w:rsid w:val="00F547E7"/>
    <w:rsid w:val="00F54B7E"/>
    <w:rsid w:val="00F842A8"/>
    <w:rsid w:val="00F904D1"/>
    <w:rsid w:val="00FE3D8F"/>
    <w:rsid w:val="00FF0D70"/>
    <w:rsid w:val="00FF1BE8"/>
    <w:rsid w:val="00FF75D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4337" v:ext="edit"/>
    <o:shapelayout v:ext="edit">
      <o:idmap data="1" v:ext="edit"/>
    </o:shapelayout>
  </w:shapeDefaults>
  <w:decimalSymbol w:val=","/>
  <w:listSeparator w:val=";"/>
  <w14:docId w14:val="2FFF4336"/>
  <w15:docId w15:val="{E961E2A9-2EBE-4BB3-93E9-B93763513AE5}"/>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0"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0"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63390"/>
    <w:pPr>
      <w:spacing w:after="0" w:line="240" w:lineRule="auto"/>
    </w:pPr>
    <w:rPr>
      <w:rFonts w:ascii="Times New Roman" w:hAnsi="Times New Roman" w:eastAsia="Times New Roman" w:cs="Times New Roman"/>
      <w:sz w:val="24"/>
      <w:szCs w:val="24"/>
      <w:lang w:eastAsia="hr-HR"/>
    </w:rPr>
  </w:style>
  <w:style w:type="paragraph" w:styleId="Naslov2">
    <w:name w:val="heading 2"/>
    <w:basedOn w:val="Normal"/>
    <w:next w:val="Normal"/>
    <w:link w:val="Naslov2Char"/>
    <w:semiHidden/>
    <w:unhideWhenUsed/>
    <w:qFormat/>
    <w:rsid w:val="00163390"/>
    <w:pPr>
      <w:keepNext/>
      <w:jc w:val="center"/>
      <w:outlineLvl w:val="1"/>
    </w:pPr>
    <w:rPr>
      <w:b/>
      <w:bCs/>
    </w:rPr>
  </w:style>
  <w:style w:type="paragraph" w:styleId="Naslov7">
    <w:name w:val="heading 7"/>
    <w:basedOn w:val="Normal"/>
    <w:next w:val="Normal"/>
    <w:link w:val="Naslov7Char"/>
    <w:semiHidden/>
    <w:unhideWhenUsed/>
    <w:qFormat/>
    <w:rsid w:val="00163390"/>
    <w:pPr>
      <w:keepNext/>
      <w:jc w:val="center"/>
      <w:outlineLvl w:val="6"/>
    </w:pPr>
    <w:rPr>
      <w:rFonts w:ascii="Verdana" w:hAnsi="Verdana"/>
      <w:b/>
      <w:bCs/>
      <w:i/>
      <w:iCs/>
      <w:sz w:val="20"/>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2Char" w:customStyle="true">
    <w:name w:val="Naslov 2 Char"/>
    <w:basedOn w:val="Zadanifontodlomka"/>
    <w:link w:val="Naslov2"/>
    <w:semiHidden/>
    <w:rsid w:val="00163390"/>
    <w:rPr>
      <w:rFonts w:ascii="Times New Roman" w:hAnsi="Times New Roman" w:eastAsia="Times New Roman" w:cs="Times New Roman"/>
      <w:b/>
      <w:bCs/>
      <w:sz w:val="24"/>
      <w:szCs w:val="24"/>
      <w:lang w:eastAsia="hr-HR"/>
    </w:rPr>
  </w:style>
  <w:style w:type="character" w:styleId="Naslov7Char" w:customStyle="true">
    <w:name w:val="Naslov 7 Char"/>
    <w:basedOn w:val="Zadanifontodlomka"/>
    <w:link w:val="Naslov7"/>
    <w:semiHidden/>
    <w:rsid w:val="00163390"/>
    <w:rPr>
      <w:rFonts w:ascii="Verdana" w:hAnsi="Verdana" w:eastAsia="Times New Roman" w:cs="Times New Roman"/>
      <w:b/>
      <w:bCs/>
      <w:i/>
      <w:iCs/>
      <w:sz w:val="20"/>
      <w:szCs w:val="24"/>
      <w:lang w:eastAsia="hr-HR"/>
    </w:rPr>
  </w:style>
  <w:style w:type="paragraph" w:styleId="Odlomakpopisa">
    <w:name w:val="List Paragraph"/>
    <w:basedOn w:val="Normal"/>
    <w:uiPriority w:val="34"/>
    <w:qFormat/>
    <w:rsid w:val="00163390"/>
    <w:pPr>
      <w:ind w:left="720"/>
      <w:contextualSpacing/>
    </w:pPr>
  </w:style>
  <w:style w:type="paragraph" w:styleId="Zaglavlje">
    <w:name w:val="header"/>
    <w:basedOn w:val="Normal"/>
    <w:link w:val="ZaglavljeChar"/>
    <w:uiPriority w:val="99"/>
    <w:unhideWhenUsed/>
    <w:rsid w:val="00163390"/>
    <w:pPr>
      <w:tabs>
        <w:tab w:val="center" w:pos="4536"/>
        <w:tab w:val="right" w:pos="9072"/>
      </w:tabs>
    </w:pPr>
  </w:style>
  <w:style w:type="character" w:styleId="ZaglavljeChar" w:customStyle="true">
    <w:name w:val="Zaglavlje Char"/>
    <w:basedOn w:val="Zadanifontodlomka"/>
    <w:link w:val="Zaglavlje"/>
    <w:uiPriority w:val="99"/>
    <w:rsid w:val="00163390"/>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163390"/>
    <w:pPr>
      <w:tabs>
        <w:tab w:val="center" w:pos="4536"/>
        <w:tab w:val="right" w:pos="9072"/>
      </w:tabs>
    </w:pPr>
  </w:style>
  <w:style w:type="character" w:styleId="PodnojeChar" w:customStyle="true">
    <w:name w:val="Podnožje Char"/>
    <w:basedOn w:val="Zadanifontodlomka"/>
    <w:link w:val="Podnoje"/>
    <w:uiPriority w:val="99"/>
    <w:rsid w:val="00163390"/>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B75B5C"/>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B75B5C"/>
    <w:rPr>
      <w:rFonts w:ascii="Tahoma" w:hAnsi="Tahoma" w:eastAsia="Times New Roman" w:cs="Tahoma"/>
      <w:sz w:val="16"/>
      <w:szCs w:val="16"/>
      <w:lang w:eastAsia="hr-HR"/>
    </w:rPr>
  </w:style>
  <w:style w:type="paragraph" w:styleId="Default" w:customStyle="true">
    <w:name w:val="Default"/>
    <w:rsid w:val="006C5417"/>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Standard" w:customStyle="true">
    <w:name w:val="Standard"/>
    <w:rsid w:val="003D0E00"/>
    <w:pPr>
      <w:widowControl w:val="false"/>
      <w:suppressAutoHyphens/>
      <w:autoSpaceDN w:val="false"/>
      <w:spacing w:after="0" w:line="240" w:lineRule="auto"/>
      <w:textAlignment w:val="baseline"/>
    </w:pPr>
    <w:rPr>
      <w:rFonts w:ascii="Times New Roman" w:hAnsi="Times New Roman" w:eastAsia="SimSun" w:cs="Arial"/>
      <w:kern w:val="3"/>
      <w:sz w:val="24"/>
      <w:szCs w:val="24"/>
      <w:lang w:eastAsia="zh-CN" w:bidi="hi-IN"/>
    </w:rPr>
  </w:style>
  <w:style w:type="paragraph" w:styleId="Bezproreda">
    <w:name w:val="No Spacing"/>
    <w:uiPriority w:val="1"/>
    <w:qFormat/>
    <w:rsid w:val="003D0E00"/>
    <w:pPr>
      <w:spacing w:after="0" w:line="240" w:lineRule="auto"/>
    </w:pPr>
    <w:rPr>
      <w:rFonts w:ascii="Times New Roman" w:hAnsi="Times New Roman" w:eastAsia="Times New Roman" w:cs="Times New Roman"/>
      <w:sz w:val="24"/>
      <w:szCs w:val="24"/>
      <w:lang w:eastAsia="hr-HR"/>
    </w:rPr>
  </w:style>
  <w:style w:type="character" w:styleId="Tekstrezerviranogmjesta">
    <w:name w:val="Placeholder Text"/>
    <w:basedOn w:val="Zadanifontodlomka"/>
    <w:uiPriority w:val="99"/>
    <w:semiHidden/>
    <w:rsid w:val="00BE737B"/>
    <w:rPr>
      <w:color w:val="808080"/>
      <w:bdr w:val="none" w:color="auto" w:sz="0" w:space="0"/>
      <w:shd w:val="clear" w:color="auto" w:fill="auto"/>
    </w:rPr>
  </w:style>
  <w:style w:type="character" w:styleId="eSPISCCParagraphDefaultFont" w:customStyle="true">
    <w:name w:val="eSPIS_CC_Paragraph Default Font"/>
    <w:basedOn w:val="Zadanifontodlomka"/>
    <w:rsid w:val="00BE737B"/>
    <w:rPr>
      <w:rFonts w:ascii="Times New Roman" w:hAnsi="Times New Roman" w:cs="Times New Roman"/>
      <w:bCs/>
      <w:sz w:val="24"/>
      <w:bdr w:val="none" w:color="auto" w:sz="0" w:space="0"/>
      <w:shd w:val="clear" w:color="auto" w:fill="auto"/>
      <w:lang w:val="hr-HR"/>
    </w:rPr>
  </w:style>
  <w:style w:type="character" w:styleId="PozadinaSvijetloZuta" w:customStyle="true">
    <w:name w:val="Pozadina_SvijetloZuta"/>
    <w:basedOn w:val="Zadanifontodlomka"/>
    <w:rsid w:val="00BE737B"/>
    <w:rPr>
      <w:bCs/>
      <w:bdr w:val="none" w:color="auto" w:sz="0" w:space="0"/>
      <w:shd w:val="clear" w:color="auto" w:fill="FFFFCC"/>
      <w:lang w:val="hr-HR"/>
    </w:rPr>
  </w:style>
  <w:style w:type="character" w:styleId="PozadinaSvijetloCrvena" w:customStyle="true">
    <w:name w:val="Pozadina_SvijetloCrvena"/>
    <w:basedOn w:val="eSPISCCParagraphDefaultFont"/>
    <w:rsid w:val="00BE737B"/>
    <w:rPr>
      <w:rFonts w:ascii="Times New Roman" w:hAnsi="Times New Roman" w:cs="Times New Roman"/>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BE737B"/>
    <w:rPr>
      <w:rFonts w:ascii="Times New Roman" w:hAnsi="Times New Roman" w:cs="Times New Roman"/>
      <w:bCs w:val="false"/>
      <w:sz w:val="24"/>
      <w:bdr w:val="none" w:color="auto" w:sz="0" w:space="0"/>
      <w:shd w:val="clear" w:color="auto" w:fill="CCFFCC"/>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9022248">
      <w:bodyDiv w:val="true"/>
      <w:marLeft w:val="0"/>
      <w:marRight w:val="0"/>
      <w:marTop w:val="0"/>
      <w:marBottom w:val="0"/>
      <w:divBdr>
        <w:top w:val="none" w:color="auto" w:sz="0" w:space="0"/>
        <w:left w:val="none" w:color="auto" w:sz="0" w:space="0"/>
        <w:bottom w:val="none" w:color="auto" w:sz="0" w:space="0"/>
        <w:right w:val="none" w:color="auto" w:sz="0" w:space="0"/>
      </w:divBdr>
    </w:div>
    <w:div w:id="1044449887">
      <w:bodyDiv w:val="true"/>
      <w:marLeft w:val="0"/>
      <w:marRight w:val="0"/>
      <w:marTop w:val="0"/>
      <w:marBottom w:val="0"/>
      <w:divBdr>
        <w:top w:val="none" w:color="auto" w:sz="0" w:space="0"/>
        <w:left w:val="none" w:color="auto" w:sz="0" w:space="0"/>
        <w:bottom w:val="none" w:color="auto" w:sz="0" w:space="0"/>
        <w:right w:val="none" w:color="auto" w:sz="0" w:space="0"/>
      </w:divBdr>
    </w:div>
    <w:div w:id="1213275504">
      <w:bodyDiv w:val="true"/>
      <w:marLeft w:val="0"/>
      <w:marRight w:val="0"/>
      <w:marTop w:val="0"/>
      <w:marBottom w:val="0"/>
      <w:divBdr>
        <w:top w:val="none" w:color="auto" w:sz="0" w:space="0"/>
        <w:left w:val="none" w:color="auto" w:sz="0" w:space="0"/>
        <w:bottom w:val="none" w:color="auto" w:sz="0" w:space="0"/>
        <w:right w:val="none" w:color="auto" w:sz="0" w:space="0"/>
      </w:divBdr>
    </w:div>
    <w:div w:id="150689507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media/image1.png" Type="http://schemas.openxmlformats.org/officeDocument/2006/relationships/image" Id="rId10"/><Relationship Target="styles.xml" Type="http://schemas.openxmlformats.org/officeDocument/2006/relationships/styles" Id="rId4"/><Relationship TargetMode="External" Target="https://upload.wikimedia.org/wikipedia/commons/c/c9/Coat_of_arms_of_Croatia.svg" Type="http://schemas.openxmlformats.org/officeDocument/2006/relationships/hyperlink"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22. srpnja 2026.</izvorni_sadrzaj>
    <derivirana_varijabla naziv="DomainObject.DatumDonosenjaOdluke_1">22.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P-1172/2023-18</izvorni_sadrzaj>
    <derivirana_varijabla naziv="DomainObject.Oznaka_1">P-1172/2023-18</derivirana_varijabla>
  </DomainObject.Oznaka>
  <DomainObject.DonositeljOdluke.Ime>
    <izvorni_sadrzaj>Dunja</izvorni_sadrzaj>
    <derivirana_varijabla naziv="DomainObject.DonositeljOdluke.Ime_1">Dunja</derivirana_varijabla>
  </DomainObject.DonositeljOdluke.Ime>
  <DomainObject.DonositeljOdluke.Prezime>
    <izvorni_sadrzaj>Ljubičić</izvorni_sadrzaj>
    <derivirana_varijabla naziv="DomainObject.DonositeljOdluke.Prezime_1">Ljubičić</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1172</izvorni_sadrzaj>
    <derivirana_varijabla naziv="DomainObject.Predmet.Broj_1">1172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2023.</izvorni_sadrzaj>
    <derivirana_varijabla naziv="DomainObject.Predmet.DatumOsnivanja_1">28. ožujka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0</izvorni_sadrzaj>
    <derivirana_varijabla naziv="DomainObject.Predmet.InicijalnaVrijednost_1">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P-1172/2023</izvorni_sadrzaj>
    <derivirana_varijabla naziv="DomainObject.Predmet.OznakaBroj_1">P-1172/2023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OTP banka dioničko društvo zastupanog po punomoćniku Vedran Anić</izvorni_sadrzaj>
    <derivirana_varijabla naziv="DomainObject.Predmet.ProtustrankaFormated_1">  OTP banka dioničko društvo zastupanog po punomoćniku Vedran Anić</derivirana_varijabla>
  </DomainObject.Predmet.ProtustrankaFormated>
  <DomainObject.Predmet.ProtustrankaFormatedOIB>
    <izvorni_sadrzaj>  OTP banka dioničko društvo, OIB 52508873833 zastupanog po punomoćniku Vedran Anić</izvorni_sadrzaj>
    <derivirana_varijabla naziv="DomainObject.Predmet.ProtustrankaFormatedOIB_1">  OTP banka dioničko društvo, OIB 52508873833 zastupanog po punomoćniku Vedran Anić</derivirana_varijabla>
  </DomainObject.Predmet.ProtustrankaFormatedOIB>
  <DomainObject.Predmet.ProtustrankaFormatedWithAdress>
    <izvorni_sadrzaj> OTP banka dioničko društvo, Ulica Domovinskog rata 61, 21000 Split zastupanog po punomoćniku Vedran Anić</izvorni_sadrzaj>
    <derivirana_varijabla naziv="DomainObject.Predmet.ProtustrankaFormatedWithAdress_1"> OTP banka dioničko društvo, Ulica Domovinskog rata 61, 21000 Split zastupanog po punomoćniku Vedran Anić</derivirana_varijabla>
  </DomainObject.Predmet.ProtustrankaFormatedWithAdress>
  <DomainObject.Predmet.ProtustrankaFormatedWithAdressOIB>
    <izvorni_sadrzaj> OTP banka dioničko društvo, OIB 52508873833, Ulica Domovinskog rata 61, 21000 Split zastupanog po punomoćniku Vedran Anić</izvorni_sadrzaj>
    <derivirana_varijabla naziv="DomainObject.Predmet.ProtustrankaFormatedWithAdressOIB_1"> OTP banka dioničko društvo, OIB 52508873833, Ulica Domovinskog rata 61, 21000 Split zastupanog po punomoćniku Vedran Anić</derivirana_varijabla>
  </DomainObject.Predmet.ProtustrankaFormatedWithAdressOIB>
  <DomainObject.Predmet.ProtustrankaWithAdress>
    <izvorni_sadrzaj>OTP banka dioničko društvo Ulica Domovinskog rata 61, 21000 Split</izvorni_sadrzaj>
    <derivirana_varijabla naziv="DomainObject.Predmet.ProtustrankaWithAdress_1">OTP banka dioničko društvo Ulica Domovinskog rata 61, 21000 Split</derivirana_varijabla>
  </DomainObject.Predmet.ProtustrankaWithAdress>
  <DomainObject.Predmet.ProtustrankaWithAdressOIB>
    <izvorni_sadrzaj>OTP banka dioničko društvo, OIB 52508873833, Ulica Domovinskog rata 61, 21000 Split</izvorni_sadrzaj>
    <derivirana_varijabla naziv="DomainObject.Predmet.ProtustrankaWithAdressOIB_1">OTP banka dioničko društvo, OIB 52508873833, Ulica Domovinskog rata 61, 21000 Split</derivirana_varijabla>
  </DomainObject.Predmet.ProtustrankaWithAdressOIB>
  <DomainObject.Predmet.ProtustrankaNazivFormated>
    <izvorni_sadrzaj>OTP banka dioničko društvo</izvorni_sadrzaj>
    <derivirana_varijabla naziv="DomainObject.Predmet.ProtustrankaNazivFormated_1">OTP banka dioničko društvo</derivirana_varijabla>
  </DomainObject.Predmet.ProtustrankaNazivFormated>
  <DomainObject.Predmet.ProtustrankaNazivFormatedOIB>
    <izvorni_sadrzaj>OTP banka dioničko društvo, OIB 52508873833</izvorni_sadrzaj>
    <derivirana_varijabla naziv="DomainObject.Predmet.ProtustrankaNazivFormatedOIB_1">OTP banka dioničko društvo, OIB 52508873833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23 P - Ljubičić Dunja</izvorni_sadrzaj>
    <derivirana_varijabla naziv="DomainObject.Predmet.Referada.Naziv_1">23 P - Ljubičić Dunja</derivirana_varijabla>
  </DomainObject.Predmet.Referada.Naziv>
  <DomainObject.Predmet.Referada.Oznaka>
    <izvorni_sadrzaj>Ref 23 P</izvorni_sadrzaj>
    <derivirana_varijabla naziv="DomainObject.Predmet.Referada.Oznaka_1">Ref 23 P</derivirana_varijabla>
  </DomainObject.Predmet.Referada.Oznaka>
  <DomainObject.Predmet.Referada.Prostorija.Naziv>
    <izvorni_sadrzaj>Sudnica 318/III</izvorni_sadrzaj>
    <derivirana_varijabla naziv="DomainObject.Predmet.Referada.Prostorija.Naziv_1">Sudnica 318/III</derivirana_varijabla>
  </DomainObject.Predmet.Referada.Prostorija.Naziv>
  <DomainObject.Predmet.Referada.Prostorija.Oznaka>
    <izvorni_sadrzaj>318/III</izvorni_sadrzaj>
    <derivirana_varijabla naziv="DomainObject.Predmet.Referada.Prostorija.Oznaka_1">318/III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Dunja Ljubičić</izvorni_sadrzaj>
    <derivirana_varijabla naziv="DomainObject.Predmet.Referada.Sudac_1">Dunja Ljubičić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ANTE ROGULJIĆ zastupanog po punomoćniku Martina Radić Šunjić</izvorni_sadrzaj>
    <derivirana_varijabla naziv="DomainObject.Predmet.StrankaFormated_1">  ANTE ROGULJIĆ zastupanog po punomoćniku Martina Radić Šunjić</derivirana_varijabla>
  </DomainObject.Predmet.StrankaFormated>
  <DomainObject.Predmet.StrankaFormatedOIB>
    <izvorni_sadrzaj>  ANTE ROGULJIĆ, OIB 98304795304 zastupanog po punomoćniku Martina Radić Šunjić</izvorni_sadrzaj>
    <derivirana_varijabla naziv="DomainObject.Predmet.StrankaFormatedOIB_1">  ANTE ROGULJIĆ, OIB 98304795304 zastupanog po punomoćniku Martina Radić Šunjić</derivirana_varijabla>
  </DomainObject.Predmet.StrankaFormatedOIB>
  <DomainObject.Predmet.StrankaFormatedWithAdress>
    <izvorni_sadrzaj> ANTE ROGULJIĆ, Jurja Šižgorića 20, 21000 Split zastupanog po punomoćniku Martina Radić Šunjić</izvorni_sadrzaj>
    <derivirana_varijabla naziv="DomainObject.Predmet.StrankaFormatedWithAdress_1"> ANTE ROGULJIĆ, Jurja Šižgorića 20, 21000 Split zastupanog po punomoćniku Martina Radić Šunjić</derivirana_varijabla>
  </DomainObject.Predmet.StrankaFormatedWithAdress>
  <DomainObject.Predmet.StrankaFormatedWithAdressOIB>
    <izvorni_sadrzaj> ANTE ROGULJIĆ, OIB 98304795304, Jurja Šižgorića 20, 21000 Split zastupanog po punomoćniku Martina Radić Šunjić</izvorni_sadrzaj>
    <derivirana_varijabla naziv="DomainObject.Predmet.StrankaFormatedWithAdressOIB_1"> ANTE ROGULJIĆ, OIB 98304795304, Jurja Šižgorića 20, 21000 Split zastupanog po punomoćniku Martina Radić Šunjić</derivirana_varijabla>
  </DomainObject.Predmet.StrankaFormatedWithAdressOIB>
  <DomainObject.Predmet.StrankaWithAdress>
    <izvorni_sadrzaj>ANTE ROGULJIĆ Jurja Šižgorića 20,21000 Split</izvorni_sadrzaj>
    <derivirana_varijabla naziv="DomainObject.Predmet.StrankaWithAdress_1">ANTE ROGULJIĆ Jurja Šižgorića 20,21000 Split</derivirana_varijabla>
  </DomainObject.Predmet.StrankaWithAdress>
  <DomainObject.Predmet.StrankaWithAdressOIB>
    <izvorni_sadrzaj>ANTE ROGULJIĆ, OIB 98304795304, Jurja Šižgorića 20,21000 Split</izvorni_sadrzaj>
    <derivirana_varijabla naziv="DomainObject.Predmet.StrankaWithAdressOIB_1">ANTE ROGULJIĆ, OIB 98304795304, Jurja Šižgorića 20,21000 Split</derivirana_varijabla>
  </DomainObject.Predmet.StrankaWithAdressOIB>
  <DomainObject.Predmet.StrankaNazivFormated>
    <izvorni_sadrzaj>ANTE ROGULJIĆ</izvorni_sadrzaj>
    <derivirana_varijabla naziv="DomainObject.Predmet.StrankaNazivFormated_1">ANTE ROGULJIĆ</derivirana_varijabla>
  </DomainObject.Predmet.StrankaNazivFormated>
  <DomainObject.Predmet.StrankaNazivFormatedOIB>
    <izvorni_sadrzaj>ANTE ROGULJIĆ, OIB 98304795304</izvorni_sadrzaj>
    <derivirana_varijabla naziv="DomainObject.Predmet.StrankaNazivFormatedOIB_1">ANTE ROGULJIĆ, OIB 98304795304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Gundulićeva 27</izvorni_sadrzaj>
    <derivirana_varijabla naziv="DomainObject.Predmet.Sud.Adresa.UlicaIKBR_1">Gundulićeva 27</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23 P - Ljubičić Dunja</izvorni_sadrzaj>
    <derivirana_varijabla naziv="DomainObject.Predmet.TrenutnaLokacijaSpisa.Naziv_1">23 P - Ljubičić Dunja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parničnog odjela</izvorni_sadrzaj>
    <derivirana_varijabla naziv="DomainObject.Predmet.UstrojstvenaJedinicaVodi.Naziv_1">Pisarnica parničnog odjela</derivirana_varijabla>
  </DomainObject.Predmet.UstrojstvenaJedinicaVodi.Naziv>
  <DomainObject.Predmet.UstrojstvenaJedinicaVodi.Oznaka>
    <izvorni_sadrzaj>P pisarn.</izvorni_sadrzaj>
    <derivirana_varijabla naziv="DomainObject.Predmet.UstrojstvenaJedinicaVodi.Oznaka_1">P pisarn.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Obvezno - isplata</izvorni_sadrzaj>
    <derivirana_varijabla naziv="DomainObject.Predmet.VrstaSpora.Naziv_1">Obvezno - isplata</derivirana_varijabla>
  </DomainObject.Predmet.VrstaSpora.Naziv>
  <DomainObject.Predmet.Zapisnicar>
    <izvorni_sadrzaj>Sanela Duplančić</izvorni_sadrzaj>
    <derivirana_varijabla naziv="DomainObject.Predmet.Zapisnicar_1">Sanela Duplančić</derivirana_varijabla>
  </DomainObject.Predmet.Zapisnicar>
  <DomainObject.Predmet.StrankaListFormated>
    <izvorni_sadrzaj>
      <item>ANTE ROGULJIĆ zastupanog po punomoćniku Martina Radić Šunjić</item>
    </izvorni_sadrzaj>
    <derivirana_varijabla naziv="DomainObject.Predmet.StrankaListFormated_1">
      <item>ANTE ROGULJIĆ zastupanog po punomoćniku Martina Radić Šunjić</item>
    </derivirana_varijabla>
  </DomainObject.Predmet.StrankaListFormated>
  <DomainObject.Predmet.StrankaListFormatedOIB>
    <izvorni_sadrzaj>
      <item>ANTE ROGULJIĆ, OIB 98304795304 zastupanog po punomoćniku Martina Radić Šunjić</item>
    </izvorni_sadrzaj>
    <derivirana_varijabla naziv="DomainObject.Predmet.StrankaListFormatedOIB_1">
      <item>ANTE ROGULJIĆ, OIB 98304795304 zastupanog po punomoćniku Martina Radić Šunjić</item>
    </derivirana_varijabla>
  </DomainObject.Predmet.StrankaListFormatedOIB>
  <DomainObject.Predmet.StrankaListFormatedWithAdress>
    <izvorni_sadrzaj>
      <item>ANTE ROGULJIĆ, Jurja Šižgorića 20, 21000 Split zastupanog po punomoćniku Martina Radić Šunjić</item>
    </izvorni_sadrzaj>
    <derivirana_varijabla naziv="DomainObject.Predmet.StrankaListFormatedWithAdress_1">
      <item>ANTE ROGULJIĆ, Jurja Šižgorića 20, 21000 Split zastupanog po punomoćniku Martina Radić Šunjić</item>
    </derivirana_varijabla>
  </DomainObject.Predmet.StrankaListFormatedWithAdress>
  <DomainObject.Predmet.StrankaListFormatedWithAdressOIB>
    <izvorni_sadrzaj>
      <item>ANTE ROGULJIĆ, OIB 98304795304, Jurja Šižgorića 20, 21000 Split zastupanog po punomoćniku Martina Radić Šunjić</item>
    </izvorni_sadrzaj>
    <derivirana_varijabla naziv="DomainObject.Predmet.StrankaListFormatedWithAdressOIB_1">
      <item>ANTE ROGULJIĆ, OIB 98304795304, Jurja Šižgorića 20, 21000 Split zastupanog po punomoćniku Martina Radić Šunjić</item>
    </derivirana_varijabla>
  </DomainObject.Predmet.StrankaListFormatedWithAdressOIB>
  <DomainObject.Predmet.StrankaListNazivFormated>
    <izvorni_sadrzaj>
      <item>ANTE ROGULJIĆ</item>
    </izvorni_sadrzaj>
    <derivirana_varijabla naziv="DomainObject.Predmet.StrankaListNazivFormated_1">
      <item>ANTE ROGULJIĆ</item>
    </derivirana_varijabla>
  </DomainObject.Predmet.StrankaListNazivFormated>
  <DomainObject.Predmet.StrankaListNazivFormatedOIB>
    <izvorni_sadrzaj>
      <item>ANTE ROGULJIĆ, OIB 98304795304</item>
    </izvorni_sadrzaj>
    <derivirana_varijabla naziv="DomainObject.Predmet.StrankaListNazivFormatedOIB_1">
      <item>ANTE ROGULJIĆ, OIB 98304795304</item>
    </derivirana_varijabla>
  </DomainObject.Predmet.StrankaListNazivFormatedOIB>
  <DomainObject.Predmet.ProtuStrankaListFormated>
    <izvorni_sadrzaj>
      <item>OTP banka dioničko društvo zastupanog po punomoćniku Vedran Anić</item>
    </izvorni_sadrzaj>
    <derivirana_varijabla naziv="DomainObject.Predmet.ProtuStrankaListFormated_1">
      <item>OTP banka dioničko društvo zastupanog po punomoćniku Vedran Anić</item>
    </derivirana_varijabla>
  </DomainObject.Predmet.ProtuStrankaListFormated>
  <DomainObject.Predmet.ProtuStrankaListFormatedOIB>
    <izvorni_sadrzaj>
      <item>OTP banka dioničko društvo, OIB 52508873833 zastupanog po punomoćniku Vedran Anić</item>
    </izvorni_sadrzaj>
    <derivirana_varijabla naziv="DomainObject.Predmet.ProtuStrankaListFormatedOIB_1">
      <item>OTP banka dioničko društvo, OIB 52508873833 zastupanog po punomoćniku Vedran Anić</item>
    </derivirana_varijabla>
  </DomainObject.Predmet.ProtuStrankaListFormatedOIB>
  <DomainObject.Predmet.ProtuStrankaListFormatedWithAdress>
    <izvorni_sadrzaj>
      <item>OTP banka dioničko društvo, Ulica Domovinskog rata 61, 21000 Split zastupanog po punomoćniku Vedran Anić</item>
    </izvorni_sadrzaj>
    <derivirana_varijabla naziv="DomainObject.Predmet.ProtuStrankaListFormatedWithAdress_1">
      <item>OTP banka dioničko društvo, Ulica Domovinskog rata 61, 21000 Split zastupanog po punomoćniku Vedran Anić</item>
    </derivirana_varijabla>
  </DomainObject.Predmet.ProtuStrankaListFormatedWithAdress>
  <DomainObject.Predmet.ProtuStrankaListFormatedWithAdressOIB>
    <izvorni_sadrzaj>
      <item>OTP banka dioničko društvo, OIB 52508873833, Ulica Domovinskog rata 61, 21000 Split zastupanog po punomoćniku Vedran Anić</item>
    </izvorni_sadrzaj>
    <derivirana_varijabla naziv="DomainObject.Predmet.ProtuStrankaListFormatedWithAdressOIB_1">
      <item>OTP banka dioničko društvo, OIB 52508873833, Ulica Domovinskog rata 61, 21000 Split zastupanog po punomoćniku Vedran Anić</item>
    </derivirana_varijabla>
  </DomainObject.Predmet.ProtuStrankaListFormatedWithAdressOIB>
  <DomainObject.Predmet.ProtuStrankaListNazivFormated>
    <izvorni_sadrzaj>
      <item>OTP banka dioničko društvo</item>
    </izvorni_sadrzaj>
    <derivirana_varijabla naziv="DomainObject.Predmet.ProtuStrankaListNazivFormated_1">
      <item>OTP banka dioničko društvo</item>
    </derivirana_varijabla>
  </DomainObject.Predmet.ProtuStrankaListNazivFormated>
  <DomainObject.Predmet.ProtuStrankaListNazivFormatedOIB>
    <izvorni_sadrzaj>
      <item>OTP banka dioničko društvo, OIB 52508873833</item>
    </izvorni_sadrzaj>
    <derivirana_varijabla naziv="DomainObject.Predmet.ProtuStrankaListNazivFormatedOIB_1">
      <item>OTP banka dioničko društvo, OIB 52508873833</item>
    </derivirana_varijabla>
  </DomainObject.Predmet.ProtuStrankaListNazivFormatedOIB>
  <DomainObject.Predmet.OstaliListFormated>
    <izvorni_sadrzaj>
      <item>Martina Radić Šunjić punomoćnik sudionika u postupku ANTE ROGULJIĆ</item>
      <item>Vedran Anić punomoćnik sudionika u postupku OTP banka dioničko društvo</item>
    </izvorni_sadrzaj>
    <derivirana_varijabla naziv="DomainObject.Predmet.OstaliListFormated_1">
      <item>Martina Radić Šunjić punomoćnik sudionika u postupku ANTE ROGULJIĆ</item>
      <item>Vedran Anić punomoćnik sudionika u postupku OTP banka dioničko društvo</item>
    </derivirana_varijabla>
  </DomainObject.Predmet.OstaliListFormated>
  <DomainObject.Predmet.OstaliListFormatedOIB>
    <izvorni_sadrzaj>
      <item>Martina Radić Šunjić, OIB 33299498859 punomoćnik sudionika u postupku ANTE ROGULJIĆ</item>
      <item>Vedran Anić, OIB 79557705754 punomoćnik sudionika u postupku OTP banka dioničko društvo</item>
    </izvorni_sadrzaj>
    <derivirana_varijabla naziv="DomainObject.Predmet.OstaliListFormatedOIB_1">
      <item>Martina Radić Šunjić, OIB 33299498859 punomoćnik sudionika u postupku ANTE ROGULJIĆ</item>
      <item>Vedran Anić, OIB 79557705754 punomoćnik sudionika u postupku OTP banka dioničko društvo</item>
    </derivirana_varijabla>
  </DomainObject.Predmet.OstaliListFormatedOIB>
  <DomainObject.Predmet.OstaliListFormatedWithAdress>
    <izvorni_sadrzaj>
      <item>Martina Radić Šunjić punomoćnik sudionika u postupku ANTE ROGULJIĆ</item>
      <item>Vedran Anić, Lovretska 14/I, 21000 Split punomoćnik sudionika u postupku OTP banka dioničko društvo</item>
    </izvorni_sadrzaj>
    <derivirana_varijabla naziv="DomainObject.Predmet.OstaliListFormatedWithAdress_1">
      <item>Martina Radić Šunjić punomoćnik sudionika u postupku ANTE ROGULJIĆ</item>
      <item>Vedran Anić, Lovretska 14/I, 21000 Split punomoćnik sudionika u postupku OTP banka dioničko društvo</item>
    </derivirana_varijabla>
  </DomainObject.Predmet.OstaliListFormatedWithAdress>
  <DomainObject.Predmet.OstaliListFormatedWithAdressOIB>
    <izvorni_sadrzaj>
      <item>Martina Radić Šunjić, OIB 33299498859 punomoćnik sudionika u postupku ANTE ROGULJIĆ</item>
      <item>Vedran Anić, OIB 79557705754, Lovretska 14/I, 21000 Split punomoćnik sudionika u postupku OTP banka dioničko društvo</item>
    </izvorni_sadrzaj>
    <derivirana_varijabla naziv="DomainObject.Predmet.OstaliListFormatedWithAdressOIB_1">
      <item>Martina Radić Šunjić, OIB 33299498859 punomoćnik sudionika u postupku ANTE ROGULJIĆ</item>
      <item>Vedran Anić, OIB 79557705754, Lovretska 14/I, 21000 Split punomoćnik sudionika u postupku OTP banka dioničko društvo</item>
    </derivirana_varijabla>
  </DomainObject.Predmet.OstaliListFormatedWithAdressOIB>
  <DomainObject.Predmet.OstaliListNazivFormated>
    <izvorni_sadrzaj>
      <item>Martina Radić Šunjić</item>
      <item>Vedran Anić</item>
    </izvorni_sadrzaj>
    <derivirana_varijabla naziv="DomainObject.Predmet.OstaliListNazivFormated_1">
      <item>Martina Radić Šunjić</item>
      <item>Vedran Anić</item>
    </derivirana_varijabla>
  </DomainObject.Predmet.OstaliListNazivFormated>
  <DomainObject.Predmet.OstaliListNazivFormatedOIB>
    <izvorni_sadrzaj>
      <item>Martina Radić Šunjić, OIB 33299498859</item>
      <item>Vedran Anić, OIB 79557705754</item>
    </izvorni_sadrzaj>
    <derivirana_varijabla naziv="DomainObject.Predmet.OstaliListNazivFormatedOIB_1">
      <item>Martina Radić Šunjić, OIB 33299498859</item>
      <item>Vedran Anić, OIB 79557705754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Predmet.FunkcijaOsobe>
    <izvorni_sadrzaj/>
    <derivirana_varijabla naziv="DomainObject.Predmet.FunkcijaOsobe_1"/>
  </DomainObject.Predmet.FunkcijaOsobe>
  <DomainObject.Datum>
    <izvorni_sadrzaj>22. srpnja 2026.</izvorni_sadrzaj>
    <derivirana_varijabla naziv="DomainObject.Datum_1">22. srpnja 2026.</derivirana_varijabla>
  </DomainObject.Datum>
  <DomainObject.PoslovniBrojDokumenta>
    <izvorni_sadrzaj>P-1172/2023-18</izvorni_sadrzaj>
    <derivirana_varijabla naziv="DomainObject.PoslovniBrojDokumenta_1">P-1172/2023-18</derivirana_varijabla>
  </DomainObject.PoslovniBrojDokumenta>
  <DomainObject.Predmet.StrankaIDrugi>
    <izvorni_sadrzaj>ANTE ROGULJIĆ</izvorni_sadrzaj>
    <derivirana_varijabla naziv="DomainObject.Predmet.StrankaIDrugi_1">ANTE ROGULJIĆ</derivirana_varijabla>
  </DomainObject.Predmet.StrankaIDrugi>
  <DomainObject.Predmet.ProtustrankaIDrugi>
    <izvorni_sadrzaj>OTP banka dioničko društvo</izvorni_sadrzaj>
    <derivirana_varijabla naziv="DomainObject.Predmet.ProtustrankaIDrugi_1">OTP banka dioničko društvo</derivirana_varijabla>
  </DomainObject.Predmet.ProtustrankaIDrugi>
  <DomainObject.Predmet.StrankaIDrugiAdressOIB>
    <izvorni_sadrzaj>ANTE ROGULJIĆ, OIB 98304795304, Jurja Šižgorića 20, 21000 Split</izvorni_sadrzaj>
    <derivirana_varijabla naziv="DomainObject.Predmet.StrankaIDrugiAdressOIB_1">ANTE ROGULJIĆ, OIB 98304795304, Jurja Šižgorića 20, 21000 Split</derivirana_varijabla>
  </DomainObject.Predmet.StrankaIDrugiAdressOIB>
  <DomainObject.Predmet.ProtustrankaIDrugiAdressOIB>
    <izvorni_sadrzaj>OTP banka dioničko društvo, OIB 52508873833, Ulica Domovinskog rata 61, 21000 Split</izvorni_sadrzaj>
    <derivirana_varijabla naziv="DomainObject.Predmet.ProtustrankaIDrugiAdressOIB_1">OTP banka dioničko društvo, OIB 52508873833, Ulica Domovinskog rata 61,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ANTE ROGULJIĆ</item>
      <item>OTP banka dioničko društvo</item>
      <item>Martina Radić Šunjić</item>
      <item>Vedran Anić</item>
    </izvorni_sadrzaj>
    <derivirana_varijabla naziv="DomainObject.Predmet.SudioniciListNaziv_1">
      <item>ANTE ROGULJIĆ</item>
      <item>OTP banka dioničko društvo</item>
      <item>Martina Radić Šunjić</item>
      <item>Vedran Anić</item>
    </derivirana_varijabla>
  </DomainObject.Predmet.SudioniciListNaziv>
  <DomainObject.Predmet.SudioniciListAdressOIB>
    <izvorni_sadrzaj>
      <item>ANTE ROGULJIĆ, OIB 98304795304, Jurja Šižgorića 20,21000 Split</item>
      <item>OTP banka dioničko društvo, OIB 52508873833, Ulica Domovinskog rata 61,21000 Split</item>
      <item>Martina Radić Šunjić, OIB 33299498859</item>
      <item>Vedran Anić, OIB 79557705754, Lovretska 14/I,21000 Split</item>
    </izvorni_sadrzaj>
    <derivirana_varijabla naziv="DomainObject.Predmet.SudioniciListAdressOIB_1">
      <item>ANTE ROGULJIĆ, OIB 98304795304, Jurja Šižgorića 20,21000 Split</item>
      <item>OTP banka dioničko društvo, OIB 52508873833, Ulica Domovinskog rata 61,21000 Split</item>
      <item>Martina Radić Šunjić, OIB 33299498859</item>
      <item>Vedran Anić, OIB 79557705754,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98304795304</item>
      <item>, OIB 52508873833</item>
      <item>, OIB 33299498859</item>
      <item>, OIB 79557705754</item>
    </izvorni_sadrzaj>
    <derivirana_varijabla naziv="DomainObject.Predmet.SudioniciListNazivOIB_1">
      <item>, OIB 98304795304</item>
      <item>, OIB 52508873833</item>
      <item>, OIB 33299498859</item>
      <item>, OIB 79557705754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 srpnja 2026.</izvorni_sadrzaj>
    <derivirana_varijabla naziv="DomainObject.PredzadnjaOdlukaIzPredmeta.DatumDonosenjaOdluke_1">2. srpnja 2026.</derivirana_varijabla>
  </DomainObject.PredzadnjaOdlukaIzPredmeta.DatumDonosenjaOdluke>
  <DomainObject.PredzadnjaOdlukaIzPredmeta.Oznaka>
    <izvorni_sadrzaj>P-1172/2023-16</izvorni_sadrzaj>
    <derivirana_varijabla naziv="DomainObject.PredzadnjaOdlukaIzPredmeta.Oznaka_1">P-1172/2023-16</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ožujka 2023.</izvorni_sadrzaj>
    <derivirana_varijabla naziv="DomainObject.Predmet.DatumPocetkaProcesa_1">27. ožujka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964BC2-CC5E-4471-91F0-0F260F0ABEB5}">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8</properties:Pages>
  <properties:Words>3433</properties:Words>
  <properties:Characters>17910</properties:Characters>
  <properties:Lines>360</properties:Lines>
  <properties:Paragraphs>138</properties:Paragraphs>
  <properties:TotalTime>72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21278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2026-07-20T10:57:00Z</dcterms:created>
  <dc:creator>Dunja Ljubičić</dc:creator>
  <cp:lastModifiedBy>Sanela Duplančić</cp:lastModifiedBy>
  <dcterms:modified xmlns:xsi="http://www.w3.org/2001/XMLSchema-instance" xsi:type="dcterms:W3CDTF">2026-07-22T10:47:00Z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P-1172/2023-18 / Odluka - Presuda (ROGULJIĆ-OTP_valuta.docx)</vt:lpwstr>
  </prop:property>
  <prop:property fmtid="{D5CDD505-2E9C-101B-9397-08002B2CF9AE}" pid="4" name="CC_coloring">
    <vt:bool>false</vt:bool>
  </prop:property>
  <prop:property fmtid="{D5CDD505-2E9C-101B-9397-08002B2CF9AE}" pid="5" name="BrojStranica">
    <vt:i4>8</vt:i4>
  </prop:property>
</prop:Properties>
</file>