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369"/>
        <w:gridCol w:w="5811"/>
      </w:tblGrid>
      <w:tr w:rsidTr="00DA5B9D" w:rsidR="007D3A67" w:rsidRPr="000C549C">
        <w:trPr>
          <w:trHeight w:val="2231"/>
        </w:trPr>
        <w:tc>
          <w:tcPr>
            <w:tcW w:type="dxa" w:w="3369"/>
            <w:vAlign w:val="center"/>
          </w:tcPr>
          <w:p w:rsidRDefault="007D3A67" w:rsidP="00A66C00" w:rsidR="007D3A67" w:rsidRPr="000C549C">
            <w:pPr>
              <w:spacing w:before="100"/>
              <w:jc w:val="center"/>
            </w:pPr>
            <w:bookmarkStart w:name="_GoBack" w:id="0"/>
            <w:bookmarkEnd w:id="0"/>
            <w:r w:rsidRPr="000C549C">
              <w:rPr>
                <w:noProof/>
              </w:rPr>
              <w:drawing>
                <wp:inline distR="0" distL="0" distB="0" distT="0">
                  <wp:extent cy="719455" cx="542290"/>
                  <wp:effectExtent b="0" r="0" t="0" l="0"/>
                  <wp:docPr name="Slika 4"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9455" cx="542290"/>
                          </a:xfrm>
                          <a:prstGeom prst="rect">
                            <a:avLst/>
                          </a:prstGeom>
                          <a:noFill/>
                        </pic:spPr>
                      </pic:pic>
                    </a:graphicData>
                  </a:graphic>
                </wp:inline>
              </w:drawing>
            </w:r>
          </w:p>
          <w:p w:rsidRDefault="007D3A67" w:rsidP="00A66C00" w:rsidR="007D3A67" w:rsidRPr="000C549C">
            <w:pPr>
              <w:spacing w:before="100"/>
            </w:pPr>
            <w:r w:rsidRPr="000C549C">
              <w:t>REPUBLIKA HRVATSKA</w:t>
            </w:r>
          </w:p>
          <w:p w:rsidRDefault="007D3A67" w:rsidP="00A66C00" w:rsidR="007D3A67" w:rsidRPr="000C549C">
            <w:r w:rsidRPr="000C549C">
              <w:t>TRGOVAČKI SUD U SPLITU</w:t>
            </w:r>
          </w:p>
          <w:p w:rsidRDefault="007D3A67" w:rsidP="00DA5B9D" w:rsidR="007D3A67" w:rsidRPr="000C549C">
            <w:r w:rsidRPr="000C549C">
              <w:t>Split, Sukoišanska 6</w:t>
            </w:r>
          </w:p>
        </w:tc>
        <w:tc>
          <w:tcPr>
            <w:tcW w:type="dxa" w:w="5811"/>
          </w:tcPr>
          <w:p w:rsidRDefault="007D3A67" w:rsidP="00DA5B9D" w:rsidR="007D3A67" w:rsidRPr="000C549C">
            <w:pPr>
              <w:jc w:val="both"/>
            </w:pPr>
          </w:p>
          <w:p w:rsidRDefault="007D3A67" w:rsidP="00DA5B9D" w:rsidR="007D3A67" w:rsidRPr="000C549C">
            <w:pPr>
              <w:jc w:val="both"/>
            </w:pPr>
          </w:p>
          <w:p w:rsidRDefault="007D3A67" w:rsidP="00DA5B9D" w:rsidR="007D3A67" w:rsidRPr="000C549C">
            <w:pPr>
              <w:jc w:val="both"/>
            </w:pPr>
          </w:p>
          <w:p w:rsidRDefault="007D3A67" w:rsidP="00DA5B9D" w:rsidR="007D3A67" w:rsidRPr="000C549C">
            <w:pPr>
              <w:jc w:val="right"/>
            </w:pPr>
          </w:p>
          <w:p w:rsidRDefault="007D3A67" w:rsidP="00DA5B9D" w:rsidR="007D3A67" w:rsidRPr="000C549C">
            <w:pPr>
              <w:jc w:val="right"/>
            </w:pPr>
          </w:p>
          <w:p w:rsidRDefault="007D3A67" w:rsidP="00DA5B9D" w:rsidR="007D3A67" w:rsidRPr="000C549C">
            <w:pPr>
              <w:jc w:val="right"/>
            </w:pPr>
          </w:p>
          <w:p w:rsidRDefault="007D3A67" w:rsidP="00DA5B9D" w:rsidR="007D3A67" w:rsidRPr="000C549C">
            <w:pPr>
              <w:jc w:val="right"/>
            </w:pPr>
          </w:p>
          <w:p w:rsidRDefault="007D3A67" w:rsidP="00CF13C9" w:rsidR="007D3A67" w:rsidRPr="000C549C">
            <w:pPr>
              <w:ind w:right="-108"/>
              <w:jc w:val="right"/>
            </w:pPr>
            <w:r w:rsidRPr="000C549C">
              <w:t>Poslovni broj: 11.St-</w:t>
            </w:r>
            <w:r w:rsidR="00557924">
              <w:t>116</w:t>
            </w:r>
            <w:r w:rsidR="003C314A" w:rsidRPr="000C549C">
              <w:t>/2014</w:t>
            </w:r>
            <w:r w:rsidR="00557924">
              <w:t>-94</w:t>
            </w:r>
          </w:p>
        </w:tc>
      </w:tr>
    </w:tbl>
    <w:p w14:textId="8efb4b3" w14:paraId="8efb4b3" w:rsidRDefault="00FB13E8" w:rsidP="00FB13E8" w:rsidR="00FB13E8" w:rsidRPr="000C549C">
      <w:pPr>
        <w15:collapsed w:val="false"/>
      </w:pPr>
      <w:r w:rsidRPr="000C549C">
        <w:tab/>
      </w:r>
    </w:p>
    <w:p w:rsidRDefault="00BB5672" w:rsidP="00BB5672" w:rsidR="007225C5" w:rsidRPr="000C549C">
      <w:pPr>
        <w:jc w:val="center"/>
      </w:pPr>
      <w:r w:rsidRPr="000C549C">
        <w:t xml:space="preserve">R E P U B L I K A    H R V A T S K A </w:t>
      </w:r>
    </w:p>
    <w:p w:rsidRDefault="00BB5672" w:rsidP="00BB5672" w:rsidR="00BB5672" w:rsidRPr="000C549C">
      <w:pPr>
        <w:jc w:val="center"/>
      </w:pPr>
    </w:p>
    <w:p w:rsidRDefault="00FB13E8" w:rsidP="008D23A9" w:rsidR="00FB13E8" w:rsidRPr="000C549C">
      <w:pPr>
        <w:pStyle w:val="Naslov1"/>
        <w:rPr>
          <w:b w:val="false"/>
        </w:rPr>
      </w:pPr>
      <w:r w:rsidRPr="000C549C">
        <w:rPr>
          <w:b w:val="false"/>
        </w:rPr>
        <w:t>R J E Š E N J E</w:t>
      </w:r>
    </w:p>
    <w:p w:rsidRDefault="00FB13E8" w:rsidP="00FB13E8" w:rsidR="00FB13E8" w:rsidRPr="000C549C"/>
    <w:p w:rsidRDefault="00EC7984" w:rsidP="00CE4596" w:rsidR="00A34246" w:rsidRPr="007E15E7">
      <w:pPr>
        <w:jc w:val="both"/>
      </w:pPr>
      <w:r w:rsidRPr="007E15E7">
        <w:tab/>
      </w:r>
      <w:r w:rsidRPr="00F52DEE">
        <w:t xml:space="preserve">Trgovački sud u Splitu, po sutkinji Ani Golub Gruić, u </w:t>
      </w:r>
      <w:r w:rsidR="004A46B2" w:rsidRPr="00F52DEE">
        <w:t xml:space="preserve">stečajnom postupku nad dužnikom </w:t>
      </w:r>
      <w:r w:rsidR="00557924" w:rsidRPr="00F52DEE">
        <w:rPr>
          <w:rFonts w:eastAsia="Calibri"/>
          <w:lang w:eastAsia="en-US"/>
        </w:rPr>
        <w:t xml:space="preserve">TOPOLA d.o.o. u stečaju, OIB: 78168323445, Imotski, Imotskih iseljenika 3, </w:t>
      </w:r>
      <w:r w:rsidR="00F52DEE" w:rsidRPr="00F52DEE">
        <w:rPr>
          <w:rFonts w:eastAsia="Calibri"/>
          <w:lang w:eastAsia="en-US"/>
        </w:rPr>
        <w:t>2</w:t>
      </w:r>
      <w:r w:rsidR="0025746A">
        <w:rPr>
          <w:rFonts w:eastAsia="Calibri"/>
          <w:lang w:eastAsia="en-US"/>
        </w:rPr>
        <w:t>5</w:t>
      </w:r>
      <w:r w:rsidR="00557924" w:rsidRPr="00F52DEE">
        <w:rPr>
          <w:rFonts w:eastAsia="Calibri"/>
          <w:lang w:eastAsia="en-US"/>
        </w:rPr>
        <w:t>. listopada 2018.</w:t>
      </w:r>
    </w:p>
    <w:p w:rsidRDefault="00032A28" w:rsidP="003F3FEC" w:rsidR="00032A28" w:rsidRPr="000C549C">
      <w:pPr>
        <w:pStyle w:val="Tijeloteksta"/>
        <w:tabs>
          <w:tab w:pos="1080" w:val="left"/>
        </w:tabs>
        <w:spacing w:after="300" w:before="100"/>
        <w:jc w:val="center"/>
      </w:pPr>
      <w:r w:rsidRPr="000C549C">
        <w:t xml:space="preserve">r i j e š i o   j e </w:t>
      </w:r>
    </w:p>
    <w:p w:rsidRDefault="005466CB" w:rsidP="006E5AA6" w:rsidR="00557924">
      <w:pPr>
        <w:pStyle w:val="Tijeloteksta"/>
        <w:tabs>
          <w:tab w:pos="1080" w:val="left"/>
        </w:tabs>
        <w:spacing w:before="200"/>
        <w:ind w:firstLine="709"/>
      </w:pPr>
      <w:r w:rsidRPr="000C549C">
        <w:t xml:space="preserve">I. </w:t>
      </w:r>
      <w:r w:rsidR="006E5AA6" w:rsidRPr="000C549C">
        <w:t xml:space="preserve">Iz iznosa kupovnine od </w:t>
      </w:r>
      <w:r w:rsidR="00557924">
        <w:t>266.000,00</w:t>
      </w:r>
      <w:r w:rsidR="006E5AA6" w:rsidRPr="000C549C">
        <w:t xml:space="preserve"> kn</w:t>
      </w:r>
      <w:r w:rsidR="00DE4E76" w:rsidRPr="000C549C">
        <w:t>,</w:t>
      </w:r>
      <w:r w:rsidR="006E5AA6" w:rsidRPr="000C549C">
        <w:t xml:space="preserve"> dobiven</w:t>
      </w:r>
      <w:r w:rsidR="00DE4E76" w:rsidRPr="000C549C">
        <w:t>e</w:t>
      </w:r>
      <w:r w:rsidR="006E5AA6" w:rsidRPr="000C549C">
        <w:t xml:space="preserve"> unovčenjem</w:t>
      </w:r>
      <w:r w:rsidR="00557924">
        <w:t xml:space="preserve"> nekretnina u vlasništvu stečajnog dužnika:</w:t>
      </w:r>
    </w:p>
    <w:p w:rsidRDefault="00557924" w:rsidP="00557924" w:rsidR="00557924" w:rsidRPr="00A4017E">
      <w:pPr>
        <w:spacing w:before="60"/>
        <w:ind w:firstLine="709"/>
        <w:jc w:val="both"/>
        <w:rPr>
          <w:rFonts w:eastAsia="Calibri"/>
          <w:lang w:eastAsia="en-US"/>
        </w:rPr>
      </w:pPr>
      <w:r>
        <w:t xml:space="preserve">  a)</w:t>
      </w:r>
      <w:r w:rsidRPr="00A4017E">
        <w:t xml:space="preserve"> </w:t>
      </w:r>
      <w:r>
        <w:rPr>
          <w:rFonts w:eastAsia="Calibri"/>
          <w:lang w:eastAsia="en-US"/>
        </w:rPr>
        <w:t xml:space="preserve">2/100 </w:t>
      </w:r>
      <w:r w:rsidRPr="00A4017E">
        <w:rPr>
          <w:rFonts w:eastAsia="Calibri"/>
          <w:lang w:eastAsia="en-US"/>
        </w:rPr>
        <w:t>dijela kat. čest. 3018</w:t>
      </w:r>
      <w:r w:rsidRPr="00A4017E">
        <w:rPr>
          <w:rFonts w:eastAsia="Calibri" w:hAnsi="Calibri" w:ascii="Calibri"/>
          <w:sz w:val="22"/>
          <w:szCs w:val="22"/>
          <w:lang w:eastAsia="en-US"/>
        </w:rPr>
        <w:t xml:space="preserve"> </w:t>
      </w:r>
      <w:r w:rsidRPr="00A4017E">
        <w:rPr>
          <w:rFonts w:eastAsia="Calibri"/>
          <w:lang w:eastAsia="en-US"/>
        </w:rPr>
        <w:t>Z.U. 2359 K.O. Imotski – Glavina, u naravi poslovni prostor oznake PP1 u suterenu, prema navedenom elaboratu, ukupne neto korisne površine 25,62 m</w:t>
      </w:r>
      <w:r w:rsidRPr="00A4017E">
        <w:rPr>
          <w:rFonts w:eastAsia="Calibri"/>
          <w:vertAlign w:val="superscript"/>
          <w:lang w:eastAsia="en-US"/>
        </w:rPr>
        <w:t>2</w:t>
      </w:r>
    </w:p>
    <w:p w:rsidRDefault="00557924" w:rsidP="00557924" w:rsidR="00557924" w:rsidRPr="00A4017E">
      <w:pPr>
        <w:spacing w:before="60"/>
        <w:ind w:firstLine="709"/>
        <w:jc w:val="both"/>
        <w:rPr>
          <w:rFonts w:eastAsia="Calibri"/>
          <w:lang w:eastAsia="en-US"/>
        </w:rPr>
      </w:pPr>
      <w:r>
        <w:rPr>
          <w:rFonts w:eastAsia="Calibri"/>
          <w:lang w:eastAsia="en-US"/>
        </w:rPr>
        <w:t xml:space="preserve">b) 2/100 </w:t>
      </w:r>
      <w:r w:rsidRPr="00A4017E">
        <w:rPr>
          <w:rFonts w:eastAsia="Calibri"/>
          <w:lang w:eastAsia="en-US"/>
        </w:rPr>
        <w:t>dijela</w:t>
      </w:r>
      <w:r w:rsidRPr="00A4017E">
        <w:rPr>
          <w:rFonts w:eastAsia="Calibri" w:hAnsi="Calibri" w:ascii="Calibri"/>
          <w:sz w:val="22"/>
          <w:szCs w:val="22"/>
          <w:lang w:eastAsia="en-US"/>
        </w:rPr>
        <w:t xml:space="preserve"> </w:t>
      </w:r>
      <w:r w:rsidRPr="00A4017E">
        <w:rPr>
          <w:rFonts w:eastAsia="Calibri"/>
          <w:lang w:eastAsia="en-US"/>
        </w:rPr>
        <w:t>kat. čest. 3018 Z.U. 2359 K.O. Imotski – Glavina, u naravi poslovni prostor oznake PP2 u suterenu, prema navedenom elaboratu, ukupne neto korisne površine 29,60 m</w:t>
      </w:r>
      <w:r w:rsidRPr="00A4017E">
        <w:rPr>
          <w:rFonts w:eastAsia="Calibri"/>
          <w:vertAlign w:val="superscript"/>
          <w:lang w:eastAsia="en-US"/>
        </w:rPr>
        <w:t>2</w:t>
      </w:r>
    </w:p>
    <w:p w:rsidRDefault="00557924" w:rsidP="00557924" w:rsidR="00557924" w:rsidRPr="00A4017E">
      <w:pPr>
        <w:spacing w:before="60"/>
        <w:ind w:firstLine="709"/>
        <w:jc w:val="both"/>
        <w:rPr>
          <w:rFonts w:eastAsia="Calibri"/>
          <w:lang w:eastAsia="en-US"/>
        </w:rPr>
      </w:pPr>
      <w:r>
        <w:rPr>
          <w:rFonts w:eastAsia="Calibri"/>
          <w:lang w:eastAsia="en-US"/>
        </w:rPr>
        <w:t xml:space="preserve">c) 4/100 </w:t>
      </w:r>
      <w:r w:rsidRPr="00A4017E">
        <w:rPr>
          <w:rFonts w:eastAsia="Calibri"/>
          <w:lang w:eastAsia="en-US"/>
        </w:rPr>
        <w:t>dijela</w:t>
      </w:r>
      <w:r w:rsidRPr="00A4017E">
        <w:rPr>
          <w:rFonts w:eastAsia="Calibri" w:hAnsi="Calibri" w:ascii="Calibri"/>
          <w:sz w:val="22"/>
          <w:szCs w:val="22"/>
          <w:lang w:eastAsia="en-US"/>
        </w:rPr>
        <w:t xml:space="preserve"> </w:t>
      </w:r>
      <w:r w:rsidRPr="00A4017E">
        <w:rPr>
          <w:rFonts w:eastAsia="Calibri"/>
          <w:lang w:eastAsia="en-US"/>
        </w:rPr>
        <w:t>kat. čest. 3018 Z.U. 2359 K.O. Imotski – Glavina, u naravi poslovni prostor oznake PP3 u suterenu, prema navedenom elaboratu, ukupne neto korisne površine 61,07 m</w:t>
      </w:r>
      <w:r w:rsidRPr="00A4017E">
        <w:rPr>
          <w:rFonts w:eastAsia="Calibri"/>
          <w:vertAlign w:val="superscript"/>
          <w:lang w:eastAsia="en-US"/>
        </w:rPr>
        <w:t>2</w:t>
      </w:r>
    </w:p>
    <w:p w:rsidRDefault="00557924" w:rsidP="00557924" w:rsidR="00557924">
      <w:pPr>
        <w:spacing w:before="60"/>
        <w:ind w:firstLine="709"/>
        <w:jc w:val="both"/>
      </w:pPr>
      <w:r>
        <w:rPr>
          <w:rFonts w:eastAsia="Calibri"/>
          <w:lang w:eastAsia="en-US"/>
        </w:rPr>
        <w:t xml:space="preserve">d) 4/100 </w:t>
      </w:r>
      <w:r w:rsidRPr="00A4017E">
        <w:rPr>
          <w:rFonts w:eastAsia="Calibri"/>
          <w:lang w:eastAsia="en-US"/>
        </w:rPr>
        <w:t>dijela</w:t>
      </w:r>
      <w:r w:rsidRPr="00A4017E">
        <w:rPr>
          <w:rFonts w:eastAsia="Calibri" w:hAnsi="Calibri" w:ascii="Calibri"/>
          <w:sz w:val="22"/>
          <w:szCs w:val="22"/>
          <w:lang w:eastAsia="en-US"/>
        </w:rPr>
        <w:t xml:space="preserve"> </w:t>
      </w:r>
      <w:r w:rsidRPr="00A4017E">
        <w:rPr>
          <w:rFonts w:eastAsia="Calibri"/>
          <w:lang w:eastAsia="en-US"/>
        </w:rPr>
        <w:t>kat. čest. 3018 Z.U. 2359 K.O. Imotski – Glavina, u naravi poslovni prostor oznake PP4 u suterenu, prema navedenom elaboratu, ukupne neto korisne površine 61,07 m</w:t>
      </w:r>
      <w:r w:rsidRPr="00A4017E">
        <w:rPr>
          <w:rFonts w:eastAsia="Calibri"/>
          <w:vertAlign w:val="superscript"/>
          <w:lang w:eastAsia="en-US"/>
        </w:rPr>
        <w:t>2</w:t>
      </w:r>
      <w:r>
        <w:t>,</w:t>
      </w:r>
    </w:p>
    <w:p w:rsidRDefault="00DE4E76" w:rsidP="00557924" w:rsidR="008E3D33" w:rsidRPr="007E15E7">
      <w:pPr>
        <w:spacing w:after="140" w:before="140"/>
        <w:jc w:val="both"/>
      </w:pPr>
      <w:r w:rsidRPr="003D03DF">
        <w:t xml:space="preserve">a koji se nalazi na depozitnom računu ovoga </w:t>
      </w:r>
      <w:r w:rsidRPr="007E15E7">
        <w:t>suda:</w:t>
      </w:r>
    </w:p>
    <w:p w:rsidRDefault="00CF13C9" w:rsidP="00CF13C9" w:rsidR="00CF13C9">
      <w:pPr>
        <w:pStyle w:val="Tijeloteksta"/>
        <w:tabs>
          <w:tab w:pos="709" w:val="left"/>
        </w:tabs>
        <w:spacing w:before="70"/>
      </w:pPr>
      <w:r>
        <w:tab/>
        <w:t xml:space="preserve">1. </w:t>
      </w:r>
      <w:r w:rsidR="00E81FED" w:rsidRPr="007E15E7">
        <w:t xml:space="preserve">iznos </w:t>
      </w:r>
      <w:r w:rsidR="00557924">
        <w:t xml:space="preserve">od </w:t>
      </w:r>
      <w:r w:rsidR="00C54450">
        <w:t xml:space="preserve">13.300,00 kn izdvaja se na ime </w:t>
      </w:r>
      <w:r w:rsidR="000B7A18">
        <w:t xml:space="preserve">namirenja </w:t>
      </w:r>
      <w:r w:rsidR="00C54450">
        <w:t xml:space="preserve">troškova </w:t>
      </w:r>
      <w:r w:rsidR="0029393B">
        <w:t>utvrđivanja predmeta razlučnog</w:t>
      </w:r>
      <w:r w:rsidR="00C54450" w:rsidRPr="00C54450">
        <w:t xml:space="preserve"> prava</w:t>
      </w:r>
    </w:p>
    <w:p w:rsidRDefault="00CF13C9" w:rsidP="00CF13C9" w:rsidR="00CF13C9">
      <w:pPr>
        <w:pStyle w:val="Tijeloteksta"/>
        <w:tabs>
          <w:tab w:pos="709" w:val="left"/>
        </w:tabs>
        <w:spacing w:before="70"/>
      </w:pPr>
      <w:r>
        <w:tab/>
        <w:t xml:space="preserve">2. </w:t>
      </w:r>
      <w:r w:rsidR="00C54450">
        <w:t>iznos od 89.115,87 kn izdvaja se na ime</w:t>
      </w:r>
      <w:r w:rsidR="000B7A18">
        <w:t xml:space="preserve"> namirenja</w:t>
      </w:r>
      <w:r w:rsidR="00C54450">
        <w:t xml:space="preserve"> troškova unovčenja predmeta razlučnog prava</w:t>
      </w:r>
    </w:p>
    <w:p w:rsidRDefault="00CF13C9" w:rsidP="00CF13C9" w:rsidR="006E5AA6">
      <w:pPr>
        <w:pStyle w:val="Tijeloteksta"/>
        <w:tabs>
          <w:tab w:pos="709" w:val="left"/>
        </w:tabs>
        <w:spacing w:before="70"/>
      </w:pPr>
      <w:r>
        <w:tab/>
        <w:t xml:space="preserve">3. </w:t>
      </w:r>
      <w:r w:rsidR="006E5AA6" w:rsidRPr="007E15E7">
        <w:t>namiruje se tražb</w:t>
      </w:r>
      <w:r w:rsidR="00D95E4D" w:rsidRPr="007E15E7">
        <w:t xml:space="preserve">ina razlučnog vjerovnika </w:t>
      </w:r>
      <w:r w:rsidR="00557924">
        <w:t>Splitska banka d.d. Split</w:t>
      </w:r>
      <w:r w:rsidR="006E5AA6" w:rsidRPr="007E15E7">
        <w:t xml:space="preserve"> u iznosu od </w:t>
      </w:r>
      <w:r w:rsidR="00557924">
        <w:t xml:space="preserve">163.584,13 </w:t>
      </w:r>
      <w:r>
        <w:t>kn.</w:t>
      </w:r>
    </w:p>
    <w:p w:rsidRDefault="006E5AA6" w:rsidP="00FD1954" w:rsidR="00FD1954" w:rsidRPr="007E15E7">
      <w:pPr>
        <w:pStyle w:val="Tijeloteksta"/>
        <w:tabs>
          <w:tab w:pos="1080" w:val="left"/>
        </w:tabs>
        <w:spacing w:before="200"/>
        <w:ind w:firstLine="709"/>
      </w:pPr>
      <w:r w:rsidRPr="007E15E7">
        <w:t>II. Nakon pravomoćnosti ovog rješenja</w:t>
      </w:r>
      <w:r w:rsidR="00BF32A3" w:rsidRPr="007E15E7">
        <w:t>, sa depozitnog računa</w:t>
      </w:r>
      <w:r w:rsidR="00CE4596" w:rsidRPr="007E15E7">
        <w:t xml:space="preserve"> ovoga suda uplatit</w:t>
      </w:r>
      <w:r w:rsidR="00A34246" w:rsidRPr="007E15E7">
        <w:t xml:space="preserve"> će se novčani iznos </w:t>
      </w:r>
      <w:r w:rsidR="00BF32A3" w:rsidRPr="007E15E7">
        <w:t xml:space="preserve"> na račun razlučn</w:t>
      </w:r>
      <w:r w:rsidR="00557924">
        <w:t>og</w:t>
      </w:r>
      <w:r w:rsidR="00BF32A3" w:rsidRPr="007E15E7">
        <w:t xml:space="preserve"> vjerovnika </w:t>
      </w:r>
      <w:r w:rsidR="00A34246" w:rsidRPr="007E15E7">
        <w:t>sukladno</w:t>
      </w:r>
      <w:r w:rsidR="00557924">
        <w:t xml:space="preserve"> točki</w:t>
      </w:r>
      <w:r w:rsidR="00CE4596" w:rsidRPr="007E15E7">
        <w:t xml:space="preserve"> I.</w:t>
      </w:r>
      <w:r w:rsidR="0029393B">
        <w:t>3.</w:t>
      </w:r>
      <w:r w:rsidR="00BF32A3" w:rsidRPr="007E15E7">
        <w:t xml:space="preserve"> izreke </w:t>
      </w:r>
      <w:r w:rsidR="00CE4596" w:rsidRPr="007E15E7">
        <w:t>ovog rješenja</w:t>
      </w:r>
      <w:r w:rsidR="00BF32A3" w:rsidRPr="007E15E7">
        <w:t xml:space="preserve">, </w:t>
      </w:r>
      <w:r w:rsidR="00A34246" w:rsidRPr="007E15E7">
        <w:t>a na račun</w:t>
      </w:r>
      <w:r w:rsidR="00CE4596" w:rsidRPr="007E15E7">
        <w:t xml:space="preserve"> stečajnog dužnika uplatit će se iznos</w:t>
      </w:r>
      <w:r w:rsidR="00A34246" w:rsidRPr="007E15E7">
        <w:t xml:space="preserve"> iz </w:t>
      </w:r>
      <w:r w:rsidR="00557924">
        <w:t>toča</w:t>
      </w:r>
      <w:r w:rsidR="0029393B">
        <w:t xml:space="preserve">ka I.1. </w:t>
      </w:r>
      <w:r w:rsidR="00A34246" w:rsidRPr="007E15E7">
        <w:t xml:space="preserve">i </w:t>
      </w:r>
      <w:r w:rsidR="0029393B">
        <w:t>I.2.</w:t>
      </w:r>
      <w:r w:rsidR="00A34246" w:rsidRPr="007E15E7">
        <w:t xml:space="preserve"> izreke </w:t>
      </w:r>
      <w:r w:rsidR="00CE4596" w:rsidRPr="007E15E7">
        <w:t>ovog rješenja</w:t>
      </w:r>
      <w:r w:rsidR="008E3D33" w:rsidRPr="007E15E7">
        <w:t>.</w:t>
      </w:r>
    </w:p>
    <w:p w:rsidRDefault="0086171F" w:rsidP="00CF13C9" w:rsidR="00D2686A" w:rsidRPr="000C549C">
      <w:pPr>
        <w:pStyle w:val="Tijeloteksta"/>
        <w:tabs>
          <w:tab w:pos="1080" w:val="left"/>
        </w:tabs>
        <w:spacing w:after="120" w:before="240"/>
        <w:jc w:val="center"/>
      </w:pPr>
      <w:r w:rsidRPr="000C549C">
        <w:t>Obrazloženje</w:t>
      </w:r>
    </w:p>
    <w:p w:rsidRDefault="00557924" w:rsidP="00CF13C9" w:rsidR="00557924">
      <w:pPr>
        <w:ind w:firstLine="709"/>
        <w:jc w:val="both"/>
      </w:pPr>
      <w:r w:rsidRPr="008574B4">
        <w:t xml:space="preserve">Rješenjem ovog </w:t>
      </w:r>
      <w:r>
        <w:t xml:space="preserve">suda </w:t>
      </w:r>
      <w:r w:rsidRPr="008574B4">
        <w:t>poslovni broj 11. St-1</w:t>
      </w:r>
      <w:r>
        <w:t>16</w:t>
      </w:r>
      <w:r w:rsidRPr="008574B4">
        <w:t>/2014 od 1. lipnja 2015. godine otvoren je stečajni postupak nad stečajnim dužnikom, a rješenjem</w:t>
      </w:r>
      <w:r w:rsidR="00CF13C9">
        <w:t xml:space="preserve"> o prodaji poslovni broj 11.</w:t>
      </w:r>
      <w:r w:rsidRPr="008574B4">
        <w:t>St-</w:t>
      </w:r>
      <w:r w:rsidRPr="008574B4">
        <w:lastRenderedPageBreak/>
        <w:t>1</w:t>
      </w:r>
      <w:r>
        <w:t>16</w:t>
      </w:r>
      <w:r w:rsidRPr="008574B4">
        <w:t xml:space="preserve">/2014 od </w:t>
      </w:r>
      <w:r>
        <w:t>12</w:t>
      </w:r>
      <w:r w:rsidRPr="008574B4">
        <w:t xml:space="preserve">. </w:t>
      </w:r>
      <w:r>
        <w:t>prosinca</w:t>
      </w:r>
      <w:r w:rsidRPr="008574B4">
        <w:t xml:space="preserve"> 20</w:t>
      </w:r>
      <w:r>
        <w:t>16. godine određena je prodaja nekretnina opisanih</w:t>
      </w:r>
      <w:r w:rsidRPr="008574B4">
        <w:t xml:space="preserve"> u točki I. ovo</w:t>
      </w:r>
      <w:r>
        <w:t>g rješenja u stečajnom postupku, a temeljem odredbe čl</w:t>
      </w:r>
      <w:r w:rsidR="00DD0795">
        <w:t>anka</w:t>
      </w:r>
      <w:r>
        <w:t xml:space="preserve"> 247. </w:t>
      </w:r>
      <w:r w:rsidR="00DD0795" w:rsidRPr="0032578D">
        <w:t xml:space="preserve">Stečajnog zakona („Narodne novine“ </w:t>
      </w:r>
      <w:r w:rsidR="00DD0795">
        <w:t>71/15 i 104/17; dalje SZ).</w:t>
      </w:r>
    </w:p>
    <w:p w:rsidRDefault="007C6F0F" w:rsidP="00CF13C9" w:rsidR="006E5AA6" w:rsidRPr="000C549C">
      <w:pPr>
        <w:spacing w:before="200"/>
        <w:ind w:firstLine="709"/>
        <w:jc w:val="both"/>
      </w:pPr>
      <w:r w:rsidRPr="000C549C">
        <w:t xml:space="preserve">Nakon </w:t>
      </w:r>
      <w:r w:rsidR="006E5AA6" w:rsidRPr="000C549C">
        <w:t>što je Financijska agencija provela elektronsku javnu dražbu, rješenjem o dosudi ovoga suda poslovni broj 11.St-</w:t>
      </w:r>
      <w:r w:rsidR="00557924">
        <w:t>116</w:t>
      </w:r>
      <w:r w:rsidR="006E5AA6" w:rsidRPr="000C549C">
        <w:t xml:space="preserve">/2014 od </w:t>
      </w:r>
      <w:r w:rsidR="00557924" w:rsidRPr="00557924">
        <w:t>18. travnja</w:t>
      </w:r>
      <w:r w:rsidR="00557924">
        <w:t xml:space="preserve"> 2018</w:t>
      </w:r>
      <w:r w:rsidR="006E5AA6" w:rsidRPr="000C549C">
        <w:t xml:space="preserve">. kupcu </w:t>
      </w:r>
      <w:r w:rsidR="00557924">
        <w:t>J</w:t>
      </w:r>
      <w:r w:rsidR="00557924" w:rsidRPr="00557924">
        <w:t xml:space="preserve">osipu </w:t>
      </w:r>
      <w:r w:rsidR="00557924">
        <w:t>Bilić-P</w:t>
      </w:r>
      <w:r w:rsidR="00557924" w:rsidRPr="00557924">
        <w:t>avlinoviću iz Studenaca, Gutići 5, OIB: 71509827745,</w:t>
      </w:r>
      <w:r w:rsidR="006E5AA6" w:rsidRPr="000C549C">
        <w:t xml:space="preserve"> dosuđen</w:t>
      </w:r>
      <w:r w:rsidR="00557924">
        <w:t>e su</w:t>
      </w:r>
      <w:r w:rsidR="006E5AA6" w:rsidRPr="000C549C">
        <w:t xml:space="preserve"> nekretnine </w:t>
      </w:r>
      <w:r w:rsidR="00557924">
        <w:t>opisane pod točkom I. izreke ovog rješenja</w:t>
      </w:r>
      <w:r w:rsidR="006E5AA6" w:rsidRPr="000C549C">
        <w:t xml:space="preserve">. Po uplati cjelokupne kupovnine u ukupnom iznosu od </w:t>
      </w:r>
      <w:r w:rsidR="00557924">
        <w:t xml:space="preserve">266.000,00 </w:t>
      </w:r>
      <w:r w:rsidR="006E5AA6" w:rsidRPr="000C549C">
        <w:t>kn, zaključkom o predaji poslovni broj 11.St-1</w:t>
      </w:r>
      <w:r w:rsidR="00557924">
        <w:t>16</w:t>
      </w:r>
      <w:r w:rsidR="006E5AA6" w:rsidRPr="000C549C">
        <w:t xml:space="preserve">/2014 </w:t>
      </w:r>
      <w:r w:rsidR="00557924">
        <w:t>od 9. svibnja 2018</w:t>
      </w:r>
      <w:r w:rsidR="006E5AA6" w:rsidRPr="000C549C">
        <w:t>. određena je predaja u posjed predmetn</w:t>
      </w:r>
      <w:r w:rsidR="00557924">
        <w:t>ih</w:t>
      </w:r>
      <w:r w:rsidR="006E5AA6" w:rsidRPr="000C549C">
        <w:t xml:space="preserve"> nekretnin</w:t>
      </w:r>
      <w:r w:rsidR="00557924">
        <w:t>a</w:t>
      </w:r>
      <w:r w:rsidR="006E5AA6" w:rsidRPr="000C549C">
        <w:t xml:space="preserve"> kupcu te je naložen upis brisanja svih prava i tereta koji prestaju prodajom. </w:t>
      </w:r>
    </w:p>
    <w:p w:rsidRDefault="00557924" w:rsidP="00CF13C9" w:rsidR="00557924">
      <w:pPr>
        <w:spacing w:before="200"/>
        <w:ind w:firstLine="709"/>
        <w:jc w:val="both"/>
      </w:pPr>
      <w:r>
        <w:t>D</w:t>
      </w:r>
      <w:r w:rsidRPr="000C549C">
        <w:t>o provedbe zaključka o</w:t>
      </w:r>
      <w:r>
        <w:t xml:space="preserve"> predaji poslovni broj 11.St-116</w:t>
      </w:r>
      <w:r w:rsidRPr="000C549C">
        <w:t xml:space="preserve">/2014 od </w:t>
      </w:r>
      <w:r w:rsidRPr="00557924">
        <w:t>23. svibnja 2017</w:t>
      </w:r>
      <w:r>
        <w:t>.:</w:t>
      </w:r>
    </w:p>
    <w:p w:rsidRDefault="00557924" w:rsidP="00DD0795" w:rsidR="00F324EC">
      <w:pPr>
        <w:spacing w:before="60"/>
        <w:ind w:firstLine="709"/>
        <w:jc w:val="both"/>
      </w:pPr>
      <w:r>
        <w:t>-</w:t>
      </w:r>
      <w:r w:rsidRPr="00557924">
        <w:t xml:space="preserve"> </w:t>
      </w:r>
      <w:r>
        <w:t>n</w:t>
      </w:r>
      <w:r w:rsidRPr="000C549C">
        <w:t>a nekretninama</w:t>
      </w:r>
      <w:r>
        <w:t xml:space="preserve"> opisanim pod točkama I.</w:t>
      </w:r>
      <w:r w:rsidR="00F52DEE">
        <w:t xml:space="preserve"> </w:t>
      </w:r>
      <w:r>
        <w:t>a) i I.</w:t>
      </w:r>
      <w:r w:rsidR="00F52DEE">
        <w:t xml:space="preserve"> </w:t>
      </w:r>
      <w:r w:rsidR="00DD0795">
        <w:t>c</w:t>
      </w:r>
      <w:r>
        <w:t xml:space="preserve">) </w:t>
      </w:r>
      <w:r w:rsidRPr="000C549C">
        <w:t xml:space="preserve">bilo je upisano razlučno pravo u korist </w:t>
      </w:r>
      <w:r>
        <w:t>Societe Generale - Splitska banka d.d. Split radi osiguranja novčane tražbine</w:t>
      </w:r>
      <w:r w:rsidRPr="00557924">
        <w:t xml:space="preserve"> u iznosu od 800.000,00 kn</w:t>
      </w:r>
      <w:r w:rsidR="00DD0795">
        <w:t xml:space="preserve"> </w:t>
      </w:r>
      <w:r w:rsidRPr="00557924">
        <w:t>sa kamatama, naknadama i rokovima prema Dodatku 1. Ugovora o kreditu br. 175/06 od 6. listopada 2006. (upis pod Z-761/06)</w:t>
      </w:r>
      <w:r w:rsidR="00DD0795">
        <w:t xml:space="preserve"> i radi osiguranja </w:t>
      </w:r>
      <w:r w:rsidR="00DD0795" w:rsidRPr="00DD0795">
        <w:t>novčane tražbine u iznosu od 1.000.000,00 kn sa kamatama, naknadama, troškovima i rokovima prema Dodatku Ugovora o kreditu br. 175/06 od 4. listopada 2007. (upis pod Z-680/07)</w:t>
      </w:r>
    </w:p>
    <w:p w:rsidRDefault="00DD0795" w:rsidP="00DD0795" w:rsidR="00DD0795">
      <w:pPr>
        <w:spacing w:before="60"/>
        <w:ind w:firstLine="709"/>
        <w:jc w:val="both"/>
      </w:pPr>
      <w:r>
        <w:t xml:space="preserve">- na </w:t>
      </w:r>
      <w:r w:rsidRPr="00DD0795">
        <w:t>nekre</w:t>
      </w:r>
      <w:r>
        <w:t>tninama opisanim pod točkama I.</w:t>
      </w:r>
      <w:r w:rsidR="00F52DEE">
        <w:t xml:space="preserve"> </w:t>
      </w:r>
      <w:r>
        <w:t>b) i I.</w:t>
      </w:r>
      <w:r w:rsidR="00F52DEE">
        <w:t xml:space="preserve"> </w:t>
      </w:r>
      <w:r>
        <w:t>d</w:t>
      </w:r>
      <w:r w:rsidRPr="00DD0795">
        <w:t>)</w:t>
      </w:r>
      <w:r>
        <w:t xml:space="preserve"> bilo je upisano razlučno pravo u korist </w:t>
      </w:r>
      <w:r w:rsidRPr="00DD0795">
        <w:t>Societe Generale - Splitska banka d.d. Split</w:t>
      </w:r>
      <w:r>
        <w:t xml:space="preserve"> radi osiguranja vrijednosti tražbine u iznosu od 153.000,00 CHF u kunskoj protuvrijednosti uz kamate i troškove upisane u korist Societe Generale – Splitska banka d.d. Split (upis pod Z-101/07) i radi osiguranja vrijednosti tražbine u iznosu od 1.000.000,00 kn sa kamatama, naknadama, troškovima i rokovima prema Dodatku Ugovora o kreditu br. 175/06 od 4. listopada 2007. (upis pod Z-673/07).</w:t>
      </w:r>
    </w:p>
    <w:p w:rsidRDefault="00A60E69" w:rsidP="00CF13C9" w:rsidR="00A60E69" w:rsidRPr="000C549C">
      <w:pPr>
        <w:spacing w:before="200"/>
        <w:ind w:firstLine="708"/>
        <w:jc w:val="both"/>
      </w:pPr>
      <w:r w:rsidRPr="009F6119">
        <w:t xml:space="preserve">Podneskom od </w:t>
      </w:r>
      <w:r w:rsidR="00DD0795">
        <w:t>18. lipnja</w:t>
      </w:r>
      <w:r w:rsidRPr="009F6119">
        <w:t xml:space="preserve"> 2018. stečajni upravitelj </w:t>
      </w:r>
      <w:r w:rsidR="00DD0795">
        <w:t>Ivan Eterović</w:t>
      </w:r>
      <w:r w:rsidRPr="009F6119">
        <w:t xml:space="preserve"> dostavio je prijedlog n</w:t>
      </w:r>
      <w:r w:rsidR="009F6119" w:rsidRPr="009F6119">
        <w:t xml:space="preserve">amirenja (list </w:t>
      </w:r>
      <w:r w:rsidR="00DD0795">
        <w:t xml:space="preserve">393-399 </w:t>
      </w:r>
      <w:r w:rsidR="009F6119" w:rsidRPr="009F6119">
        <w:t>spisa).</w:t>
      </w:r>
    </w:p>
    <w:p w:rsidRDefault="00A60E69" w:rsidP="00CF13C9" w:rsidR="006E5AA6" w:rsidRPr="000C549C">
      <w:pPr>
        <w:spacing w:before="200"/>
        <w:ind w:firstLine="708"/>
        <w:jc w:val="both"/>
      </w:pPr>
      <w:r w:rsidRPr="000C549C">
        <w:t>Zaključkom</w:t>
      </w:r>
      <w:r w:rsidR="006E5AA6" w:rsidRPr="000C549C">
        <w:t xml:space="preserve"> ovog suda poslovni broj 11.St-</w:t>
      </w:r>
      <w:r w:rsidR="00DD0795">
        <w:t>116</w:t>
      </w:r>
      <w:r w:rsidR="006E5AA6" w:rsidRPr="000C549C">
        <w:t xml:space="preserve">/2014 </w:t>
      </w:r>
      <w:r w:rsidR="00DD0795">
        <w:t>od 17. kolovoza</w:t>
      </w:r>
      <w:r w:rsidRPr="000C549C">
        <w:t xml:space="preserve"> 2018. određeno je ročište</w:t>
      </w:r>
      <w:r w:rsidR="00DD0795">
        <w:t xml:space="preserve"> </w:t>
      </w:r>
      <w:r w:rsidRPr="000C549C">
        <w:t>radi utvrđenja troškova i razdiobe k</w:t>
      </w:r>
      <w:r w:rsidR="00DD0795">
        <w:t>upovnine, a u smislu odredbe članka</w:t>
      </w:r>
      <w:r w:rsidRPr="000C549C">
        <w:t xml:space="preserve"> 124. Ovršnog zakona (˝Narodne novine˝ 112/1225/13, 93/14, 55/16 i 73/17; </w:t>
      </w:r>
      <w:r w:rsidR="00DD0795">
        <w:t>dalje: OZ) u vezi s odredbom članka</w:t>
      </w:r>
      <w:r w:rsidRPr="000C549C">
        <w:t xml:space="preserve"> 247. i 248. </w:t>
      </w:r>
      <w:r w:rsidR="00DD0795">
        <w:t>SZ-a</w:t>
      </w:r>
      <w:r w:rsidRPr="000C549C">
        <w:t>.</w:t>
      </w:r>
    </w:p>
    <w:p w:rsidRDefault="000746DD" w:rsidP="00CF13C9" w:rsidR="00DD0795">
      <w:pPr>
        <w:spacing w:before="200"/>
        <w:ind w:firstLine="708"/>
        <w:jc w:val="both"/>
      </w:pPr>
      <w:r w:rsidRPr="000C549C">
        <w:t xml:space="preserve">Na predmetno ročište, održano </w:t>
      </w:r>
      <w:r w:rsidR="00DD0795">
        <w:t xml:space="preserve">18. rujna </w:t>
      </w:r>
      <w:r w:rsidRPr="000C549C">
        <w:t xml:space="preserve">2018., pristupio je stečajni upravitelj koji je ustrajao u svom prijedlogu za obračun troškova i namirenje razlučnih vjerovnika od </w:t>
      </w:r>
      <w:r w:rsidR="00DD0795">
        <w:t>18. lipnja 2018. Punomoćnica razlučnog vjerovnika Splitske banke d.d. Split za sud i stečajnog upravitelja predala je izvadak iz poslovnih knjiga iz kojeg proizlazi da taj vjerovnik od stečajnog dužnika na dan 16. rujna 2018. potražuje ukupan iznos od 2.053.649,45 kn te je navela da je u cijelosti suglasna sa obračunom troškova stečajnog upravitelja od 18. lipnja 2018., odnosno da na isti nema nikakvih primjedbi.</w:t>
      </w:r>
    </w:p>
    <w:p w:rsidRDefault="00DD0795" w:rsidP="00CF13C9" w:rsidR="00DD0795">
      <w:pPr>
        <w:spacing w:before="200"/>
        <w:jc w:val="both"/>
      </w:pPr>
      <w:r>
        <w:tab/>
        <w:t>Podneskom od 3. listopada 2018. stečajni upravitelj ispravio je obračun stvarnih troškova unovčenja imovine opterećene razlučnim pravom (list 409-411 spisa)</w:t>
      </w:r>
      <w:r>
        <w:tab/>
        <w:t>. Pregledom predmetnog podneska ovaj sud utvrđuje da se ispravak sadržajno odnosi na zbroj ukupne kupovnine (266.000,00 kn, a ne 239.400,00 kn kako je to navedeno u podnesku od 18. lipnja 2018.)</w:t>
      </w:r>
      <w:r w:rsidR="0089112A">
        <w:t xml:space="preserve">, dok su sve ostale stavke ostale nepromijenjene, kao i princip predloženog namirenja. </w:t>
      </w:r>
    </w:p>
    <w:p w:rsidRDefault="00B442E0" w:rsidP="00CF13C9" w:rsidR="00B442E0">
      <w:pPr>
        <w:spacing w:before="200"/>
        <w:jc w:val="both"/>
      </w:pPr>
      <w:r>
        <w:tab/>
        <w:t>U tom podnesku stečajni upravitelj navodi da ukupan iznos tražbine razlučnog vjerovnika iznosi 1.710.423,16 kn te da se taj vjerovnik može samo djelomično namiriti iz utrška dobivenog prodajom predmetne nekretnine i daje sljedeći obračun troškova:</w:t>
      </w:r>
    </w:p>
    <w:p w:rsidRDefault="00B442E0" w:rsidP="00B442E0" w:rsidR="00B442E0">
      <w:pPr>
        <w:spacing w:before="60"/>
        <w:jc w:val="both"/>
      </w:pPr>
      <w:r>
        <w:tab/>
        <w:t>˝Ukupno unovčena imovina sastoji se od:</w:t>
      </w:r>
    </w:p>
    <w:p w:rsidRDefault="00B442E0" w:rsidP="00B442E0" w:rsidR="00B442E0">
      <w:pPr>
        <w:spacing w:before="60"/>
        <w:jc w:val="both"/>
      </w:pPr>
    </w:p>
    <w:p w:rsidRDefault="00B442E0" w:rsidP="00B442E0" w:rsidR="00B442E0">
      <w:pPr>
        <w:spacing w:before="60"/>
        <w:ind w:firstLine="708"/>
        <w:jc w:val="both"/>
      </w:pPr>
      <w:r>
        <w:t>a) unovčenje temeljem zakupnine: 129.375,00 kn</w:t>
      </w:r>
    </w:p>
    <w:p w:rsidRDefault="00B442E0" w:rsidP="00B442E0" w:rsidR="00B442E0">
      <w:pPr>
        <w:spacing w:before="60"/>
        <w:ind w:firstLine="708"/>
        <w:jc w:val="both"/>
      </w:pPr>
      <w:r>
        <w:t>b) unovčenje prodajom nekretnine: 266.000,00 kn.</w:t>
      </w:r>
    </w:p>
    <w:p w:rsidRDefault="00B442E0" w:rsidP="00B442E0" w:rsidR="00B442E0">
      <w:pPr>
        <w:spacing w:before="60"/>
        <w:ind w:firstLine="708"/>
        <w:jc w:val="both"/>
      </w:pPr>
      <w:r>
        <w:t>UKUPNO: 395.375,00 kn</w:t>
      </w:r>
    </w:p>
    <w:p w:rsidRDefault="00B442E0" w:rsidP="00B442E0" w:rsidR="00B442E0">
      <w:pPr>
        <w:spacing w:before="60"/>
        <w:ind w:firstLine="708"/>
        <w:jc w:val="both"/>
      </w:pPr>
      <w:r>
        <w:t>* u iznos ukupno unovčene imovine uračunata su i sva porezna davanja.</w:t>
      </w:r>
    </w:p>
    <w:p w:rsidRDefault="00B442E0" w:rsidP="00B442E0" w:rsidR="00B442E0">
      <w:pPr>
        <w:spacing w:before="200"/>
        <w:ind w:firstLine="708"/>
        <w:jc w:val="both"/>
      </w:pPr>
      <w:r>
        <w:t>Iz navedenog proizlazi da vrijednost prodane imovine, opterećene razlučnim pravom, u ukupno unovčenoj imovini sudjeluje sa 67,27%, pa se taj postotak prim</w:t>
      </w:r>
      <w:r w:rsidR="0029393B">
        <w:t>i</w:t>
      </w:r>
      <w:r>
        <w:t>jenio na dio stvarnih troškova koji se odnose ukupnu imovinu.</w:t>
      </w:r>
    </w:p>
    <w:p w:rsidRDefault="00B442E0" w:rsidP="00B442E0" w:rsidR="00B442E0">
      <w:pPr>
        <w:spacing w:before="200"/>
        <w:ind w:firstLine="708"/>
        <w:jc w:val="both"/>
      </w:pPr>
      <w:r>
        <w:t>Stvarni troškovi:</w:t>
      </w:r>
    </w:p>
    <w:p w:rsidRDefault="00B442E0" w:rsidP="00B442E0" w:rsidR="00B442E0">
      <w:pPr>
        <w:spacing w:before="100"/>
        <w:ind w:firstLine="709"/>
        <w:jc w:val="both"/>
      </w:pPr>
      <w:r>
        <w:t>a) koji terete prodanu nekretninu u cijelosti:</w:t>
      </w:r>
    </w:p>
    <w:p w:rsidRDefault="00B442E0" w:rsidP="00B442E0" w:rsidR="00B442E0">
      <w:pPr>
        <w:spacing w:before="60"/>
        <w:ind w:firstLine="708"/>
        <w:jc w:val="both"/>
      </w:pPr>
      <w:r>
        <w:t>- troškovi utvrđenja vrijednosti nekretnine u paušalnom iznosu od 5%: 13.300,00 kuna</w:t>
      </w:r>
    </w:p>
    <w:p w:rsidRDefault="00B442E0" w:rsidP="00B442E0" w:rsidR="00B442E0">
      <w:pPr>
        <w:spacing w:before="60"/>
        <w:ind w:firstLine="708"/>
        <w:jc w:val="both"/>
      </w:pPr>
      <w:r>
        <w:t>- troškovi oglašavanja: 3.900,00 kuna</w:t>
      </w:r>
    </w:p>
    <w:p w:rsidRDefault="00B442E0" w:rsidP="00B442E0" w:rsidR="00B442E0">
      <w:pPr>
        <w:spacing w:before="60"/>
        <w:ind w:firstLine="708"/>
        <w:jc w:val="both"/>
      </w:pPr>
      <w:r>
        <w:t>- troškovi vještačenje nekretnine: 4.875,00 kuna</w:t>
      </w:r>
    </w:p>
    <w:p w:rsidRDefault="00B442E0" w:rsidP="00B442E0" w:rsidR="00B442E0">
      <w:pPr>
        <w:spacing w:before="60"/>
        <w:ind w:firstLine="709"/>
        <w:jc w:val="both"/>
      </w:pPr>
      <w:r>
        <w:t>UKUPNO: 22.075,00 kuna</w:t>
      </w:r>
    </w:p>
    <w:p w:rsidRDefault="00B442E0" w:rsidP="00B442E0" w:rsidR="00B442E0">
      <w:pPr>
        <w:spacing w:before="60"/>
        <w:ind w:firstLine="709"/>
        <w:jc w:val="both"/>
      </w:pPr>
      <w:r>
        <w:t>(Troškovi komunalne, vodne naknade, te utrošak električne energije i vode, koji su teretili nekretninu od dana otvaranja stečajnog postupka do prodaje iste su plaćeni od strane zakupoprimca.)</w:t>
      </w:r>
    </w:p>
    <w:p w:rsidRDefault="00B442E0" w:rsidP="00B442E0" w:rsidR="00B442E0">
      <w:pPr>
        <w:spacing w:before="100"/>
        <w:ind w:firstLine="709"/>
        <w:jc w:val="both"/>
      </w:pPr>
      <w:r>
        <w:t>b) koji razmjerno terete prodanu nekretninu u odnosu na vrijednost ukupne unovčene imovine:</w:t>
      </w:r>
    </w:p>
    <w:p w:rsidRDefault="00B442E0" w:rsidP="00B442E0" w:rsidR="00B442E0">
      <w:pPr>
        <w:spacing w:before="60"/>
        <w:ind w:firstLine="708"/>
        <w:jc w:val="both"/>
      </w:pPr>
      <w:r>
        <w:t>UKUPNO: 67.040,87 kuna</w:t>
      </w:r>
    </w:p>
    <w:p w:rsidRDefault="00B442E0" w:rsidP="00B442E0" w:rsidR="00B442E0">
      <w:pPr>
        <w:spacing w:before="60"/>
        <w:ind w:firstLine="708"/>
        <w:jc w:val="both"/>
      </w:pPr>
      <w:r>
        <w:t>*analitički prikaz razmjerno obračunatih troškova</w:t>
      </w:r>
    </w:p>
    <w:p w:rsidRDefault="00B442E0" w:rsidP="00B442E0" w:rsidR="00B442E0">
      <w:pPr>
        <w:spacing w:before="60"/>
        <w:ind w:firstLine="708"/>
        <w:jc w:val="both"/>
      </w:pPr>
      <w:r>
        <w:t>Troškovi knjigovodstva: 36.250,00 kuna</w:t>
      </w:r>
    </w:p>
    <w:p w:rsidRDefault="00B442E0" w:rsidP="00B442E0" w:rsidR="00B442E0">
      <w:pPr>
        <w:spacing w:before="60"/>
        <w:ind w:firstLine="708"/>
        <w:jc w:val="both"/>
      </w:pPr>
      <w:r>
        <w:t>Troškovi pričuve: 9.772,88 kuna</w:t>
      </w:r>
    </w:p>
    <w:p w:rsidRDefault="00B442E0" w:rsidP="00B442E0" w:rsidR="00B442E0">
      <w:pPr>
        <w:spacing w:before="60"/>
        <w:ind w:firstLine="708"/>
        <w:jc w:val="both"/>
      </w:pPr>
      <w:r>
        <w:t>Troškovi vođenja žiro-računa: 1.300,65 kuna</w:t>
      </w:r>
    </w:p>
    <w:p w:rsidRDefault="00B442E0" w:rsidP="00B442E0" w:rsidR="00B442E0">
      <w:pPr>
        <w:spacing w:before="60"/>
        <w:ind w:firstLine="708"/>
        <w:jc w:val="both"/>
      </w:pPr>
      <w:r>
        <w:t>Rashodi uredskog poslovanja: 1.665,81 kuna</w:t>
      </w:r>
    </w:p>
    <w:p w:rsidRDefault="00B442E0" w:rsidP="00B442E0" w:rsidR="00B442E0">
      <w:pPr>
        <w:spacing w:before="60"/>
        <w:ind w:firstLine="708"/>
        <w:jc w:val="both"/>
      </w:pPr>
      <w:r>
        <w:t>Ostali rashodi (PDV, por. i prir. na dohodak, službeni put): 3.789,26 kuna</w:t>
      </w:r>
    </w:p>
    <w:p w:rsidRDefault="00B442E0" w:rsidP="00B442E0" w:rsidR="00B442E0">
      <w:pPr>
        <w:spacing w:before="60"/>
        <w:ind w:firstLine="708"/>
        <w:jc w:val="both"/>
      </w:pPr>
      <w:r>
        <w:t>Nagrada stečajnom upravitelju: 46.880,79 kuna</w:t>
      </w:r>
    </w:p>
    <w:p w:rsidRDefault="00B442E0" w:rsidP="00B442E0" w:rsidR="00B442E0">
      <w:pPr>
        <w:spacing w:before="200"/>
        <w:ind w:firstLine="709"/>
        <w:jc w:val="both"/>
      </w:pPr>
      <w:r>
        <w:t>Ukupno troškovi iznose 99.659,39 kuna, a kako isti razmjerno terete nekretninu opterećenu razlučnim pravom i to sa 67,27%, to ukupno ti troškovi iznose: 67.040,87 kuna.</w:t>
      </w:r>
    </w:p>
    <w:p w:rsidRDefault="00B442E0" w:rsidP="00B442E0" w:rsidR="00B442E0">
      <w:pPr>
        <w:spacing w:before="200"/>
        <w:ind w:firstLine="709"/>
        <w:jc w:val="both"/>
      </w:pPr>
      <w:r>
        <w:t>c) ukupno stvarni troškovi unovčenja imovine opterećene razlučnim pravom (a+b)</w:t>
      </w:r>
    </w:p>
    <w:p w:rsidRDefault="00B442E0" w:rsidP="00B442E0" w:rsidR="00B442E0">
      <w:pPr>
        <w:spacing w:before="60"/>
        <w:ind w:firstLine="708"/>
        <w:jc w:val="both"/>
      </w:pPr>
      <w:r>
        <w:t>UKUPNO: 89.115,87 kuna</w:t>
      </w:r>
    </w:p>
    <w:p w:rsidRDefault="00B442E0" w:rsidP="00B442E0" w:rsidR="00B442E0">
      <w:pPr>
        <w:spacing w:before="200"/>
        <w:ind w:firstLine="709"/>
        <w:jc w:val="both"/>
      </w:pPr>
      <w:r>
        <w:t>Slijedom svega navedenog, stečajni upravitelj predlaže da se sukladno gore navedenim odredbama Stečajnog zakona, iznos dobiven unovčenjem nekretnine opterećene razlučnim pravom umanji za 89.115,87 kuna.˝.</w:t>
      </w:r>
    </w:p>
    <w:p w:rsidRDefault="00DD0795" w:rsidP="00DD0795" w:rsidR="000248E9" w:rsidRPr="000C549C">
      <w:pPr>
        <w:spacing w:before="200"/>
        <w:ind w:firstLine="708"/>
        <w:jc w:val="both"/>
      </w:pPr>
      <w:r>
        <w:t xml:space="preserve">Odredbom članka </w:t>
      </w:r>
      <w:r w:rsidR="000248E9" w:rsidRPr="000C549C">
        <w:t>248. SZ</w:t>
      </w:r>
      <w:r>
        <w:t>-a</w:t>
      </w:r>
      <w:r w:rsidR="000248E9" w:rsidRPr="000C549C">
        <w:t xml:space="preserve"> </w:t>
      </w:r>
      <w:r w:rsidR="00CC2D23">
        <w:t>propisano je da</w:t>
      </w:r>
      <w:r w:rsidR="000248E9" w:rsidRPr="000C549C">
        <w:t xml:space="preserve"> nakon unovčenja stvari ili prava na kojemu postoji razlučno pravo upisano u javnoj knjizi sud će iz iznosa ostvarenoga prodajom:</w:t>
      </w:r>
    </w:p>
    <w:p w:rsidRDefault="00A001F6" w:rsidP="003324B8" w:rsidR="000248E9" w:rsidRPr="000C549C">
      <w:pPr>
        <w:spacing w:before="60"/>
        <w:jc w:val="both"/>
      </w:pPr>
      <w:r w:rsidRPr="000C549C">
        <w:tab/>
      </w:r>
      <w:r w:rsidR="000248E9" w:rsidRPr="000C549C">
        <w:t>1. namiriti troš</w:t>
      </w:r>
      <w:r w:rsidR="000B18D8" w:rsidRPr="000C549C">
        <w:t>kove unovčenja iz članka 254. t</w:t>
      </w:r>
      <w:r w:rsidR="000248E9" w:rsidRPr="000C549C">
        <w:t>og Zakona</w:t>
      </w:r>
    </w:p>
    <w:p w:rsidRDefault="00A001F6" w:rsidP="003324B8" w:rsidR="000248E9" w:rsidRPr="000C549C">
      <w:pPr>
        <w:spacing w:before="60"/>
        <w:jc w:val="both"/>
      </w:pPr>
      <w:r w:rsidRPr="000C549C">
        <w:tab/>
      </w:r>
      <w:r w:rsidR="000248E9" w:rsidRPr="000C549C">
        <w:t>2. namiriti tražbine razlučnih vjerovnika prema redoslijedu određenom pravilima ovršnoga postupka i</w:t>
      </w:r>
    </w:p>
    <w:p w:rsidRDefault="00A001F6" w:rsidP="003324B8" w:rsidR="007E500B" w:rsidRPr="000C549C">
      <w:pPr>
        <w:spacing w:before="60"/>
        <w:jc w:val="both"/>
      </w:pPr>
      <w:r w:rsidRPr="000C549C">
        <w:tab/>
      </w:r>
      <w:r w:rsidR="000248E9" w:rsidRPr="000C549C">
        <w:t>3. preostali iznos predati stečajnom upravitelju za namirenje stečajnih vjerovnika.</w:t>
      </w:r>
    </w:p>
    <w:p w:rsidRDefault="00CC2D23" w:rsidP="00CF13C9" w:rsidR="006447F6" w:rsidRPr="000C549C">
      <w:pPr>
        <w:spacing w:before="200"/>
        <w:jc w:val="both"/>
      </w:pPr>
      <w:r>
        <w:tab/>
        <w:t>Odredbom članka 254. stavka</w:t>
      </w:r>
      <w:r w:rsidR="000B18D8" w:rsidRPr="000C549C">
        <w:t xml:space="preserve"> 1.  propisano je da je stečajni upravitelj dužan dostaviti sudu obračun troškova utvrđivanja predmeta razlučnoga prava i troškova njegova unovčenja u roku od osam dana od dana pravomoćnosti rješenja o dosudi. St</w:t>
      </w:r>
      <w:r>
        <w:t>avkom</w:t>
      </w:r>
      <w:r w:rsidR="000B18D8" w:rsidRPr="000C549C">
        <w:t xml:space="preserve"> 2. istoga čl. propisano je da se troškovi utvrđivanja predmeta razlučnoga prava određuju paušalno </w:t>
      </w:r>
      <w:r>
        <w:t>u iznosu od 5 % od utrška, a stavkom</w:t>
      </w:r>
      <w:r w:rsidR="000B18D8" w:rsidRPr="000C549C">
        <w:t xml:space="preserve"> 3. da se troškovi unovčenja predmeta razlučnoga prava određuju paušalno u iznosu od 5 % od utrška. Ako su stvarno nastali troškovi unovčenja znatno niži ili viši, odredit će se u stvarnoj visini. Ako je zbog unovčenja stečajna masa opterećena porezom, iznos toga poreza pridodaje se paušalu troškova unovčenja odnosno stvarno nastalim troškovima unovčenja.</w:t>
      </w:r>
    </w:p>
    <w:p w:rsidRDefault="0069122D" w:rsidP="00CF13C9" w:rsidR="0029393B">
      <w:pPr>
        <w:spacing w:before="200"/>
        <w:jc w:val="both"/>
      </w:pPr>
      <w:r w:rsidRPr="007E15E7">
        <w:tab/>
      </w:r>
      <w:r w:rsidR="00741681" w:rsidRPr="000C549C">
        <w:t xml:space="preserve"> </w:t>
      </w:r>
      <w:r w:rsidR="004B3C86" w:rsidRPr="00814C02">
        <w:t xml:space="preserve">Nastavno na prethodno, </w:t>
      </w:r>
      <w:r w:rsidR="00A62356" w:rsidRPr="00814C02">
        <w:t>ovaj sud u cijelosti pr</w:t>
      </w:r>
      <w:r w:rsidR="00E04C11" w:rsidRPr="00814C02">
        <w:t xml:space="preserve">ihvaća </w:t>
      </w:r>
      <w:r w:rsidR="00037B69" w:rsidRPr="00814C02">
        <w:t>način</w:t>
      </w:r>
      <w:r w:rsidR="00BA6BD7" w:rsidRPr="00814C02">
        <w:t xml:space="preserve"> obračuna troškova i namirenja razlučnih vjerovnika </w:t>
      </w:r>
      <w:r w:rsidR="00037B69" w:rsidRPr="00814C02">
        <w:t xml:space="preserve">stečajnog upravitelja ali pri tom utvrđuje da </w:t>
      </w:r>
      <w:r w:rsidR="0029393B">
        <w:t xml:space="preserve">je stečajni upravitelj u prijedlogu obračuna troškova utvrđenja i unovčenja propustio predložiti izdvajanje na ime troškova utvrđivanja predmeta razlučnog prava (članak 254. stavak </w:t>
      </w:r>
      <w:r w:rsidR="00C73FF9">
        <w:t>2</w:t>
      </w:r>
      <w:r w:rsidR="0029393B">
        <w:t>. Stečajnog zakona).</w:t>
      </w:r>
    </w:p>
    <w:p w:rsidRDefault="0029393B" w:rsidP="00CF13C9" w:rsidR="00C73FF9">
      <w:pPr>
        <w:spacing w:before="200"/>
        <w:jc w:val="both"/>
      </w:pPr>
      <w:r>
        <w:tab/>
      </w:r>
      <w:r w:rsidR="00C73FF9">
        <w:t>Slijedom navedenog, a t</w:t>
      </w:r>
      <w:r w:rsidR="000B7A18">
        <w:t xml:space="preserve">emeljem odredbe citiranog članka 254. stavka </w:t>
      </w:r>
      <w:r w:rsidR="00C73FF9">
        <w:t xml:space="preserve">2. SZ-a, troškove utvrđivanja predmeta razlučnoga prava ovaj sud određuje paušalno u iznosu od 5 % od utrška - u konkretnom slučaju u iznosu od 13.300,00 kn (5% od 266.000,00 </w:t>
      </w:r>
      <w:r w:rsidR="000B7A18">
        <w:t>kn) radi čega je</w:t>
      </w:r>
      <w:r w:rsidR="00CE3937">
        <w:t xml:space="preserve">, </w:t>
      </w:r>
      <w:r w:rsidR="00CE3937" w:rsidRPr="00CE3937">
        <w:t>temeljem odredbe član</w:t>
      </w:r>
      <w:r w:rsidR="00CE3937">
        <w:t xml:space="preserve">ka 248. stavka 1. točke1. SZ-a, </w:t>
      </w:r>
      <w:r w:rsidR="000B7A18">
        <w:t>odlučeno kao u izreci ovog rješenja pod točkom I.1.</w:t>
      </w:r>
    </w:p>
    <w:p w:rsidRDefault="00C73FF9" w:rsidP="00CF13C9" w:rsidR="00C73FF9">
      <w:pPr>
        <w:spacing w:before="200"/>
        <w:ind w:firstLine="708"/>
        <w:jc w:val="both"/>
      </w:pPr>
      <w:r>
        <w:t xml:space="preserve">Kao što je već ranije navedeno, </w:t>
      </w:r>
      <w:r w:rsidRPr="00C73FF9">
        <w:t xml:space="preserve">18. lipnja 2018. </w:t>
      </w:r>
      <w:r>
        <w:t xml:space="preserve">stečajni upravitelj dostavio je sudu prijedlog obračuna </w:t>
      </w:r>
      <w:r w:rsidR="00902E5C">
        <w:t xml:space="preserve">troškova unovčenja, </w:t>
      </w:r>
      <w:r>
        <w:t xml:space="preserve">a </w:t>
      </w:r>
      <w:r w:rsidRPr="00C73FF9">
        <w:t>3. listopada 2018.</w:t>
      </w:r>
      <w:r>
        <w:t xml:space="preserve"> ispravak tog prijedloga (u dijelu koji se odnosi</w:t>
      </w:r>
      <w:r w:rsidR="00902E5C">
        <w:t xml:space="preserve"> na ukupan iznos kupovnine). Ovaj sud utvrđuje da je ispravljeni prijedlog (naprijed citiran u cijelosti) obrazložen i dokumentiran te ga u cijelosti prihvaća te utvrđuje:</w:t>
      </w:r>
    </w:p>
    <w:p w:rsidRDefault="00902E5C" w:rsidP="00CF13C9" w:rsidR="00902E5C">
      <w:pPr>
        <w:pStyle w:val="Odlomakpopisa"/>
        <w:numPr>
          <w:ilvl w:val="0"/>
          <w:numId w:val="17"/>
        </w:numPr>
        <w:spacing w:before="60"/>
        <w:ind w:hanging="357" w:left="1066"/>
        <w:jc w:val="both"/>
      </w:pPr>
      <w:r>
        <w:t xml:space="preserve">direktne (opće) troškove unovčenja u iznosu od </w:t>
      </w:r>
      <w:r w:rsidRPr="00902E5C">
        <w:t>22.075,00</w:t>
      </w:r>
      <w:r>
        <w:t xml:space="preserve"> kn</w:t>
      </w:r>
    </w:p>
    <w:p w:rsidRDefault="00902E5C" w:rsidP="00CF13C9" w:rsidR="00C73FF9">
      <w:pPr>
        <w:pStyle w:val="Odlomakpopisa"/>
        <w:numPr>
          <w:ilvl w:val="0"/>
          <w:numId w:val="17"/>
        </w:numPr>
        <w:spacing w:before="60"/>
        <w:ind w:hanging="357" w:left="1066"/>
        <w:jc w:val="both"/>
      </w:pPr>
      <w:r>
        <w:t xml:space="preserve">indirektne (posebne) troškove unovčenja u iznosu od </w:t>
      </w:r>
      <w:r w:rsidRPr="00902E5C">
        <w:t>67.040,87</w:t>
      </w:r>
      <w:r>
        <w:t xml:space="preserve"> kn.</w:t>
      </w:r>
    </w:p>
    <w:p w:rsidRDefault="00902E5C" w:rsidP="00CF13C9" w:rsidR="00902E5C">
      <w:pPr>
        <w:spacing w:before="200"/>
        <w:ind w:firstLine="709"/>
        <w:jc w:val="both"/>
      </w:pPr>
      <w:r>
        <w:t xml:space="preserve">Ukupan trošak </w:t>
      </w:r>
      <w:r w:rsidRPr="00902E5C">
        <w:t xml:space="preserve">unovčenja predmeta razlučnoga prava </w:t>
      </w:r>
      <w:r>
        <w:t>od 89.115,87 kn (</w:t>
      </w:r>
      <w:r w:rsidRPr="00902E5C">
        <w:t>22.075,00 kn</w:t>
      </w:r>
      <w:r>
        <w:t xml:space="preserve"> + </w:t>
      </w:r>
      <w:r w:rsidRPr="00902E5C">
        <w:t>67.040,87 kn</w:t>
      </w:r>
      <w:r>
        <w:t xml:space="preserve">) je, dakle, znatno veći od paušalnih 5% od utrška (5% od 266.000,00 kn = </w:t>
      </w:r>
      <w:r w:rsidRPr="00902E5C">
        <w:t>13.300,00 kn</w:t>
      </w:r>
      <w:r w:rsidR="000B7A18">
        <w:t xml:space="preserve">) pa ga sud temeljem odredbe </w:t>
      </w:r>
      <w:r w:rsidR="000B7A18" w:rsidRPr="000B7A18">
        <w:t xml:space="preserve">članka 254. stavka </w:t>
      </w:r>
      <w:r w:rsidR="000B7A18">
        <w:t>3</w:t>
      </w:r>
      <w:r w:rsidR="000B7A18" w:rsidRPr="000B7A18">
        <w:t xml:space="preserve">. </w:t>
      </w:r>
      <w:r w:rsidR="000B7A18">
        <w:t xml:space="preserve">određuje u stvarnoj visini </w:t>
      </w:r>
      <w:r w:rsidR="000B7A18" w:rsidRPr="000B7A18">
        <w:t>radi čega je</w:t>
      </w:r>
      <w:r w:rsidR="00CE3937">
        <w:t xml:space="preserve">, temeljem odredbe članka 248. stavka 1. točke 1. SZ-a, </w:t>
      </w:r>
      <w:r w:rsidR="000B7A18" w:rsidRPr="000B7A18">
        <w:t xml:space="preserve"> odlučeno kao u izre</w:t>
      </w:r>
      <w:r w:rsidR="000B7A18">
        <w:t>ci ovog rješenja pod točkom I.2.</w:t>
      </w:r>
    </w:p>
    <w:p w:rsidRDefault="000B7A18" w:rsidP="00CF13C9" w:rsidR="000B7A18">
      <w:pPr>
        <w:spacing w:before="200"/>
        <w:ind w:firstLine="709"/>
        <w:jc w:val="both"/>
      </w:pPr>
      <w:r>
        <w:t xml:space="preserve">S preostalim iznosom </w:t>
      </w:r>
      <w:r w:rsidRPr="007E15E7">
        <w:t xml:space="preserve">od </w:t>
      </w:r>
      <w:r>
        <w:t xml:space="preserve">163.584,13 </w:t>
      </w:r>
      <w:r w:rsidRPr="007E15E7">
        <w:t>kn</w:t>
      </w:r>
      <w:r>
        <w:t xml:space="preserve"> </w:t>
      </w:r>
      <w:r w:rsidR="00F52DEE">
        <w:t>(266.000,00 kn (kupovnina) -</w:t>
      </w:r>
      <w:r w:rsidR="0025746A" w:rsidRPr="0025746A">
        <w:t>13.300,00 kn</w:t>
      </w:r>
      <w:r w:rsidR="0025746A">
        <w:t xml:space="preserve"> (trošak utvrđivanja predmeta razlučnog prava) - </w:t>
      </w:r>
      <w:r w:rsidR="00F52DEE">
        <w:t xml:space="preserve"> </w:t>
      </w:r>
      <w:r w:rsidR="00F52DEE" w:rsidRPr="00F52DEE">
        <w:t xml:space="preserve">89.115,87 </w:t>
      </w:r>
      <w:r w:rsidR="00F52DEE">
        <w:t>kn</w:t>
      </w:r>
      <w:r w:rsidR="0025746A">
        <w:t xml:space="preserve"> (</w:t>
      </w:r>
      <w:r w:rsidR="0025746A" w:rsidRPr="0025746A">
        <w:t>troš</w:t>
      </w:r>
      <w:r w:rsidR="0025746A">
        <w:t>ak unovčenja predmeta razlučnog</w:t>
      </w:r>
      <w:r w:rsidR="0025746A" w:rsidRPr="0025746A">
        <w:t xml:space="preserve"> prava</w:t>
      </w:r>
      <w:r w:rsidR="0025746A">
        <w:t>)</w:t>
      </w:r>
      <w:r w:rsidR="00F52DEE">
        <w:t>)</w:t>
      </w:r>
      <w:r w:rsidR="00CE3937">
        <w:t xml:space="preserve"> temeljem odredbe </w:t>
      </w:r>
      <w:r w:rsidR="00CE3937" w:rsidRPr="00CE3937">
        <w:t>članka 248. stavka 1. točke</w:t>
      </w:r>
      <w:r w:rsidR="00CE3937">
        <w:t xml:space="preserve"> 2</w:t>
      </w:r>
      <w:r w:rsidR="00CE3937" w:rsidRPr="00CE3937">
        <w:t xml:space="preserve">. SZ-a  </w:t>
      </w:r>
      <w:r>
        <w:t xml:space="preserve">valja namiriti tražbinu razlučnog vjerovnika Splitska banka d.d. Split čija tražbina prema obračunu stečajnog upravitelja iznosi 1.710.423,16 kn </w:t>
      </w:r>
      <w:r w:rsidR="00CE3937">
        <w:t xml:space="preserve"> i koji ostaje nenamiren za iznos od 1.546.839,03 kn.</w:t>
      </w:r>
    </w:p>
    <w:p w:rsidRDefault="00C73FF9" w:rsidP="00CF13C9" w:rsidR="00C73FF9">
      <w:pPr>
        <w:spacing w:before="200"/>
        <w:ind w:firstLine="709"/>
        <w:jc w:val="both"/>
      </w:pPr>
      <w:r>
        <w:t>Isplata utvrđenih troškova i namirenje tražbine razlučnog vjerovnika izvršit će se po pravomoćnosti ovoga rješenja radi čega je odlučeno kao u izreci pod točkom II.</w:t>
      </w:r>
    </w:p>
    <w:p w:rsidRDefault="007D3A67" w:rsidP="00CF13C9" w:rsidR="00C73492" w:rsidRPr="007E15E7">
      <w:pPr>
        <w:spacing w:before="200"/>
        <w:jc w:val="center"/>
      </w:pPr>
      <w:r w:rsidRPr="00F52DEE">
        <w:t>U Splitu</w:t>
      </w:r>
      <w:r w:rsidR="000746DD" w:rsidRPr="00F52DEE">
        <w:t xml:space="preserve"> </w:t>
      </w:r>
      <w:r w:rsidR="00F52DEE" w:rsidRPr="00F52DEE">
        <w:t>2</w:t>
      </w:r>
      <w:r w:rsidR="0025746A">
        <w:t>5</w:t>
      </w:r>
      <w:r w:rsidR="00557924" w:rsidRPr="00F52DEE">
        <w:t>. listopada</w:t>
      </w:r>
      <w:r w:rsidR="00C73492" w:rsidRPr="00F52DEE">
        <w:t xml:space="preserve"> 2018.</w:t>
      </w:r>
    </w:p>
    <w:p w:rsidRDefault="001A1665" w:rsidP="007513DD" w:rsidR="00EC7984" w:rsidRPr="000C549C">
      <w:pPr>
        <w:spacing w:before="300"/>
        <w:ind w:firstLine="708" w:left="6372"/>
      </w:pPr>
      <w:r w:rsidRPr="000C549C">
        <w:t>Sutkinja</w:t>
      </w:r>
    </w:p>
    <w:p w:rsidRDefault="001A1665" w:rsidP="0094096C" w:rsidR="007513DD">
      <w:pPr>
        <w:ind w:left="6372"/>
        <w:jc w:val="center"/>
      </w:pPr>
      <w:r w:rsidRPr="000C549C">
        <w:t>Ana Golub Gruić</w:t>
      </w:r>
      <w:r w:rsidR="007513DD">
        <w:t>, v.r.</w:t>
      </w:r>
    </w:p>
    <w:p w:rsidRDefault="007513DD" w:rsidP="008832A6" w:rsidR="007513DD">
      <w:pPr>
        <w:jc w:val="right"/>
      </w:pPr>
      <w:r>
        <w:t>za točnost otpravka – ovlašteni službenik</w:t>
      </w:r>
    </w:p>
    <w:p w:rsidRDefault="007513DD" w:rsidP="008832A6" w:rsidR="007513DD">
      <w:pPr>
        <w:ind w:firstLine="708" w:left="4956"/>
        <w:jc w:val="center"/>
      </w:pPr>
      <w:r>
        <w:t>Ana Bosančić</w:t>
      </w:r>
    </w:p>
    <w:p w:rsidRDefault="009325E9" w:rsidP="003324B8" w:rsidR="009325E9" w:rsidRPr="000C549C">
      <w:pPr>
        <w:ind w:firstLine="708" w:left="6372"/>
        <w:jc w:val="center"/>
      </w:pPr>
    </w:p>
    <w:p w:rsidRDefault="00772C0F" w:rsidP="007701D0" w:rsidR="00EC7984" w:rsidRPr="000C549C">
      <w:pPr>
        <w:spacing w:before="400"/>
        <w:jc w:val="both"/>
      </w:pPr>
      <w:r w:rsidRPr="000C549C">
        <w:t>Uputa o pravnom lijeku</w:t>
      </w:r>
      <w:r w:rsidR="00EC7984" w:rsidRPr="000C549C">
        <w:t xml:space="preserve">: </w:t>
      </w:r>
      <w:r w:rsidR="000E7986" w:rsidRPr="000C549C">
        <w:t>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w:t>
      </w:r>
    </w:p>
    <w:sectPr w:rsidSect="000D19FD" w:rsidR="00EC7984" w:rsidRPr="000C549C">
      <w:headerReference w:type="even" r:id="rId11"/>
      <w:head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9066C" w:rsidR="0049066C">
      <w:r>
        <w:separator/>
      </w:r>
    </w:p>
  </w:endnote>
  <w:endnote w:id="0" w:type="continuationSeparator">
    <w:p w:rsidRDefault="0049066C" w:rsidR="0049066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Unicode MS">
    <w:panose1 w:val="020B0604020202020204"/>
    <w:charset w:val="00"/>
    <w:family w:val="roman"/>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9066C" w:rsidR="0049066C">
      <w:r>
        <w:separator/>
      </w:r>
    </w:p>
  </w:footnote>
  <w:footnote w:id="0" w:type="continuationSeparator">
    <w:p w:rsidRDefault="0049066C" w:rsidR="0049066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05915" w:rsidP="00550626" w:rsidR="00832D97">
    <w:pPr>
      <w:pStyle w:val="Zaglavlje"/>
      <w:framePr w:y="1" w:xAlign="center" w:vAnchor="text" w:hAnchor="margin" w:wrap="around"/>
      <w:rPr>
        <w:rStyle w:val="Brojstranice"/>
      </w:rPr>
    </w:pPr>
    <w:r>
      <w:rPr>
        <w:rStyle w:val="Brojstranice"/>
      </w:rPr>
      <w:fldChar w:fldCharType="begin"/>
    </w:r>
    <w:r w:rsidR="00832D97">
      <w:rPr>
        <w:rStyle w:val="Brojstranice"/>
      </w:rPr>
      <w:instrText xml:space="preserve">PAGE  </w:instrText>
    </w:r>
    <w:r>
      <w:rPr>
        <w:rStyle w:val="Brojstranice"/>
      </w:rPr>
      <w:fldChar w:fldCharType="separate"/>
    </w:r>
    <w:r w:rsidR="00832D97">
      <w:rPr>
        <w:rStyle w:val="Brojstranice"/>
        <w:noProof/>
      </w:rPr>
      <w:t>2</w:t>
    </w:r>
    <w:r>
      <w:rPr>
        <w:rStyle w:val="Brojstranice"/>
      </w:rPr>
      <w:fldChar w:fldCharType="end"/>
    </w:r>
  </w:p>
  <w:p w:rsidRDefault="00832D97" w:rsidP="00BA0241" w:rsidR="00832D97">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05915" w:rsidP="005970EB" w:rsidR="00832D97">
    <w:pPr>
      <w:pStyle w:val="Zaglavlje"/>
      <w:framePr w:y="1" w:xAlign="center" w:vAnchor="text" w:hAnchor="margin" w:wrap="around"/>
      <w:jc w:val="center"/>
      <w:rPr>
        <w:rStyle w:val="Brojstranice"/>
      </w:rPr>
    </w:pPr>
    <w:r>
      <w:rPr>
        <w:rStyle w:val="Brojstranice"/>
      </w:rPr>
      <w:fldChar w:fldCharType="begin"/>
    </w:r>
    <w:r w:rsidR="00832D97">
      <w:rPr>
        <w:rStyle w:val="Brojstranice"/>
      </w:rPr>
      <w:instrText xml:space="preserve">PAGE  </w:instrText>
    </w:r>
    <w:r>
      <w:rPr>
        <w:rStyle w:val="Brojstranice"/>
      </w:rPr>
      <w:fldChar w:fldCharType="separate"/>
    </w:r>
    <w:r w:rsidR="007513DD">
      <w:rPr>
        <w:rStyle w:val="Brojstranice"/>
        <w:noProof/>
      </w:rPr>
      <w:t>5</w:t>
    </w:r>
    <w:r>
      <w:rPr>
        <w:rStyle w:val="Brojstranice"/>
      </w:rPr>
      <w:fldChar w:fldCharType="end"/>
    </w:r>
  </w:p>
  <w:p w:rsidRDefault="00832D97" w:rsidP="007D3A67" w:rsidR="00832D97">
    <w:pPr>
      <w:pStyle w:val="Zaglavlje"/>
      <w:jc w:val="right"/>
    </w:pPr>
    <w:r>
      <w:tab/>
    </w:r>
    <w:r w:rsidR="007D3A67">
      <w:t xml:space="preserve">Poslovni broj: </w:t>
    </w:r>
    <w:r>
      <w:t>11</w:t>
    </w:r>
    <w:r w:rsidRPr="00240531">
      <w:t>.</w:t>
    </w:r>
    <w:r w:rsidR="003C314A">
      <w:t>St-</w:t>
    </w:r>
    <w:r w:rsidR="00557924" w:rsidRPr="00557924">
      <w:t>116/2014-94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1916C9"/>
    <w:multiLevelType w:val="hybridMultilevel"/>
    <w:tmpl w:val="B26C6F74"/>
    <w:lvl w:tplc="041A0001" w:ilvl="0">
      <w:start w:val="1"/>
      <w:numFmt w:val="bullet"/>
      <w:lvlText w:val=""/>
      <w:lvlJc w:val="left"/>
      <w:pPr>
        <w:ind w:hanging="360" w:left="1429"/>
      </w:pPr>
      <w:rPr>
        <w:rFonts w:hAnsi="Symbol" w:ascii="Symbol" w:hint="default"/>
      </w:rPr>
    </w:lvl>
    <w:lvl w:tentative="true" w:tplc="041A0003" w:ilvl="1">
      <w:start w:val="1"/>
      <w:numFmt w:val="bullet"/>
      <w:lvlText w:val="o"/>
      <w:lvlJc w:val="left"/>
      <w:pPr>
        <w:ind w:hanging="360" w:left="2149"/>
      </w:pPr>
      <w:rPr>
        <w:rFonts w:cs="Courier New" w:hAnsi="Courier New" w:ascii="Courier New" w:hint="default"/>
      </w:rPr>
    </w:lvl>
    <w:lvl w:tentative="true" w:tplc="041A0005" w:ilvl="2">
      <w:start w:val="1"/>
      <w:numFmt w:val="bullet"/>
      <w:lvlText w:val=""/>
      <w:lvlJc w:val="left"/>
      <w:pPr>
        <w:ind w:hanging="360" w:left="2869"/>
      </w:pPr>
      <w:rPr>
        <w:rFonts w:hAnsi="Wingdings" w:ascii="Wingdings" w:hint="default"/>
      </w:rPr>
    </w:lvl>
    <w:lvl w:tentative="true" w:tplc="041A0001" w:ilvl="3">
      <w:start w:val="1"/>
      <w:numFmt w:val="bullet"/>
      <w:lvlText w:val=""/>
      <w:lvlJc w:val="left"/>
      <w:pPr>
        <w:ind w:hanging="360" w:left="3589"/>
      </w:pPr>
      <w:rPr>
        <w:rFonts w:hAnsi="Symbol" w:ascii="Symbol" w:hint="default"/>
      </w:rPr>
    </w:lvl>
    <w:lvl w:tentative="true" w:tplc="041A0003" w:ilvl="4">
      <w:start w:val="1"/>
      <w:numFmt w:val="bullet"/>
      <w:lvlText w:val="o"/>
      <w:lvlJc w:val="left"/>
      <w:pPr>
        <w:ind w:hanging="360" w:left="4309"/>
      </w:pPr>
      <w:rPr>
        <w:rFonts w:cs="Courier New" w:hAnsi="Courier New" w:ascii="Courier New" w:hint="default"/>
      </w:rPr>
    </w:lvl>
    <w:lvl w:tentative="true" w:tplc="041A0005" w:ilvl="5">
      <w:start w:val="1"/>
      <w:numFmt w:val="bullet"/>
      <w:lvlText w:val=""/>
      <w:lvlJc w:val="left"/>
      <w:pPr>
        <w:ind w:hanging="360" w:left="5029"/>
      </w:pPr>
      <w:rPr>
        <w:rFonts w:hAnsi="Wingdings" w:ascii="Wingdings" w:hint="default"/>
      </w:rPr>
    </w:lvl>
    <w:lvl w:tentative="true" w:tplc="041A0001" w:ilvl="6">
      <w:start w:val="1"/>
      <w:numFmt w:val="bullet"/>
      <w:lvlText w:val=""/>
      <w:lvlJc w:val="left"/>
      <w:pPr>
        <w:ind w:hanging="360" w:left="5749"/>
      </w:pPr>
      <w:rPr>
        <w:rFonts w:hAnsi="Symbol" w:ascii="Symbol" w:hint="default"/>
      </w:rPr>
    </w:lvl>
    <w:lvl w:tentative="true" w:tplc="041A0003" w:ilvl="7">
      <w:start w:val="1"/>
      <w:numFmt w:val="bullet"/>
      <w:lvlText w:val="o"/>
      <w:lvlJc w:val="left"/>
      <w:pPr>
        <w:ind w:hanging="360" w:left="6469"/>
      </w:pPr>
      <w:rPr>
        <w:rFonts w:cs="Courier New" w:hAnsi="Courier New" w:ascii="Courier New" w:hint="default"/>
      </w:rPr>
    </w:lvl>
    <w:lvl w:tentative="true" w:tplc="041A0005" w:ilvl="8">
      <w:start w:val="1"/>
      <w:numFmt w:val="bullet"/>
      <w:lvlText w:val=""/>
      <w:lvlJc w:val="left"/>
      <w:pPr>
        <w:ind w:hanging="360" w:left="7189"/>
      </w:pPr>
      <w:rPr>
        <w:rFonts w:hAnsi="Wingdings" w:ascii="Wingdings" w:hint="default"/>
      </w:rPr>
    </w:lvl>
  </w:abstractNum>
  <w:abstractNum w:abstractNumId="1">
    <w:nsid w:val="088C149E"/>
    <w:multiLevelType w:val="hybridMultilevel"/>
    <w:tmpl w:val="26584EE4"/>
    <w:lvl w:tplc="0922B736"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182F7D8B"/>
    <w:multiLevelType w:val="hybridMultilevel"/>
    <w:tmpl w:val="7A80072A"/>
    <w:lvl w:tplc="B5B44F88" w:ilvl="0">
      <w:start w:val="1"/>
      <w:numFmt w:val="decimal"/>
      <w:lvlText w:val="%1)"/>
      <w:lvlJc w:val="left"/>
      <w:pPr>
        <w:ind w:hanging="360" w:left="1069"/>
      </w:pPr>
      <w:rPr>
        <w:rFonts w:hint="default"/>
        <w:u w:val="single"/>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3">
    <w:nsid w:val="1B4D1CB5"/>
    <w:multiLevelType w:val="hybridMultilevel"/>
    <w:tmpl w:val="23D0354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1E2773AF"/>
    <w:multiLevelType w:val="hybridMultilevel"/>
    <w:tmpl w:val="75781546"/>
    <w:lvl w:tplc="F104DAA4" w:ilvl="0">
      <w:start w:val="1"/>
      <w:numFmt w:val="decimal"/>
      <w:lvlText w:val="%1."/>
      <w:lvlJc w:val="left"/>
      <w:pPr>
        <w:ind w:hanging="990" w:left="169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5">
    <w:nsid w:val="1FFA6B17"/>
    <w:multiLevelType w:val="hybridMultilevel"/>
    <w:tmpl w:val="3B42AA98"/>
    <w:lvl w:tplc="041A000F" w:ilvl="0">
      <w:start w:val="1"/>
      <w:numFmt w:val="decimal"/>
      <w:lvlText w:val="%1."/>
      <w:lvlJc w:val="left"/>
      <w:pPr>
        <w:ind w:hanging="360" w:left="2062"/>
      </w:pPr>
    </w:lvl>
    <w:lvl w:tentative="true" w:tplc="041A0019" w:ilvl="1">
      <w:start w:val="1"/>
      <w:numFmt w:val="lowerLetter"/>
      <w:lvlText w:val="%2."/>
      <w:lvlJc w:val="left"/>
      <w:pPr>
        <w:ind w:hanging="360" w:left="2782"/>
      </w:pPr>
    </w:lvl>
    <w:lvl w:tentative="true" w:tplc="041A001B" w:ilvl="2">
      <w:start w:val="1"/>
      <w:numFmt w:val="lowerRoman"/>
      <w:lvlText w:val="%3."/>
      <w:lvlJc w:val="right"/>
      <w:pPr>
        <w:ind w:hanging="180" w:left="3502"/>
      </w:pPr>
    </w:lvl>
    <w:lvl w:tentative="true" w:tplc="041A000F" w:ilvl="3">
      <w:start w:val="1"/>
      <w:numFmt w:val="decimal"/>
      <w:lvlText w:val="%4."/>
      <w:lvlJc w:val="left"/>
      <w:pPr>
        <w:ind w:hanging="360" w:left="4222"/>
      </w:pPr>
    </w:lvl>
    <w:lvl w:tentative="true" w:tplc="041A0019" w:ilvl="4">
      <w:start w:val="1"/>
      <w:numFmt w:val="lowerLetter"/>
      <w:lvlText w:val="%5."/>
      <w:lvlJc w:val="left"/>
      <w:pPr>
        <w:ind w:hanging="360" w:left="4942"/>
      </w:pPr>
    </w:lvl>
    <w:lvl w:tentative="true" w:tplc="041A001B" w:ilvl="5">
      <w:start w:val="1"/>
      <w:numFmt w:val="lowerRoman"/>
      <w:lvlText w:val="%6."/>
      <w:lvlJc w:val="right"/>
      <w:pPr>
        <w:ind w:hanging="180" w:left="5662"/>
      </w:pPr>
    </w:lvl>
    <w:lvl w:tentative="true" w:tplc="041A000F" w:ilvl="6">
      <w:start w:val="1"/>
      <w:numFmt w:val="decimal"/>
      <w:lvlText w:val="%7."/>
      <w:lvlJc w:val="left"/>
      <w:pPr>
        <w:ind w:hanging="360" w:left="6382"/>
      </w:pPr>
    </w:lvl>
    <w:lvl w:tentative="true" w:tplc="041A0019" w:ilvl="7">
      <w:start w:val="1"/>
      <w:numFmt w:val="lowerLetter"/>
      <w:lvlText w:val="%8."/>
      <w:lvlJc w:val="left"/>
      <w:pPr>
        <w:ind w:hanging="360" w:left="7102"/>
      </w:pPr>
    </w:lvl>
    <w:lvl w:tentative="true" w:tplc="041A001B" w:ilvl="8">
      <w:start w:val="1"/>
      <w:numFmt w:val="lowerRoman"/>
      <w:lvlText w:val="%9."/>
      <w:lvlJc w:val="right"/>
      <w:pPr>
        <w:ind w:hanging="180" w:left="7822"/>
      </w:pPr>
    </w:lvl>
  </w:abstractNum>
  <w:abstractNum w:abstractNumId="6">
    <w:nsid w:val="271D3B57"/>
    <w:multiLevelType w:val="hybridMultilevel"/>
    <w:tmpl w:val="852A1B3E"/>
    <w:lvl w:tplc="041A000F" w:ilvl="0">
      <w:start w:val="1"/>
      <w:numFmt w:val="decimal"/>
      <w:lvlText w:val="%1."/>
      <w:lvlJc w:val="left"/>
      <w:pPr>
        <w:ind w:hanging="360" w:left="845"/>
      </w:pPr>
    </w:lvl>
    <w:lvl w:tentative="true" w:tplc="041A0019" w:ilvl="1">
      <w:start w:val="1"/>
      <w:numFmt w:val="lowerLetter"/>
      <w:lvlText w:val="%2."/>
      <w:lvlJc w:val="left"/>
      <w:pPr>
        <w:ind w:hanging="360" w:left="1565"/>
      </w:pPr>
    </w:lvl>
    <w:lvl w:tentative="true" w:tplc="041A001B" w:ilvl="2">
      <w:start w:val="1"/>
      <w:numFmt w:val="lowerRoman"/>
      <w:lvlText w:val="%3."/>
      <w:lvlJc w:val="right"/>
      <w:pPr>
        <w:ind w:hanging="180" w:left="2285"/>
      </w:pPr>
    </w:lvl>
    <w:lvl w:tentative="true" w:tplc="041A000F" w:ilvl="3">
      <w:start w:val="1"/>
      <w:numFmt w:val="decimal"/>
      <w:lvlText w:val="%4."/>
      <w:lvlJc w:val="left"/>
      <w:pPr>
        <w:ind w:hanging="360" w:left="3005"/>
      </w:pPr>
    </w:lvl>
    <w:lvl w:tentative="true" w:tplc="041A0019" w:ilvl="4">
      <w:start w:val="1"/>
      <w:numFmt w:val="lowerLetter"/>
      <w:lvlText w:val="%5."/>
      <w:lvlJc w:val="left"/>
      <w:pPr>
        <w:ind w:hanging="360" w:left="3725"/>
      </w:pPr>
    </w:lvl>
    <w:lvl w:tentative="true" w:tplc="041A001B" w:ilvl="5">
      <w:start w:val="1"/>
      <w:numFmt w:val="lowerRoman"/>
      <w:lvlText w:val="%6."/>
      <w:lvlJc w:val="right"/>
      <w:pPr>
        <w:ind w:hanging="180" w:left="4445"/>
      </w:pPr>
    </w:lvl>
    <w:lvl w:tentative="true" w:tplc="041A000F" w:ilvl="6">
      <w:start w:val="1"/>
      <w:numFmt w:val="decimal"/>
      <w:lvlText w:val="%7."/>
      <w:lvlJc w:val="left"/>
      <w:pPr>
        <w:ind w:hanging="360" w:left="5165"/>
      </w:pPr>
    </w:lvl>
    <w:lvl w:tentative="true" w:tplc="041A0019" w:ilvl="7">
      <w:start w:val="1"/>
      <w:numFmt w:val="lowerLetter"/>
      <w:lvlText w:val="%8."/>
      <w:lvlJc w:val="left"/>
      <w:pPr>
        <w:ind w:hanging="360" w:left="5885"/>
      </w:pPr>
    </w:lvl>
    <w:lvl w:tentative="true" w:tplc="041A001B" w:ilvl="8">
      <w:start w:val="1"/>
      <w:numFmt w:val="lowerRoman"/>
      <w:lvlText w:val="%9."/>
      <w:lvlJc w:val="right"/>
      <w:pPr>
        <w:ind w:hanging="180" w:left="6605"/>
      </w:pPr>
    </w:lvl>
  </w:abstractNum>
  <w:abstractNum w:abstractNumId="7">
    <w:nsid w:val="30027F4C"/>
    <w:multiLevelType w:val="hybridMultilevel"/>
    <w:tmpl w:val="0B2602F6"/>
    <w:lvl w:tplc="10D2C932"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8">
    <w:nsid w:val="3E8A6451"/>
    <w:multiLevelType w:val="hybridMultilevel"/>
    <w:tmpl w:val="7A9E5FC6"/>
    <w:lvl w:tplc="041A0001" w:ilvl="0">
      <w:start w:val="1"/>
      <w:numFmt w:val="bullet"/>
      <w:lvlText w:val=""/>
      <w:lvlJc w:val="left"/>
      <w:pPr>
        <w:ind w:hanging="360" w:left="845"/>
      </w:pPr>
      <w:rPr>
        <w:rFonts w:hAnsi="Symbol" w:ascii="Symbol" w:hint="default"/>
      </w:rPr>
    </w:lvl>
    <w:lvl w:tentative="true" w:tplc="041A0003" w:ilvl="1">
      <w:start w:val="1"/>
      <w:numFmt w:val="bullet"/>
      <w:lvlText w:val="o"/>
      <w:lvlJc w:val="left"/>
      <w:pPr>
        <w:ind w:hanging="360" w:left="1565"/>
      </w:pPr>
      <w:rPr>
        <w:rFonts w:cs="Courier New" w:hAnsi="Courier New" w:ascii="Courier New" w:hint="default"/>
      </w:rPr>
    </w:lvl>
    <w:lvl w:tentative="true" w:tplc="041A0005" w:ilvl="2">
      <w:start w:val="1"/>
      <w:numFmt w:val="bullet"/>
      <w:lvlText w:val=""/>
      <w:lvlJc w:val="left"/>
      <w:pPr>
        <w:ind w:hanging="360" w:left="2285"/>
      </w:pPr>
      <w:rPr>
        <w:rFonts w:hAnsi="Wingdings" w:ascii="Wingdings" w:hint="default"/>
      </w:rPr>
    </w:lvl>
    <w:lvl w:tentative="true" w:tplc="041A0001" w:ilvl="3">
      <w:start w:val="1"/>
      <w:numFmt w:val="bullet"/>
      <w:lvlText w:val=""/>
      <w:lvlJc w:val="left"/>
      <w:pPr>
        <w:ind w:hanging="360" w:left="3005"/>
      </w:pPr>
      <w:rPr>
        <w:rFonts w:hAnsi="Symbol" w:ascii="Symbol" w:hint="default"/>
      </w:rPr>
    </w:lvl>
    <w:lvl w:tentative="true" w:tplc="041A0003" w:ilvl="4">
      <w:start w:val="1"/>
      <w:numFmt w:val="bullet"/>
      <w:lvlText w:val="o"/>
      <w:lvlJc w:val="left"/>
      <w:pPr>
        <w:ind w:hanging="360" w:left="3725"/>
      </w:pPr>
      <w:rPr>
        <w:rFonts w:cs="Courier New" w:hAnsi="Courier New" w:ascii="Courier New" w:hint="default"/>
      </w:rPr>
    </w:lvl>
    <w:lvl w:tentative="true" w:tplc="041A0005" w:ilvl="5">
      <w:start w:val="1"/>
      <w:numFmt w:val="bullet"/>
      <w:lvlText w:val=""/>
      <w:lvlJc w:val="left"/>
      <w:pPr>
        <w:ind w:hanging="360" w:left="4445"/>
      </w:pPr>
      <w:rPr>
        <w:rFonts w:hAnsi="Wingdings" w:ascii="Wingdings" w:hint="default"/>
      </w:rPr>
    </w:lvl>
    <w:lvl w:tentative="true" w:tplc="041A0001" w:ilvl="6">
      <w:start w:val="1"/>
      <w:numFmt w:val="bullet"/>
      <w:lvlText w:val=""/>
      <w:lvlJc w:val="left"/>
      <w:pPr>
        <w:ind w:hanging="360" w:left="5165"/>
      </w:pPr>
      <w:rPr>
        <w:rFonts w:hAnsi="Symbol" w:ascii="Symbol" w:hint="default"/>
      </w:rPr>
    </w:lvl>
    <w:lvl w:tentative="true" w:tplc="041A0003" w:ilvl="7">
      <w:start w:val="1"/>
      <w:numFmt w:val="bullet"/>
      <w:lvlText w:val="o"/>
      <w:lvlJc w:val="left"/>
      <w:pPr>
        <w:ind w:hanging="360" w:left="5885"/>
      </w:pPr>
      <w:rPr>
        <w:rFonts w:cs="Courier New" w:hAnsi="Courier New" w:ascii="Courier New" w:hint="default"/>
      </w:rPr>
    </w:lvl>
    <w:lvl w:tentative="true" w:tplc="041A0005" w:ilvl="8">
      <w:start w:val="1"/>
      <w:numFmt w:val="bullet"/>
      <w:lvlText w:val=""/>
      <w:lvlJc w:val="left"/>
      <w:pPr>
        <w:ind w:hanging="360" w:left="6605"/>
      </w:pPr>
      <w:rPr>
        <w:rFonts w:hAnsi="Wingdings" w:ascii="Wingdings" w:hint="default"/>
      </w:rPr>
    </w:lvl>
  </w:abstractNum>
  <w:abstractNum w:abstractNumId="9">
    <w:nsid w:val="494E75A9"/>
    <w:multiLevelType w:val="hybridMultilevel"/>
    <w:tmpl w:val="30188C7A"/>
    <w:lvl w:tplc="041A000F" w:ilvl="0">
      <w:start w:val="1"/>
      <w:numFmt w:val="decimal"/>
      <w:lvlText w:val="%1."/>
      <w:lvlJc w:val="left"/>
      <w:pPr>
        <w:ind w:hanging="360" w:left="1430"/>
      </w:pPr>
      <w:rPr>
        <w:rFonts w:hint="default"/>
      </w:rPr>
    </w:lvl>
    <w:lvl w:tentative="true" w:tplc="041A0003" w:ilvl="1">
      <w:start w:val="1"/>
      <w:numFmt w:val="bullet"/>
      <w:lvlText w:val="o"/>
      <w:lvlJc w:val="left"/>
      <w:pPr>
        <w:ind w:hanging="360" w:left="2150"/>
      </w:pPr>
      <w:rPr>
        <w:rFonts w:cs="Courier New" w:hAnsi="Courier New" w:ascii="Courier New" w:hint="default"/>
      </w:rPr>
    </w:lvl>
    <w:lvl w:tentative="true" w:tplc="041A0005" w:ilvl="2">
      <w:start w:val="1"/>
      <w:numFmt w:val="bullet"/>
      <w:lvlText w:val=""/>
      <w:lvlJc w:val="left"/>
      <w:pPr>
        <w:ind w:hanging="360" w:left="2870"/>
      </w:pPr>
      <w:rPr>
        <w:rFonts w:hAnsi="Wingdings" w:ascii="Wingdings" w:hint="default"/>
      </w:rPr>
    </w:lvl>
    <w:lvl w:tentative="true" w:tplc="041A0001" w:ilvl="3">
      <w:start w:val="1"/>
      <w:numFmt w:val="bullet"/>
      <w:lvlText w:val=""/>
      <w:lvlJc w:val="left"/>
      <w:pPr>
        <w:ind w:hanging="360" w:left="3590"/>
      </w:pPr>
      <w:rPr>
        <w:rFonts w:hAnsi="Symbol" w:ascii="Symbol" w:hint="default"/>
      </w:rPr>
    </w:lvl>
    <w:lvl w:tentative="true" w:tplc="041A0003" w:ilvl="4">
      <w:start w:val="1"/>
      <w:numFmt w:val="bullet"/>
      <w:lvlText w:val="o"/>
      <w:lvlJc w:val="left"/>
      <w:pPr>
        <w:ind w:hanging="360" w:left="4310"/>
      </w:pPr>
      <w:rPr>
        <w:rFonts w:cs="Courier New" w:hAnsi="Courier New" w:ascii="Courier New" w:hint="default"/>
      </w:rPr>
    </w:lvl>
    <w:lvl w:tentative="true" w:tplc="041A0005" w:ilvl="5">
      <w:start w:val="1"/>
      <w:numFmt w:val="bullet"/>
      <w:lvlText w:val=""/>
      <w:lvlJc w:val="left"/>
      <w:pPr>
        <w:ind w:hanging="360" w:left="5030"/>
      </w:pPr>
      <w:rPr>
        <w:rFonts w:hAnsi="Wingdings" w:ascii="Wingdings" w:hint="default"/>
      </w:rPr>
    </w:lvl>
    <w:lvl w:tentative="true" w:tplc="041A0001" w:ilvl="6">
      <w:start w:val="1"/>
      <w:numFmt w:val="bullet"/>
      <w:lvlText w:val=""/>
      <w:lvlJc w:val="left"/>
      <w:pPr>
        <w:ind w:hanging="360" w:left="5750"/>
      </w:pPr>
      <w:rPr>
        <w:rFonts w:hAnsi="Symbol" w:ascii="Symbol" w:hint="default"/>
      </w:rPr>
    </w:lvl>
    <w:lvl w:tentative="true" w:tplc="041A0003" w:ilvl="7">
      <w:start w:val="1"/>
      <w:numFmt w:val="bullet"/>
      <w:lvlText w:val="o"/>
      <w:lvlJc w:val="left"/>
      <w:pPr>
        <w:ind w:hanging="360" w:left="6470"/>
      </w:pPr>
      <w:rPr>
        <w:rFonts w:cs="Courier New" w:hAnsi="Courier New" w:ascii="Courier New" w:hint="default"/>
      </w:rPr>
    </w:lvl>
    <w:lvl w:tentative="true" w:tplc="041A0005" w:ilvl="8">
      <w:start w:val="1"/>
      <w:numFmt w:val="bullet"/>
      <w:lvlText w:val=""/>
      <w:lvlJc w:val="left"/>
      <w:pPr>
        <w:ind w:hanging="360" w:left="7190"/>
      </w:pPr>
      <w:rPr>
        <w:rFonts w:hAnsi="Wingdings" w:ascii="Wingdings" w:hint="default"/>
      </w:rPr>
    </w:lvl>
  </w:abstractNum>
  <w:abstractNum w:abstractNumId="10">
    <w:nsid w:val="4AC81080"/>
    <w:multiLevelType w:val="hybridMultilevel"/>
    <w:tmpl w:val="5FA48BF8"/>
    <w:lvl w:tplc="5A6C52CA" w:ilvl="0">
      <w:start w:val="1"/>
      <w:numFmt w:val="decimal"/>
      <w:lvlText w:val="%1)"/>
      <w:lvlJc w:val="left"/>
      <w:pPr>
        <w:ind w:hanging="360" w:left="720"/>
      </w:pPr>
      <w:rPr>
        <w:rFonts w:hint="default"/>
        <w:u w:val="singl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6E487DB5"/>
    <w:multiLevelType w:val="hybridMultilevel"/>
    <w:tmpl w:val="7C7AE802"/>
    <w:lvl w:tplc="041A0001" w:ilvl="0">
      <w:start w:val="1"/>
      <w:numFmt w:val="bullet"/>
      <w:lvlText w:val=""/>
      <w:lvlJc w:val="left"/>
      <w:pPr>
        <w:ind w:hanging="360" w:left="1429"/>
      </w:pPr>
      <w:rPr>
        <w:rFonts w:hAnsi="Symbol" w:ascii="Symbol" w:hint="default"/>
      </w:rPr>
    </w:lvl>
    <w:lvl w:tentative="true" w:tplc="041A0003" w:ilvl="1">
      <w:start w:val="1"/>
      <w:numFmt w:val="bullet"/>
      <w:lvlText w:val="o"/>
      <w:lvlJc w:val="left"/>
      <w:pPr>
        <w:ind w:hanging="360" w:left="2149"/>
      </w:pPr>
      <w:rPr>
        <w:rFonts w:cs="Courier New" w:hAnsi="Courier New" w:ascii="Courier New" w:hint="default"/>
      </w:rPr>
    </w:lvl>
    <w:lvl w:tentative="true" w:tplc="041A0005" w:ilvl="2">
      <w:start w:val="1"/>
      <w:numFmt w:val="bullet"/>
      <w:lvlText w:val=""/>
      <w:lvlJc w:val="left"/>
      <w:pPr>
        <w:ind w:hanging="360" w:left="2869"/>
      </w:pPr>
      <w:rPr>
        <w:rFonts w:hAnsi="Wingdings" w:ascii="Wingdings" w:hint="default"/>
      </w:rPr>
    </w:lvl>
    <w:lvl w:tentative="true" w:tplc="041A0001" w:ilvl="3">
      <w:start w:val="1"/>
      <w:numFmt w:val="bullet"/>
      <w:lvlText w:val=""/>
      <w:lvlJc w:val="left"/>
      <w:pPr>
        <w:ind w:hanging="360" w:left="3589"/>
      </w:pPr>
      <w:rPr>
        <w:rFonts w:hAnsi="Symbol" w:ascii="Symbol" w:hint="default"/>
      </w:rPr>
    </w:lvl>
    <w:lvl w:tentative="true" w:tplc="041A0003" w:ilvl="4">
      <w:start w:val="1"/>
      <w:numFmt w:val="bullet"/>
      <w:lvlText w:val="o"/>
      <w:lvlJc w:val="left"/>
      <w:pPr>
        <w:ind w:hanging="360" w:left="4309"/>
      </w:pPr>
      <w:rPr>
        <w:rFonts w:cs="Courier New" w:hAnsi="Courier New" w:ascii="Courier New" w:hint="default"/>
      </w:rPr>
    </w:lvl>
    <w:lvl w:tentative="true" w:tplc="041A0005" w:ilvl="5">
      <w:start w:val="1"/>
      <w:numFmt w:val="bullet"/>
      <w:lvlText w:val=""/>
      <w:lvlJc w:val="left"/>
      <w:pPr>
        <w:ind w:hanging="360" w:left="5029"/>
      </w:pPr>
      <w:rPr>
        <w:rFonts w:hAnsi="Wingdings" w:ascii="Wingdings" w:hint="default"/>
      </w:rPr>
    </w:lvl>
    <w:lvl w:tentative="true" w:tplc="041A0001" w:ilvl="6">
      <w:start w:val="1"/>
      <w:numFmt w:val="bullet"/>
      <w:lvlText w:val=""/>
      <w:lvlJc w:val="left"/>
      <w:pPr>
        <w:ind w:hanging="360" w:left="5749"/>
      </w:pPr>
      <w:rPr>
        <w:rFonts w:hAnsi="Symbol" w:ascii="Symbol" w:hint="default"/>
      </w:rPr>
    </w:lvl>
    <w:lvl w:tentative="true" w:tplc="041A0003" w:ilvl="7">
      <w:start w:val="1"/>
      <w:numFmt w:val="bullet"/>
      <w:lvlText w:val="o"/>
      <w:lvlJc w:val="left"/>
      <w:pPr>
        <w:ind w:hanging="360" w:left="6469"/>
      </w:pPr>
      <w:rPr>
        <w:rFonts w:cs="Courier New" w:hAnsi="Courier New" w:ascii="Courier New" w:hint="default"/>
      </w:rPr>
    </w:lvl>
    <w:lvl w:tentative="true" w:tplc="041A0005" w:ilvl="8">
      <w:start w:val="1"/>
      <w:numFmt w:val="bullet"/>
      <w:lvlText w:val=""/>
      <w:lvlJc w:val="left"/>
      <w:pPr>
        <w:ind w:hanging="360" w:left="7189"/>
      </w:pPr>
      <w:rPr>
        <w:rFonts w:hAnsi="Wingdings" w:ascii="Wingdings" w:hint="default"/>
      </w:rPr>
    </w:lvl>
  </w:abstractNum>
  <w:abstractNum w:abstractNumId="12">
    <w:nsid w:val="6EEE679F"/>
    <w:multiLevelType w:val="hybridMultilevel"/>
    <w:tmpl w:val="D1D0BF3C"/>
    <w:lvl w:tplc="041A000F" w:ilvl="0">
      <w:start w:val="1"/>
      <w:numFmt w:val="decimal"/>
      <w:lvlText w:val="%1."/>
      <w:lvlJc w:val="left"/>
      <w:pPr>
        <w:ind w:hanging="360" w:left="1440"/>
      </w:pPr>
      <w:rPr>
        <w:rFonts w:hint="default"/>
        <w:color w:val="auto"/>
      </w:rPr>
    </w:lvl>
    <w:lvl w:tentative="true" w:tplc="041A0003" w:ilvl="1">
      <w:start w:val="1"/>
      <w:numFmt w:val="bullet"/>
      <w:lvlText w:val="o"/>
      <w:lvlJc w:val="left"/>
      <w:pPr>
        <w:ind w:hanging="360" w:left="2160"/>
      </w:pPr>
      <w:rPr>
        <w:rFonts w:cs="Courier New" w:hAnsi="Courier New" w:ascii="Courier New" w:hint="default"/>
      </w:rPr>
    </w:lvl>
    <w:lvl w:tentative="true" w:tplc="041A0005" w:ilvl="2">
      <w:start w:val="1"/>
      <w:numFmt w:val="bullet"/>
      <w:lvlText w:val=""/>
      <w:lvlJc w:val="left"/>
      <w:pPr>
        <w:ind w:hanging="360" w:left="2880"/>
      </w:pPr>
      <w:rPr>
        <w:rFonts w:hAnsi="Wingdings" w:ascii="Wingdings" w:hint="default"/>
      </w:rPr>
    </w:lvl>
    <w:lvl w:tentative="true" w:tplc="041A0001" w:ilvl="3">
      <w:start w:val="1"/>
      <w:numFmt w:val="bullet"/>
      <w:lvlText w:val=""/>
      <w:lvlJc w:val="left"/>
      <w:pPr>
        <w:ind w:hanging="360" w:left="3600"/>
      </w:pPr>
      <w:rPr>
        <w:rFonts w:hAnsi="Symbol" w:ascii="Symbol" w:hint="default"/>
      </w:rPr>
    </w:lvl>
    <w:lvl w:tentative="true" w:tplc="041A0003" w:ilvl="4">
      <w:start w:val="1"/>
      <w:numFmt w:val="bullet"/>
      <w:lvlText w:val="o"/>
      <w:lvlJc w:val="left"/>
      <w:pPr>
        <w:ind w:hanging="360" w:left="4320"/>
      </w:pPr>
      <w:rPr>
        <w:rFonts w:cs="Courier New" w:hAnsi="Courier New" w:ascii="Courier New" w:hint="default"/>
      </w:rPr>
    </w:lvl>
    <w:lvl w:tentative="true" w:tplc="041A0005" w:ilvl="5">
      <w:start w:val="1"/>
      <w:numFmt w:val="bullet"/>
      <w:lvlText w:val=""/>
      <w:lvlJc w:val="left"/>
      <w:pPr>
        <w:ind w:hanging="360" w:left="5040"/>
      </w:pPr>
      <w:rPr>
        <w:rFonts w:hAnsi="Wingdings" w:ascii="Wingdings" w:hint="default"/>
      </w:rPr>
    </w:lvl>
    <w:lvl w:tentative="true" w:tplc="041A0001" w:ilvl="6">
      <w:start w:val="1"/>
      <w:numFmt w:val="bullet"/>
      <w:lvlText w:val=""/>
      <w:lvlJc w:val="left"/>
      <w:pPr>
        <w:ind w:hanging="360" w:left="5760"/>
      </w:pPr>
      <w:rPr>
        <w:rFonts w:hAnsi="Symbol" w:ascii="Symbol" w:hint="default"/>
      </w:rPr>
    </w:lvl>
    <w:lvl w:tentative="true" w:tplc="041A0003" w:ilvl="7">
      <w:start w:val="1"/>
      <w:numFmt w:val="bullet"/>
      <w:lvlText w:val="o"/>
      <w:lvlJc w:val="left"/>
      <w:pPr>
        <w:ind w:hanging="360" w:left="6480"/>
      </w:pPr>
      <w:rPr>
        <w:rFonts w:cs="Courier New" w:hAnsi="Courier New" w:ascii="Courier New" w:hint="default"/>
      </w:rPr>
    </w:lvl>
    <w:lvl w:tentative="true" w:tplc="041A0005" w:ilvl="8">
      <w:start w:val="1"/>
      <w:numFmt w:val="bullet"/>
      <w:lvlText w:val=""/>
      <w:lvlJc w:val="left"/>
      <w:pPr>
        <w:ind w:hanging="360" w:left="7200"/>
      </w:pPr>
      <w:rPr>
        <w:rFonts w:hAnsi="Wingdings" w:ascii="Wingdings" w:hint="default"/>
      </w:rPr>
    </w:lvl>
  </w:abstractNum>
  <w:abstractNum w:abstractNumId="13">
    <w:nsid w:val="72F60D3F"/>
    <w:multiLevelType w:val="hybridMultilevel"/>
    <w:tmpl w:val="5B0E9A34"/>
    <w:lvl w:tplc="64F45DA8" w:ilvl="0">
      <w:start w:val="1"/>
      <w:numFmt w:val="lowerLetter"/>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4">
    <w:nsid w:val="7EF24FC6"/>
    <w:multiLevelType w:val="hybridMultilevel"/>
    <w:tmpl w:val="AF387FB2"/>
    <w:lvl w:tplc="0922B736" w:ilvl="0">
      <w:start w:val="1"/>
      <w:numFmt w:val="bullet"/>
      <w:lvlText w:val=""/>
      <w:lvlJc w:val="left"/>
      <w:pPr>
        <w:ind w:hanging="360" w:left="360"/>
      </w:pPr>
      <w:rPr>
        <w:rFonts w:hAnsi="Symbol" w:ascii="Symbol" w:hint="default"/>
      </w:rPr>
    </w:lvl>
    <w:lvl w:tentative="true" w:tplc="041A0003" w:ilvl="1">
      <w:start w:val="1"/>
      <w:numFmt w:val="bullet"/>
      <w:lvlText w:val="o"/>
      <w:lvlJc w:val="left"/>
      <w:pPr>
        <w:ind w:hanging="360" w:left="1080"/>
      </w:pPr>
      <w:rPr>
        <w:rFonts w:cs="Courier New" w:hAnsi="Courier New" w:ascii="Courier New" w:hint="default"/>
      </w:rPr>
    </w:lvl>
    <w:lvl w:tentative="true" w:tplc="041A0005" w:ilvl="2">
      <w:start w:val="1"/>
      <w:numFmt w:val="bullet"/>
      <w:lvlText w:val=""/>
      <w:lvlJc w:val="left"/>
      <w:pPr>
        <w:ind w:hanging="360" w:left="1800"/>
      </w:pPr>
      <w:rPr>
        <w:rFonts w:hAnsi="Wingdings" w:ascii="Wingdings" w:hint="default"/>
      </w:rPr>
    </w:lvl>
    <w:lvl w:tentative="true" w:tplc="041A0001" w:ilvl="3">
      <w:start w:val="1"/>
      <w:numFmt w:val="bullet"/>
      <w:lvlText w:val=""/>
      <w:lvlJc w:val="left"/>
      <w:pPr>
        <w:ind w:hanging="360" w:left="2520"/>
      </w:pPr>
      <w:rPr>
        <w:rFonts w:hAnsi="Symbol" w:ascii="Symbol" w:hint="default"/>
      </w:rPr>
    </w:lvl>
    <w:lvl w:tentative="true" w:tplc="041A0003" w:ilvl="4">
      <w:start w:val="1"/>
      <w:numFmt w:val="bullet"/>
      <w:lvlText w:val="o"/>
      <w:lvlJc w:val="left"/>
      <w:pPr>
        <w:ind w:hanging="360" w:left="3240"/>
      </w:pPr>
      <w:rPr>
        <w:rFonts w:cs="Courier New" w:hAnsi="Courier New" w:ascii="Courier New" w:hint="default"/>
      </w:rPr>
    </w:lvl>
    <w:lvl w:tentative="true" w:tplc="041A0005" w:ilvl="5">
      <w:start w:val="1"/>
      <w:numFmt w:val="bullet"/>
      <w:lvlText w:val=""/>
      <w:lvlJc w:val="left"/>
      <w:pPr>
        <w:ind w:hanging="360" w:left="3960"/>
      </w:pPr>
      <w:rPr>
        <w:rFonts w:hAnsi="Wingdings" w:ascii="Wingdings" w:hint="default"/>
      </w:rPr>
    </w:lvl>
    <w:lvl w:tentative="true" w:tplc="041A0001" w:ilvl="6">
      <w:start w:val="1"/>
      <w:numFmt w:val="bullet"/>
      <w:lvlText w:val=""/>
      <w:lvlJc w:val="left"/>
      <w:pPr>
        <w:ind w:hanging="360" w:left="4680"/>
      </w:pPr>
      <w:rPr>
        <w:rFonts w:hAnsi="Symbol" w:ascii="Symbol" w:hint="default"/>
      </w:rPr>
    </w:lvl>
    <w:lvl w:tentative="true" w:tplc="041A0003" w:ilvl="7">
      <w:start w:val="1"/>
      <w:numFmt w:val="bullet"/>
      <w:lvlText w:val="o"/>
      <w:lvlJc w:val="left"/>
      <w:pPr>
        <w:ind w:hanging="360" w:left="5400"/>
      </w:pPr>
      <w:rPr>
        <w:rFonts w:cs="Courier New" w:hAnsi="Courier New" w:ascii="Courier New" w:hint="default"/>
      </w:rPr>
    </w:lvl>
    <w:lvl w:tentative="true" w:tplc="041A0005" w:ilvl="8">
      <w:start w:val="1"/>
      <w:numFmt w:val="bullet"/>
      <w:lvlText w:val=""/>
      <w:lvlJc w:val="left"/>
      <w:pPr>
        <w:ind w:hanging="360" w:left="6120"/>
      </w:pPr>
      <w:rPr>
        <w:rFonts w:hAnsi="Wingdings" w:ascii="Wingdings" w:hint="default"/>
      </w:rPr>
    </w:lvl>
  </w:abstractNum>
  <w:abstractNum w:abstractNumId="15">
    <w:nsid w:val="7FFC47B1"/>
    <w:multiLevelType w:val="hybridMultilevel"/>
    <w:tmpl w:val="4D0C5B28"/>
    <w:lvl w:tplc="8168E2EA" w:ilvl="0">
      <w:start w:val="1"/>
      <w:numFmt w:val="decimal"/>
      <w:lvlText w:val="%1."/>
      <w:lvlJc w:val="left"/>
      <w:pPr>
        <w:ind w:hanging="360" w:left="1440"/>
      </w:pPr>
      <w:rPr>
        <w:rFonts w:hint="default"/>
        <w:b w:val="false"/>
        <w:i w:val="false"/>
        <w:color w:val="auto"/>
      </w:rPr>
    </w:lvl>
    <w:lvl w:tentative="true" w:tplc="041A0003" w:ilvl="1">
      <w:start w:val="1"/>
      <w:numFmt w:val="bullet"/>
      <w:lvlText w:val="o"/>
      <w:lvlJc w:val="left"/>
      <w:pPr>
        <w:ind w:hanging="360" w:left="2160"/>
      </w:pPr>
      <w:rPr>
        <w:rFonts w:cs="Courier New" w:hAnsi="Courier New" w:ascii="Courier New" w:hint="default"/>
      </w:rPr>
    </w:lvl>
    <w:lvl w:tentative="true" w:tplc="041A0005" w:ilvl="2">
      <w:start w:val="1"/>
      <w:numFmt w:val="bullet"/>
      <w:lvlText w:val=""/>
      <w:lvlJc w:val="left"/>
      <w:pPr>
        <w:ind w:hanging="360" w:left="2880"/>
      </w:pPr>
      <w:rPr>
        <w:rFonts w:hAnsi="Wingdings" w:ascii="Wingdings" w:hint="default"/>
      </w:rPr>
    </w:lvl>
    <w:lvl w:tentative="true" w:tplc="041A0001" w:ilvl="3">
      <w:start w:val="1"/>
      <w:numFmt w:val="bullet"/>
      <w:lvlText w:val=""/>
      <w:lvlJc w:val="left"/>
      <w:pPr>
        <w:ind w:hanging="360" w:left="3600"/>
      </w:pPr>
      <w:rPr>
        <w:rFonts w:hAnsi="Symbol" w:ascii="Symbol" w:hint="default"/>
      </w:rPr>
    </w:lvl>
    <w:lvl w:tentative="true" w:tplc="041A0003" w:ilvl="4">
      <w:start w:val="1"/>
      <w:numFmt w:val="bullet"/>
      <w:lvlText w:val="o"/>
      <w:lvlJc w:val="left"/>
      <w:pPr>
        <w:ind w:hanging="360" w:left="4320"/>
      </w:pPr>
      <w:rPr>
        <w:rFonts w:cs="Courier New" w:hAnsi="Courier New" w:ascii="Courier New" w:hint="default"/>
      </w:rPr>
    </w:lvl>
    <w:lvl w:tentative="true" w:tplc="041A0005" w:ilvl="5">
      <w:start w:val="1"/>
      <w:numFmt w:val="bullet"/>
      <w:lvlText w:val=""/>
      <w:lvlJc w:val="left"/>
      <w:pPr>
        <w:ind w:hanging="360" w:left="5040"/>
      </w:pPr>
      <w:rPr>
        <w:rFonts w:hAnsi="Wingdings" w:ascii="Wingdings" w:hint="default"/>
      </w:rPr>
    </w:lvl>
    <w:lvl w:tentative="true" w:tplc="041A0001" w:ilvl="6">
      <w:start w:val="1"/>
      <w:numFmt w:val="bullet"/>
      <w:lvlText w:val=""/>
      <w:lvlJc w:val="left"/>
      <w:pPr>
        <w:ind w:hanging="360" w:left="5760"/>
      </w:pPr>
      <w:rPr>
        <w:rFonts w:hAnsi="Symbol" w:ascii="Symbol" w:hint="default"/>
      </w:rPr>
    </w:lvl>
    <w:lvl w:tentative="true" w:tplc="041A0003" w:ilvl="7">
      <w:start w:val="1"/>
      <w:numFmt w:val="bullet"/>
      <w:lvlText w:val="o"/>
      <w:lvlJc w:val="left"/>
      <w:pPr>
        <w:ind w:hanging="360" w:left="6480"/>
      </w:pPr>
      <w:rPr>
        <w:rFonts w:cs="Courier New" w:hAnsi="Courier New" w:ascii="Courier New" w:hint="default"/>
      </w:rPr>
    </w:lvl>
    <w:lvl w:tentative="true" w:tplc="041A0005" w:ilvl="8">
      <w:start w:val="1"/>
      <w:numFmt w:val="bullet"/>
      <w:lvlText w:val=""/>
      <w:lvlJc w:val="left"/>
      <w:pPr>
        <w:ind w:hanging="360" w:left="7200"/>
      </w:pPr>
      <w:rPr>
        <w:rFonts w:hAnsi="Wingdings" w:ascii="Wingdings" w:hint="default"/>
      </w:rPr>
    </w:lvl>
  </w:abstractNum>
  <w:num w:numId="1">
    <w:abstractNumId w:val="7"/>
  </w:num>
  <w:num w:numId="2">
    <w:abstractNumId w:val="15"/>
  </w:num>
  <w:num w:numId="3">
    <w:abstractNumId w:val="9"/>
  </w:num>
  <w:num w:numId="4">
    <w:abstractNumId w:val="14"/>
  </w:num>
  <w:num w:numId="5">
    <w:abstractNumId w:val="12"/>
  </w:num>
  <w:num w:numId="6">
    <w:abstractNumId w:val="8"/>
  </w:num>
  <w:num w:numId="7">
    <w:abstractNumId w:val="6"/>
  </w:num>
  <w:num w:numId="8">
    <w:abstractNumId w:val="14"/>
  </w:num>
  <w:num w:numId="9">
    <w:abstractNumId w:val="5"/>
  </w:num>
  <w:num w:numId="10">
    <w:abstractNumId w:val="1"/>
  </w:num>
  <w:num w:numId="11">
    <w:abstractNumId w:val="3"/>
  </w:num>
  <w:num w:numId="12">
    <w:abstractNumId w:val="10"/>
  </w:num>
  <w:num w:numId="13">
    <w:abstractNumId w:val="2"/>
  </w:num>
  <w:num w:numId="14">
    <w:abstractNumId w:val="11"/>
  </w:num>
  <w:num w:numId="15">
    <w:abstractNumId w:val="0"/>
  </w:num>
  <w:num w:numId="16">
    <w:abstractNumId w:val="4"/>
  </w:num>
  <w:num w:numId="17">
    <w:abstractNumId w:val="13"/>
  </w:num>
  <w:numIdMacAtCleanup w:val="3"/>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embedSystemFonts/>
  <w:attachedTemplate r:id="rId1"/>
  <w:stylePaneFormatFilter w:val="3F01"/>
  <w:defaultTabStop w:val="708"/>
  <w:hyphenationZone w:val="425"/>
  <w:noPunctuationKerning/>
  <w:characterSpacingControl w:val="doNotCompress"/>
  <w:savePreviewPicture/>
  <w:hdrShapeDefaults>
    <o:shapedefaults v:ext="edit" spidmax="30105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46C53"/>
    <w:rsid w:val="00000C09"/>
    <w:rsid w:val="0000147E"/>
    <w:rsid w:val="00001534"/>
    <w:rsid w:val="0000166F"/>
    <w:rsid w:val="0000266C"/>
    <w:rsid w:val="00002E9C"/>
    <w:rsid w:val="00004478"/>
    <w:rsid w:val="00005980"/>
    <w:rsid w:val="000065FB"/>
    <w:rsid w:val="000071DB"/>
    <w:rsid w:val="000074B5"/>
    <w:rsid w:val="0001236C"/>
    <w:rsid w:val="000125A9"/>
    <w:rsid w:val="00012B50"/>
    <w:rsid w:val="00012B5C"/>
    <w:rsid w:val="00012FB3"/>
    <w:rsid w:val="000136C9"/>
    <w:rsid w:val="00013B86"/>
    <w:rsid w:val="000145CE"/>
    <w:rsid w:val="00021621"/>
    <w:rsid w:val="000248E9"/>
    <w:rsid w:val="00030A2B"/>
    <w:rsid w:val="00032A28"/>
    <w:rsid w:val="00034E01"/>
    <w:rsid w:val="00035D1C"/>
    <w:rsid w:val="000364C6"/>
    <w:rsid w:val="0003684C"/>
    <w:rsid w:val="00036A2B"/>
    <w:rsid w:val="000377C2"/>
    <w:rsid w:val="00037B69"/>
    <w:rsid w:val="0004127E"/>
    <w:rsid w:val="00041531"/>
    <w:rsid w:val="00042A0C"/>
    <w:rsid w:val="00042A23"/>
    <w:rsid w:val="00043B6A"/>
    <w:rsid w:val="00044143"/>
    <w:rsid w:val="00044712"/>
    <w:rsid w:val="0004471A"/>
    <w:rsid w:val="0004674C"/>
    <w:rsid w:val="00050331"/>
    <w:rsid w:val="00050DD5"/>
    <w:rsid w:val="0005269B"/>
    <w:rsid w:val="000528D3"/>
    <w:rsid w:val="000534E5"/>
    <w:rsid w:val="00055194"/>
    <w:rsid w:val="00056826"/>
    <w:rsid w:val="00057932"/>
    <w:rsid w:val="00061E72"/>
    <w:rsid w:val="00061ED8"/>
    <w:rsid w:val="000651E0"/>
    <w:rsid w:val="00067948"/>
    <w:rsid w:val="00067967"/>
    <w:rsid w:val="00071831"/>
    <w:rsid w:val="00071FE0"/>
    <w:rsid w:val="0007407C"/>
    <w:rsid w:val="000740B6"/>
    <w:rsid w:val="00074288"/>
    <w:rsid w:val="00074574"/>
    <w:rsid w:val="000746DD"/>
    <w:rsid w:val="000747C1"/>
    <w:rsid w:val="00077C97"/>
    <w:rsid w:val="00077CE9"/>
    <w:rsid w:val="000805E9"/>
    <w:rsid w:val="00081684"/>
    <w:rsid w:val="0008385C"/>
    <w:rsid w:val="00084A34"/>
    <w:rsid w:val="00090288"/>
    <w:rsid w:val="00090A80"/>
    <w:rsid w:val="00092165"/>
    <w:rsid w:val="0009243D"/>
    <w:rsid w:val="0009291D"/>
    <w:rsid w:val="000935BA"/>
    <w:rsid w:val="0009500A"/>
    <w:rsid w:val="00096FA4"/>
    <w:rsid w:val="000973F8"/>
    <w:rsid w:val="000A03CE"/>
    <w:rsid w:val="000A0C76"/>
    <w:rsid w:val="000A1979"/>
    <w:rsid w:val="000A1B06"/>
    <w:rsid w:val="000A2361"/>
    <w:rsid w:val="000A35B6"/>
    <w:rsid w:val="000A5962"/>
    <w:rsid w:val="000A6093"/>
    <w:rsid w:val="000A67E1"/>
    <w:rsid w:val="000A688B"/>
    <w:rsid w:val="000A70AC"/>
    <w:rsid w:val="000B1489"/>
    <w:rsid w:val="000B18D8"/>
    <w:rsid w:val="000B4C3D"/>
    <w:rsid w:val="000B4EA9"/>
    <w:rsid w:val="000B5437"/>
    <w:rsid w:val="000B6E84"/>
    <w:rsid w:val="000B7A18"/>
    <w:rsid w:val="000C0CE7"/>
    <w:rsid w:val="000C1BE8"/>
    <w:rsid w:val="000C3D8B"/>
    <w:rsid w:val="000C549C"/>
    <w:rsid w:val="000C68E3"/>
    <w:rsid w:val="000D0123"/>
    <w:rsid w:val="000D19FD"/>
    <w:rsid w:val="000D2299"/>
    <w:rsid w:val="000D24E0"/>
    <w:rsid w:val="000D31F3"/>
    <w:rsid w:val="000D37ED"/>
    <w:rsid w:val="000D3CB9"/>
    <w:rsid w:val="000D6131"/>
    <w:rsid w:val="000D636D"/>
    <w:rsid w:val="000D6A79"/>
    <w:rsid w:val="000D6EED"/>
    <w:rsid w:val="000D7524"/>
    <w:rsid w:val="000E0A54"/>
    <w:rsid w:val="000E0A85"/>
    <w:rsid w:val="000E1E88"/>
    <w:rsid w:val="000E2773"/>
    <w:rsid w:val="000E3850"/>
    <w:rsid w:val="000E3F39"/>
    <w:rsid w:val="000E5663"/>
    <w:rsid w:val="000E63D7"/>
    <w:rsid w:val="000E68F5"/>
    <w:rsid w:val="000E7986"/>
    <w:rsid w:val="000F0349"/>
    <w:rsid w:val="000F29F1"/>
    <w:rsid w:val="000F31E5"/>
    <w:rsid w:val="000F39E1"/>
    <w:rsid w:val="000F5A80"/>
    <w:rsid w:val="000F66C7"/>
    <w:rsid w:val="000F6C36"/>
    <w:rsid w:val="000F6DF2"/>
    <w:rsid w:val="000F71A3"/>
    <w:rsid w:val="00103252"/>
    <w:rsid w:val="00103659"/>
    <w:rsid w:val="0010463B"/>
    <w:rsid w:val="00106361"/>
    <w:rsid w:val="0010661B"/>
    <w:rsid w:val="00106808"/>
    <w:rsid w:val="0010753E"/>
    <w:rsid w:val="001077CC"/>
    <w:rsid w:val="001104A6"/>
    <w:rsid w:val="00110A56"/>
    <w:rsid w:val="00110ACD"/>
    <w:rsid w:val="00111ECD"/>
    <w:rsid w:val="00112532"/>
    <w:rsid w:val="00116B72"/>
    <w:rsid w:val="00117CEE"/>
    <w:rsid w:val="0012344C"/>
    <w:rsid w:val="00133398"/>
    <w:rsid w:val="00134B19"/>
    <w:rsid w:val="00136344"/>
    <w:rsid w:val="00136D03"/>
    <w:rsid w:val="00140A3A"/>
    <w:rsid w:val="00142BEC"/>
    <w:rsid w:val="001435CE"/>
    <w:rsid w:val="0014363B"/>
    <w:rsid w:val="00143F2D"/>
    <w:rsid w:val="001453D1"/>
    <w:rsid w:val="001466BE"/>
    <w:rsid w:val="00152182"/>
    <w:rsid w:val="00152923"/>
    <w:rsid w:val="00153B97"/>
    <w:rsid w:val="00154621"/>
    <w:rsid w:val="00155D74"/>
    <w:rsid w:val="00157316"/>
    <w:rsid w:val="001574AB"/>
    <w:rsid w:val="0016058C"/>
    <w:rsid w:val="00160B8B"/>
    <w:rsid w:val="001629DA"/>
    <w:rsid w:val="00163351"/>
    <w:rsid w:val="0016436B"/>
    <w:rsid w:val="001661F7"/>
    <w:rsid w:val="00167792"/>
    <w:rsid w:val="0017080D"/>
    <w:rsid w:val="00170AC2"/>
    <w:rsid w:val="00171FA1"/>
    <w:rsid w:val="00172FB2"/>
    <w:rsid w:val="001778A6"/>
    <w:rsid w:val="00180CB2"/>
    <w:rsid w:val="00181128"/>
    <w:rsid w:val="001819EC"/>
    <w:rsid w:val="00182370"/>
    <w:rsid w:val="00182644"/>
    <w:rsid w:val="0018396E"/>
    <w:rsid w:val="001839C1"/>
    <w:rsid w:val="00184132"/>
    <w:rsid w:val="001854B6"/>
    <w:rsid w:val="00187CD8"/>
    <w:rsid w:val="00193E25"/>
    <w:rsid w:val="00195D0A"/>
    <w:rsid w:val="00195E32"/>
    <w:rsid w:val="001968DB"/>
    <w:rsid w:val="001969A7"/>
    <w:rsid w:val="00197239"/>
    <w:rsid w:val="00197CC4"/>
    <w:rsid w:val="001A06A4"/>
    <w:rsid w:val="001A1162"/>
    <w:rsid w:val="001A1665"/>
    <w:rsid w:val="001A1CF7"/>
    <w:rsid w:val="001A63FB"/>
    <w:rsid w:val="001B0FA7"/>
    <w:rsid w:val="001B1BC8"/>
    <w:rsid w:val="001B2C72"/>
    <w:rsid w:val="001B43B6"/>
    <w:rsid w:val="001C111F"/>
    <w:rsid w:val="001C16E5"/>
    <w:rsid w:val="001C193C"/>
    <w:rsid w:val="001C1DA0"/>
    <w:rsid w:val="001C37E0"/>
    <w:rsid w:val="001C5AEE"/>
    <w:rsid w:val="001C6F80"/>
    <w:rsid w:val="001D124A"/>
    <w:rsid w:val="001D31A1"/>
    <w:rsid w:val="001D51C0"/>
    <w:rsid w:val="001D705D"/>
    <w:rsid w:val="001D7808"/>
    <w:rsid w:val="001D7AC0"/>
    <w:rsid w:val="001D7B89"/>
    <w:rsid w:val="001E13DC"/>
    <w:rsid w:val="001E2DD0"/>
    <w:rsid w:val="001E49FD"/>
    <w:rsid w:val="001E60EB"/>
    <w:rsid w:val="001F00A6"/>
    <w:rsid w:val="001F0FFA"/>
    <w:rsid w:val="001F3A18"/>
    <w:rsid w:val="001F46BA"/>
    <w:rsid w:val="002011F8"/>
    <w:rsid w:val="002032CB"/>
    <w:rsid w:val="00204EB0"/>
    <w:rsid w:val="00206478"/>
    <w:rsid w:val="00206A9C"/>
    <w:rsid w:val="00206F14"/>
    <w:rsid w:val="00212ACD"/>
    <w:rsid w:val="00214DD6"/>
    <w:rsid w:val="002232A8"/>
    <w:rsid w:val="0022534B"/>
    <w:rsid w:val="00225618"/>
    <w:rsid w:val="002265D3"/>
    <w:rsid w:val="00226683"/>
    <w:rsid w:val="00227806"/>
    <w:rsid w:val="00230038"/>
    <w:rsid w:val="00231D6D"/>
    <w:rsid w:val="00232216"/>
    <w:rsid w:val="002335AD"/>
    <w:rsid w:val="00236997"/>
    <w:rsid w:val="00240531"/>
    <w:rsid w:val="0024199C"/>
    <w:rsid w:val="00243C31"/>
    <w:rsid w:val="002457A1"/>
    <w:rsid w:val="00246870"/>
    <w:rsid w:val="00246C53"/>
    <w:rsid w:val="0024712D"/>
    <w:rsid w:val="00247924"/>
    <w:rsid w:val="00247BB4"/>
    <w:rsid w:val="0025066E"/>
    <w:rsid w:val="002520BD"/>
    <w:rsid w:val="00252AEA"/>
    <w:rsid w:val="00253EDB"/>
    <w:rsid w:val="00256309"/>
    <w:rsid w:val="002565B4"/>
    <w:rsid w:val="0025746A"/>
    <w:rsid w:val="00257FAE"/>
    <w:rsid w:val="0026098A"/>
    <w:rsid w:val="0026285F"/>
    <w:rsid w:val="0026465C"/>
    <w:rsid w:val="00265337"/>
    <w:rsid w:val="00265829"/>
    <w:rsid w:val="002668F0"/>
    <w:rsid w:val="00266C45"/>
    <w:rsid w:val="00267286"/>
    <w:rsid w:val="00270BA9"/>
    <w:rsid w:val="002737FA"/>
    <w:rsid w:val="00273889"/>
    <w:rsid w:val="002756B8"/>
    <w:rsid w:val="00280199"/>
    <w:rsid w:val="0028041F"/>
    <w:rsid w:val="00280C3E"/>
    <w:rsid w:val="00280ECE"/>
    <w:rsid w:val="00281CE5"/>
    <w:rsid w:val="0028263B"/>
    <w:rsid w:val="0028280D"/>
    <w:rsid w:val="002854C0"/>
    <w:rsid w:val="00287379"/>
    <w:rsid w:val="002874A6"/>
    <w:rsid w:val="002879E8"/>
    <w:rsid w:val="00287B69"/>
    <w:rsid w:val="00290D07"/>
    <w:rsid w:val="0029341F"/>
    <w:rsid w:val="0029393B"/>
    <w:rsid w:val="00294FE2"/>
    <w:rsid w:val="002954E7"/>
    <w:rsid w:val="00296005"/>
    <w:rsid w:val="00296613"/>
    <w:rsid w:val="002975F7"/>
    <w:rsid w:val="002A12CF"/>
    <w:rsid w:val="002A4496"/>
    <w:rsid w:val="002A6D71"/>
    <w:rsid w:val="002A76C4"/>
    <w:rsid w:val="002B0BF3"/>
    <w:rsid w:val="002B16B7"/>
    <w:rsid w:val="002B26B8"/>
    <w:rsid w:val="002B3162"/>
    <w:rsid w:val="002B380A"/>
    <w:rsid w:val="002B49BD"/>
    <w:rsid w:val="002B5427"/>
    <w:rsid w:val="002B5CAA"/>
    <w:rsid w:val="002C0049"/>
    <w:rsid w:val="002C02B2"/>
    <w:rsid w:val="002C4550"/>
    <w:rsid w:val="002C647F"/>
    <w:rsid w:val="002C6BAB"/>
    <w:rsid w:val="002C71E8"/>
    <w:rsid w:val="002D0524"/>
    <w:rsid w:val="002D17E9"/>
    <w:rsid w:val="002D2D2E"/>
    <w:rsid w:val="002D304E"/>
    <w:rsid w:val="002D3FD5"/>
    <w:rsid w:val="002D4B88"/>
    <w:rsid w:val="002D5ABB"/>
    <w:rsid w:val="002D6822"/>
    <w:rsid w:val="002D7683"/>
    <w:rsid w:val="002E44ED"/>
    <w:rsid w:val="002E48AB"/>
    <w:rsid w:val="002E59B0"/>
    <w:rsid w:val="002E769E"/>
    <w:rsid w:val="002E7A45"/>
    <w:rsid w:val="002F47ED"/>
    <w:rsid w:val="002F4D39"/>
    <w:rsid w:val="002F58C0"/>
    <w:rsid w:val="002F676A"/>
    <w:rsid w:val="002F6F42"/>
    <w:rsid w:val="003025CE"/>
    <w:rsid w:val="00302DDC"/>
    <w:rsid w:val="003030D0"/>
    <w:rsid w:val="003046DB"/>
    <w:rsid w:val="00306475"/>
    <w:rsid w:val="00311C09"/>
    <w:rsid w:val="003134AE"/>
    <w:rsid w:val="00313B0D"/>
    <w:rsid w:val="00320754"/>
    <w:rsid w:val="00320D58"/>
    <w:rsid w:val="00323690"/>
    <w:rsid w:val="003241C9"/>
    <w:rsid w:val="0032573F"/>
    <w:rsid w:val="003279EF"/>
    <w:rsid w:val="00327C7E"/>
    <w:rsid w:val="003302F2"/>
    <w:rsid w:val="003324B8"/>
    <w:rsid w:val="0033654C"/>
    <w:rsid w:val="00340158"/>
    <w:rsid w:val="00341C83"/>
    <w:rsid w:val="0034201C"/>
    <w:rsid w:val="0034410A"/>
    <w:rsid w:val="00345D7A"/>
    <w:rsid w:val="003512D9"/>
    <w:rsid w:val="00352358"/>
    <w:rsid w:val="0035256E"/>
    <w:rsid w:val="00352BBA"/>
    <w:rsid w:val="00352F9F"/>
    <w:rsid w:val="00353244"/>
    <w:rsid w:val="003539F8"/>
    <w:rsid w:val="00354E2D"/>
    <w:rsid w:val="00360047"/>
    <w:rsid w:val="003608C6"/>
    <w:rsid w:val="00362D12"/>
    <w:rsid w:val="00363B44"/>
    <w:rsid w:val="00365CC0"/>
    <w:rsid w:val="00366221"/>
    <w:rsid w:val="00367C62"/>
    <w:rsid w:val="00371D1E"/>
    <w:rsid w:val="0037338F"/>
    <w:rsid w:val="00373CAF"/>
    <w:rsid w:val="00375365"/>
    <w:rsid w:val="00375809"/>
    <w:rsid w:val="0038023A"/>
    <w:rsid w:val="003803F5"/>
    <w:rsid w:val="00380685"/>
    <w:rsid w:val="00380A2E"/>
    <w:rsid w:val="003811E4"/>
    <w:rsid w:val="0038492F"/>
    <w:rsid w:val="00384AD8"/>
    <w:rsid w:val="00386897"/>
    <w:rsid w:val="00391388"/>
    <w:rsid w:val="00392047"/>
    <w:rsid w:val="0039558E"/>
    <w:rsid w:val="00395B49"/>
    <w:rsid w:val="003960DD"/>
    <w:rsid w:val="003A09FC"/>
    <w:rsid w:val="003A0DBD"/>
    <w:rsid w:val="003A3B6A"/>
    <w:rsid w:val="003A5465"/>
    <w:rsid w:val="003A5665"/>
    <w:rsid w:val="003A6823"/>
    <w:rsid w:val="003A7CBB"/>
    <w:rsid w:val="003A7F75"/>
    <w:rsid w:val="003B1402"/>
    <w:rsid w:val="003B199C"/>
    <w:rsid w:val="003B1E31"/>
    <w:rsid w:val="003B2DC1"/>
    <w:rsid w:val="003B4317"/>
    <w:rsid w:val="003B4C2F"/>
    <w:rsid w:val="003B4F47"/>
    <w:rsid w:val="003B5E6D"/>
    <w:rsid w:val="003B6A96"/>
    <w:rsid w:val="003C0615"/>
    <w:rsid w:val="003C0932"/>
    <w:rsid w:val="003C1C5A"/>
    <w:rsid w:val="003C2FEF"/>
    <w:rsid w:val="003C314A"/>
    <w:rsid w:val="003C3A6D"/>
    <w:rsid w:val="003C754F"/>
    <w:rsid w:val="003D0147"/>
    <w:rsid w:val="003D03DF"/>
    <w:rsid w:val="003D12AA"/>
    <w:rsid w:val="003D14DA"/>
    <w:rsid w:val="003D4251"/>
    <w:rsid w:val="003D5391"/>
    <w:rsid w:val="003D7203"/>
    <w:rsid w:val="003D7918"/>
    <w:rsid w:val="003E02B6"/>
    <w:rsid w:val="003E2D15"/>
    <w:rsid w:val="003E3634"/>
    <w:rsid w:val="003E5335"/>
    <w:rsid w:val="003E54F2"/>
    <w:rsid w:val="003E5C3E"/>
    <w:rsid w:val="003E7894"/>
    <w:rsid w:val="003F162B"/>
    <w:rsid w:val="003F1ACF"/>
    <w:rsid w:val="003F2E1D"/>
    <w:rsid w:val="003F3112"/>
    <w:rsid w:val="003F3D80"/>
    <w:rsid w:val="003F3FEC"/>
    <w:rsid w:val="003F4CEA"/>
    <w:rsid w:val="003F6169"/>
    <w:rsid w:val="003F6A44"/>
    <w:rsid w:val="003F6F0F"/>
    <w:rsid w:val="003F788E"/>
    <w:rsid w:val="004004B8"/>
    <w:rsid w:val="00400B54"/>
    <w:rsid w:val="00401189"/>
    <w:rsid w:val="00401B90"/>
    <w:rsid w:val="0040212B"/>
    <w:rsid w:val="004023F8"/>
    <w:rsid w:val="004025DE"/>
    <w:rsid w:val="004027B3"/>
    <w:rsid w:val="0040337E"/>
    <w:rsid w:val="00403443"/>
    <w:rsid w:val="00403BF1"/>
    <w:rsid w:val="0040527F"/>
    <w:rsid w:val="00406576"/>
    <w:rsid w:val="00411B28"/>
    <w:rsid w:val="0041257F"/>
    <w:rsid w:val="00413FB1"/>
    <w:rsid w:val="004157C3"/>
    <w:rsid w:val="004157F0"/>
    <w:rsid w:val="00417BF8"/>
    <w:rsid w:val="00420778"/>
    <w:rsid w:val="00421081"/>
    <w:rsid w:val="004217A4"/>
    <w:rsid w:val="004221FE"/>
    <w:rsid w:val="004228C8"/>
    <w:rsid w:val="00423E86"/>
    <w:rsid w:val="00424BDB"/>
    <w:rsid w:val="00424FCD"/>
    <w:rsid w:val="00425908"/>
    <w:rsid w:val="00425C3A"/>
    <w:rsid w:val="0042621C"/>
    <w:rsid w:val="00430EBC"/>
    <w:rsid w:val="00432DDA"/>
    <w:rsid w:val="00437996"/>
    <w:rsid w:val="004438D4"/>
    <w:rsid w:val="0044500E"/>
    <w:rsid w:val="004453B8"/>
    <w:rsid w:val="004479C7"/>
    <w:rsid w:val="00450FC5"/>
    <w:rsid w:val="004524BC"/>
    <w:rsid w:val="00454D28"/>
    <w:rsid w:val="00454FBD"/>
    <w:rsid w:val="004569DA"/>
    <w:rsid w:val="004571ED"/>
    <w:rsid w:val="00460B2A"/>
    <w:rsid w:val="00461424"/>
    <w:rsid w:val="004633C3"/>
    <w:rsid w:val="00463440"/>
    <w:rsid w:val="00464ACF"/>
    <w:rsid w:val="00466B0F"/>
    <w:rsid w:val="00471E6F"/>
    <w:rsid w:val="00472785"/>
    <w:rsid w:val="004731A0"/>
    <w:rsid w:val="00475CA4"/>
    <w:rsid w:val="00476F18"/>
    <w:rsid w:val="00477521"/>
    <w:rsid w:val="004777D5"/>
    <w:rsid w:val="004829A9"/>
    <w:rsid w:val="00483E3D"/>
    <w:rsid w:val="00485E8B"/>
    <w:rsid w:val="0049026D"/>
    <w:rsid w:val="0049066C"/>
    <w:rsid w:val="004906DD"/>
    <w:rsid w:val="00491AAB"/>
    <w:rsid w:val="00495393"/>
    <w:rsid w:val="00495B98"/>
    <w:rsid w:val="004A0ED5"/>
    <w:rsid w:val="004A0F01"/>
    <w:rsid w:val="004A2437"/>
    <w:rsid w:val="004A4057"/>
    <w:rsid w:val="004A46B2"/>
    <w:rsid w:val="004A4D15"/>
    <w:rsid w:val="004A6837"/>
    <w:rsid w:val="004B1D8F"/>
    <w:rsid w:val="004B201E"/>
    <w:rsid w:val="004B31A2"/>
    <w:rsid w:val="004B3C86"/>
    <w:rsid w:val="004B4F3E"/>
    <w:rsid w:val="004B55B5"/>
    <w:rsid w:val="004B741C"/>
    <w:rsid w:val="004B7D53"/>
    <w:rsid w:val="004C17A7"/>
    <w:rsid w:val="004C41A9"/>
    <w:rsid w:val="004C62AD"/>
    <w:rsid w:val="004C7341"/>
    <w:rsid w:val="004C7840"/>
    <w:rsid w:val="004D29AC"/>
    <w:rsid w:val="004D3656"/>
    <w:rsid w:val="004D379A"/>
    <w:rsid w:val="004D3D2E"/>
    <w:rsid w:val="004D3D35"/>
    <w:rsid w:val="004D4FCF"/>
    <w:rsid w:val="004D63CA"/>
    <w:rsid w:val="004E34EF"/>
    <w:rsid w:val="004E4375"/>
    <w:rsid w:val="004E47FB"/>
    <w:rsid w:val="004E4E45"/>
    <w:rsid w:val="004E66EA"/>
    <w:rsid w:val="004E6712"/>
    <w:rsid w:val="004F3157"/>
    <w:rsid w:val="004F3F9B"/>
    <w:rsid w:val="004F645F"/>
    <w:rsid w:val="004F6477"/>
    <w:rsid w:val="004F7267"/>
    <w:rsid w:val="0050280E"/>
    <w:rsid w:val="00512180"/>
    <w:rsid w:val="005122C1"/>
    <w:rsid w:val="005153E1"/>
    <w:rsid w:val="005161C7"/>
    <w:rsid w:val="00516DCF"/>
    <w:rsid w:val="005212B1"/>
    <w:rsid w:val="005214B4"/>
    <w:rsid w:val="00522AF8"/>
    <w:rsid w:val="00522FC8"/>
    <w:rsid w:val="005254CC"/>
    <w:rsid w:val="00525684"/>
    <w:rsid w:val="00526FF0"/>
    <w:rsid w:val="00527708"/>
    <w:rsid w:val="00530204"/>
    <w:rsid w:val="005348C6"/>
    <w:rsid w:val="005348CB"/>
    <w:rsid w:val="005349BD"/>
    <w:rsid w:val="00536755"/>
    <w:rsid w:val="005379AB"/>
    <w:rsid w:val="0054004C"/>
    <w:rsid w:val="00540E30"/>
    <w:rsid w:val="005411CF"/>
    <w:rsid w:val="005414DF"/>
    <w:rsid w:val="00541CBD"/>
    <w:rsid w:val="0054306A"/>
    <w:rsid w:val="00543B32"/>
    <w:rsid w:val="005466CB"/>
    <w:rsid w:val="00546751"/>
    <w:rsid w:val="0054708C"/>
    <w:rsid w:val="00547ACE"/>
    <w:rsid w:val="00547FF0"/>
    <w:rsid w:val="00550626"/>
    <w:rsid w:val="00554A18"/>
    <w:rsid w:val="00556E31"/>
    <w:rsid w:val="00557924"/>
    <w:rsid w:val="00557AA1"/>
    <w:rsid w:val="005617E2"/>
    <w:rsid w:val="00562EBA"/>
    <w:rsid w:val="00563C61"/>
    <w:rsid w:val="005666AB"/>
    <w:rsid w:val="00567452"/>
    <w:rsid w:val="005676C8"/>
    <w:rsid w:val="0057073C"/>
    <w:rsid w:val="0057085D"/>
    <w:rsid w:val="00571885"/>
    <w:rsid w:val="00572508"/>
    <w:rsid w:val="005818A7"/>
    <w:rsid w:val="005818EB"/>
    <w:rsid w:val="00581C8D"/>
    <w:rsid w:val="005825FA"/>
    <w:rsid w:val="00583C64"/>
    <w:rsid w:val="00584722"/>
    <w:rsid w:val="00584E71"/>
    <w:rsid w:val="00585B41"/>
    <w:rsid w:val="00595490"/>
    <w:rsid w:val="00596537"/>
    <w:rsid w:val="0059695D"/>
    <w:rsid w:val="005970EB"/>
    <w:rsid w:val="005977C9"/>
    <w:rsid w:val="005A018C"/>
    <w:rsid w:val="005B07F4"/>
    <w:rsid w:val="005B1D28"/>
    <w:rsid w:val="005B2174"/>
    <w:rsid w:val="005B2ABC"/>
    <w:rsid w:val="005B2CA7"/>
    <w:rsid w:val="005B79F0"/>
    <w:rsid w:val="005C15C5"/>
    <w:rsid w:val="005C1D99"/>
    <w:rsid w:val="005C331F"/>
    <w:rsid w:val="005C371F"/>
    <w:rsid w:val="005C58BE"/>
    <w:rsid w:val="005C7095"/>
    <w:rsid w:val="005D744B"/>
    <w:rsid w:val="005D7CEB"/>
    <w:rsid w:val="005E5F3A"/>
    <w:rsid w:val="005F01C4"/>
    <w:rsid w:val="005F1ECD"/>
    <w:rsid w:val="005F1FC5"/>
    <w:rsid w:val="005F2B38"/>
    <w:rsid w:val="005F338B"/>
    <w:rsid w:val="005F3647"/>
    <w:rsid w:val="005F3B77"/>
    <w:rsid w:val="005F50E4"/>
    <w:rsid w:val="005F5C63"/>
    <w:rsid w:val="005F66FB"/>
    <w:rsid w:val="006008E2"/>
    <w:rsid w:val="00603B6C"/>
    <w:rsid w:val="00604100"/>
    <w:rsid w:val="0060479F"/>
    <w:rsid w:val="0060616E"/>
    <w:rsid w:val="00606AE4"/>
    <w:rsid w:val="00606DCF"/>
    <w:rsid w:val="00615597"/>
    <w:rsid w:val="0061636F"/>
    <w:rsid w:val="006178D0"/>
    <w:rsid w:val="00620B0B"/>
    <w:rsid w:val="00621457"/>
    <w:rsid w:val="006231F4"/>
    <w:rsid w:val="00623FAC"/>
    <w:rsid w:val="00623FF7"/>
    <w:rsid w:val="00627AC9"/>
    <w:rsid w:val="00630B70"/>
    <w:rsid w:val="0063203C"/>
    <w:rsid w:val="00633BC1"/>
    <w:rsid w:val="00633CE3"/>
    <w:rsid w:val="006348FD"/>
    <w:rsid w:val="006366A6"/>
    <w:rsid w:val="00636731"/>
    <w:rsid w:val="0063682B"/>
    <w:rsid w:val="00637570"/>
    <w:rsid w:val="00640C90"/>
    <w:rsid w:val="006420AA"/>
    <w:rsid w:val="00643E76"/>
    <w:rsid w:val="006447F6"/>
    <w:rsid w:val="00645AA5"/>
    <w:rsid w:val="00645CC2"/>
    <w:rsid w:val="00646E48"/>
    <w:rsid w:val="00650793"/>
    <w:rsid w:val="00650803"/>
    <w:rsid w:val="00653AC0"/>
    <w:rsid w:val="00653F2A"/>
    <w:rsid w:val="006546A8"/>
    <w:rsid w:val="00655782"/>
    <w:rsid w:val="00655CC4"/>
    <w:rsid w:val="00657727"/>
    <w:rsid w:val="00660DC3"/>
    <w:rsid w:val="00660F7E"/>
    <w:rsid w:val="006614B2"/>
    <w:rsid w:val="006626B9"/>
    <w:rsid w:val="00662C99"/>
    <w:rsid w:val="0066364A"/>
    <w:rsid w:val="00663A55"/>
    <w:rsid w:val="00666FD6"/>
    <w:rsid w:val="00666FFF"/>
    <w:rsid w:val="00667DE2"/>
    <w:rsid w:val="006705C7"/>
    <w:rsid w:val="00671DA1"/>
    <w:rsid w:val="0067331F"/>
    <w:rsid w:val="00673745"/>
    <w:rsid w:val="00673956"/>
    <w:rsid w:val="006746EE"/>
    <w:rsid w:val="0067732E"/>
    <w:rsid w:val="00677652"/>
    <w:rsid w:val="00681F8E"/>
    <w:rsid w:val="00682A9C"/>
    <w:rsid w:val="0068362B"/>
    <w:rsid w:val="00683DFD"/>
    <w:rsid w:val="00684044"/>
    <w:rsid w:val="006851CC"/>
    <w:rsid w:val="006858CE"/>
    <w:rsid w:val="00686757"/>
    <w:rsid w:val="00686DDB"/>
    <w:rsid w:val="0068742B"/>
    <w:rsid w:val="0069122D"/>
    <w:rsid w:val="00693CB9"/>
    <w:rsid w:val="006951B4"/>
    <w:rsid w:val="0069617B"/>
    <w:rsid w:val="006961E4"/>
    <w:rsid w:val="00697AFF"/>
    <w:rsid w:val="00697F01"/>
    <w:rsid w:val="006A1AF0"/>
    <w:rsid w:val="006A263E"/>
    <w:rsid w:val="006A2B98"/>
    <w:rsid w:val="006A3138"/>
    <w:rsid w:val="006A32F6"/>
    <w:rsid w:val="006A41D3"/>
    <w:rsid w:val="006A47B3"/>
    <w:rsid w:val="006A4A5E"/>
    <w:rsid w:val="006A6979"/>
    <w:rsid w:val="006A71A0"/>
    <w:rsid w:val="006B1ADB"/>
    <w:rsid w:val="006B66F5"/>
    <w:rsid w:val="006C0473"/>
    <w:rsid w:val="006C0991"/>
    <w:rsid w:val="006C3871"/>
    <w:rsid w:val="006C5713"/>
    <w:rsid w:val="006C747F"/>
    <w:rsid w:val="006C7653"/>
    <w:rsid w:val="006D08D9"/>
    <w:rsid w:val="006D1399"/>
    <w:rsid w:val="006D1A66"/>
    <w:rsid w:val="006D2A04"/>
    <w:rsid w:val="006D48AE"/>
    <w:rsid w:val="006D6289"/>
    <w:rsid w:val="006D65E6"/>
    <w:rsid w:val="006D69CA"/>
    <w:rsid w:val="006E1AC5"/>
    <w:rsid w:val="006E2C49"/>
    <w:rsid w:val="006E371C"/>
    <w:rsid w:val="006E3AED"/>
    <w:rsid w:val="006E4A14"/>
    <w:rsid w:val="006E59CA"/>
    <w:rsid w:val="006E5AA6"/>
    <w:rsid w:val="006E7200"/>
    <w:rsid w:val="006F1B29"/>
    <w:rsid w:val="006F27DD"/>
    <w:rsid w:val="00700AE5"/>
    <w:rsid w:val="0070118B"/>
    <w:rsid w:val="007025B9"/>
    <w:rsid w:val="00703C8E"/>
    <w:rsid w:val="00704859"/>
    <w:rsid w:val="00704883"/>
    <w:rsid w:val="00705114"/>
    <w:rsid w:val="00705767"/>
    <w:rsid w:val="0070629B"/>
    <w:rsid w:val="00706606"/>
    <w:rsid w:val="00706C0B"/>
    <w:rsid w:val="00706E98"/>
    <w:rsid w:val="0071091F"/>
    <w:rsid w:val="00711C5F"/>
    <w:rsid w:val="00712844"/>
    <w:rsid w:val="00713050"/>
    <w:rsid w:val="00714068"/>
    <w:rsid w:val="00721A49"/>
    <w:rsid w:val="007225C5"/>
    <w:rsid w:val="00722718"/>
    <w:rsid w:val="0072420E"/>
    <w:rsid w:val="00724EC1"/>
    <w:rsid w:val="00725FFB"/>
    <w:rsid w:val="00727DA2"/>
    <w:rsid w:val="00730A9B"/>
    <w:rsid w:val="007342AA"/>
    <w:rsid w:val="00734BD9"/>
    <w:rsid w:val="00734FE0"/>
    <w:rsid w:val="00736D5C"/>
    <w:rsid w:val="007378B2"/>
    <w:rsid w:val="00741451"/>
    <w:rsid w:val="00741681"/>
    <w:rsid w:val="00743A43"/>
    <w:rsid w:val="00744384"/>
    <w:rsid w:val="00744F1C"/>
    <w:rsid w:val="00745408"/>
    <w:rsid w:val="00746BA0"/>
    <w:rsid w:val="00746E18"/>
    <w:rsid w:val="007513DD"/>
    <w:rsid w:val="00752DA2"/>
    <w:rsid w:val="00754EDE"/>
    <w:rsid w:val="00756AF2"/>
    <w:rsid w:val="00756E4D"/>
    <w:rsid w:val="00756FF1"/>
    <w:rsid w:val="00757A9D"/>
    <w:rsid w:val="00760E21"/>
    <w:rsid w:val="007621CB"/>
    <w:rsid w:val="007631CB"/>
    <w:rsid w:val="00767F3D"/>
    <w:rsid w:val="007701D0"/>
    <w:rsid w:val="0077184D"/>
    <w:rsid w:val="0077245D"/>
    <w:rsid w:val="00772C0F"/>
    <w:rsid w:val="00773155"/>
    <w:rsid w:val="0077433C"/>
    <w:rsid w:val="00775C38"/>
    <w:rsid w:val="00781625"/>
    <w:rsid w:val="00781E6F"/>
    <w:rsid w:val="00783867"/>
    <w:rsid w:val="00786C05"/>
    <w:rsid w:val="00786E5F"/>
    <w:rsid w:val="00787614"/>
    <w:rsid w:val="00787B27"/>
    <w:rsid w:val="0079131C"/>
    <w:rsid w:val="00795257"/>
    <w:rsid w:val="00795A07"/>
    <w:rsid w:val="0079664C"/>
    <w:rsid w:val="007971D1"/>
    <w:rsid w:val="00797644"/>
    <w:rsid w:val="00797BD7"/>
    <w:rsid w:val="007A06F5"/>
    <w:rsid w:val="007A0D6C"/>
    <w:rsid w:val="007A0E88"/>
    <w:rsid w:val="007A2A26"/>
    <w:rsid w:val="007A3E5C"/>
    <w:rsid w:val="007A52C2"/>
    <w:rsid w:val="007B7016"/>
    <w:rsid w:val="007C22D4"/>
    <w:rsid w:val="007C404E"/>
    <w:rsid w:val="007C4A61"/>
    <w:rsid w:val="007C4B37"/>
    <w:rsid w:val="007C4FE4"/>
    <w:rsid w:val="007C5A69"/>
    <w:rsid w:val="007C647B"/>
    <w:rsid w:val="007C6F0F"/>
    <w:rsid w:val="007D1748"/>
    <w:rsid w:val="007D3297"/>
    <w:rsid w:val="007D3A67"/>
    <w:rsid w:val="007D47AF"/>
    <w:rsid w:val="007D6065"/>
    <w:rsid w:val="007D680E"/>
    <w:rsid w:val="007D7710"/>
    <w:rsid w:val="007E0A77"/>
    <w:rsid w:val="007E15C4"/>
    <w:rsid w:val="007E15E7"/>
    <w:rsid w:val="007E188E"/>
    <w:rsid w:val="007E30F6"/>
    <w:rsid w:val="007E4BAA"/>
    <w:rsid w:val="007E500B"/>
    <w:rsid w:val="007E743A"/>
    <w:rsid w:val="007E7D8C"/>
    <w:rsid w:val="007F231D"/>
    <w:rsid w:val="007F41D9"/>
    <w:rsid w:val="007F4910"/>
    <w:rsid w:val="007F5D87"/>
    <w:rsid w:val="007F6565"/>
    <w:rsid w:val="007F69CA"/>
    <w:rsid w:val="007F707E"/>
    <w:rsid w:val="0080056C"/>
    <w:rsid w:val="00801A07"/>
    <w:rsid w:val="00806DC5"/>
    <w:rsid w:val="00807A9E"/>
    <w:rsid w:val="00807AB9"/>
    <w:rsid w:val="00812F68"/>
    <w:rsid w:val="00814C02"/>
    <w:rsid w:val="0081502B"/>
    <w:rsid w:val="0081589A"/>
    <w:rsid w:val="0081620B"/>
    <w:rsid w:val="0081649B"/>
    <w:rsid w:val="00820CB4"/>
    <w:rsid w:val="00821E9D"/>
    <w:rsid w:val="0082309F"/>
    <w:rsid w:val="0082417B"/>
    <w:rsid w:val="008246F1"/>
    <w:rsid w:val="00825724"/>
    <w:rsid w:val="00825CD3"/>
    <w:rsid w:val="00826419"/>
    <w:rsid w:val="00831007"/>
    <w:rsid w:val="00831285"/>
    <w:rsid w:val="008325FF"/>
    <w:rsid w:val="00832D97"/>
    <w:rsid w:val="00833019"/>
    <w:rsid w:val="00833CE9"/>
    <w:rsid w:val="00835461"/>
    <w:rsid w:val="00836C64"/>
    <w:rsid w:val="008372DF"/>
    <w:rsid w:val="00840155"/>
    <w:rsid w:val="00841C4F"/>
    <w:rsid w:val="00842A15"/>
    <w:rsid w:val="00843B45"/>
    <w:rsid w:val="00843C0C"/>
    <w:rsid w:val="00850B16"/>
    <w:rsid w:val="00851AB6"/>
    <w:rsid w:val="00855A82"/>
    <w:rsid w:val="00855C74"/>
    <w:rsid w:val="00855E18"/>
    <w:rsid w:val="0085655B"/>
    <w:rsid w:val="00860399"/>
    <w:rsid w:val="0086171F"/>
    <w:rsid w:val="008621D0"/>
    <w:rsid w:val="008638F1"/>
    <w:rsid w:val="00863FBE"/>
    <w:rsid w:val="00864373"/>
    <w:rsid w:val="00864AD3"/>
    <w:rsid w:val="00864F66"/>
    <w:rsid w:val="00865F61"/>
    <w:rsid w:val="008663CB"/>
    <w:rsid w:val="00866C13"/>
    <w:rsid w:val="00871325"/>
    <w:rsid w:val="008723C1"/>
    <w:rsid w:val="008737AD"/>
    <w:rsid w:val="00874C34"/>
    <w:rsid w:val="0087505A"/>
    <w:rsid w:val="00875FDE"/>
    <w:rsid w:val="008801DD"/>
    <w:rsid w:val="00881285"/>
    <w:rsid w:val="00881BD9"/>
    <w:rsid w:val="00885CCD"/>
    <w:rsid w:val="00886C68"/>
    <w:rsid w:val="0089112A"/>
    <w:rsid w:val="00892360"/>
    <w:rsid w:val="0089763A"/>
    <w:rsid w:val="00897D09"/>
    <w:rsid w:val="008A0D4C"/>
    <w:rsid w:val="008A29E3"/>
    <w:rsid w:val="008A3BA7"/>
    <w:rsid w:val="008A636C"/>
    <w:rsid w:val="008A7C74"/>
    <w:rsid w:val="008B0E22"/>
    <w:rsid w:val="008B3016"/>
    <w:rsid w:val="008B47C8"/>
    <w:rsid w:val="008B5959"/>
    <w:rsid w:val="008B622C"/>
    <w:rsid w:val="008B70BD"/>
    <w:rsid w:val="008B7632"/>
    <w:rsid w:val="008B7EFD"/>
    <w:rsid w:val="008C0412"/>
    <w:rsid w:val="008C216F"/>
    <w:rsid w:val="008C2463"/>
    <w:rsid w:val="008C2851"/>
    <w:rsid w:val="008C33D6"/>
    <w:rsid w:val="008C47EF"/>
    <w:rsid w:val="008C67A1"/>
    <w:rsid w:val="008C6B17"/>
    <w:rsid w:val="008D18EA"/>
    <w:rsid w:val="008D23A9"/>
    <w:rsid w:val="008D666C"/>
    <w:rsid w:val="008D7E4B"/>
    <w:rsid w:val="008E0A08"/>
    <w:rsid w:val="008E2C07"/>
    <w:rsid w:val="008E3D33"/>
    <w:rsid w:val="008E62E0"/>
    <w:rsid w:val="008E7D90"/>
    <w:rsid w:val="008F0872"/>
    <w:rsid w:val="008F0BEC"/>
    <w:rsid w:val="008F1F1A"/>
    <w:rsid w:val="008F3685"/>
    <w:rsid w:val="00900015"/>
    <w:rsid w:val="00901D1E"/>
    <w:rsid w:val="00901E3D"/>
    <w:rsid w:val="00902518"/>
    <w:rsid w:val="0090267C"/>
    <w:rsid w:val="00902863"/>
    <w:rsid w:val="00902E5C"/>
    <w:rsid w:val="009036E8"/>
    <w:rsid w:val="00905CB0"/>
    <w:rsid w:val="00906528"/>
    <w:rsid w:val="00906815"/>
    <w:rsid w:val="00910016"/>
    <w:rsid w:val="00910652"/>
    <w:rsid w:val="00912015"/>
    <w:rsid w:val="00912723"/>
    <w:rsid w:val="009155E1"/>
    <w:rsid w:val="0091634F"/>
    <w:rsid w:val="0091714B"/>
    <w:rsid w:val="00917882"/>
    <w:rsid w:val="00917DEA"/>
    <w:rsid w:val="00920009"/>
    <w:rsid w:val="00921737"/>
    <w:rsid w:val="009233F3"/>
    <w:rsid w:val="00925B0B"/>
    <w:rsid w:val="00925CEA"/>
    <w:rsid w:val="009266FF"/>
    <w:rsid w:val="009278B1"/>
    <w:rsid w:val="009325E9"/>
    <w:rsid w:val="00932647"/>
    <w:rsid w:val="00933EA5"/>
    <w:rsid w:val="0093543D"/>
    <w:rsid w:val="00936D54"/>
    <w:rsid w:val="00940007"/>
    <w:rsid w:val="0094025A"/>
    <w:rsid w:val="00941C75"/>
    <w:rsid w:val="0094211D"/>
    <w:rsid w:val="00942B38"/>
    <w:rsid w:val="0094594C"/>
    <w:rsid w:val="0094614E"/>
    <w:rsid w:val="00952EFA"/>
    <w:rsid w:val="00953551"/>
    <w:rsid w:val="00953D4E"/>
    <w:rsid w:val="00956DC4"/>
    <w:rsid w:val="00962F71"/>
    <w:rsid w:val="00966844"/>
    <w:rsid w:val="00967C5A"/>
    <w:rsid w:val="00970FA2"/>
    <w:rsid w:val="009716B5"/>
    <w:rsid w:val="009719E3"/>
    <w:rsid w:val="00973F60"/>
    <w:rsid w:val="00974BC2"/>
    <w:rsid w:val="009751B8"/>
    <w:rsid w:val="009762E1"/>
    <w:rsid w:val="00977D14"/>
    <w:rsid w:val="00980A84"/>
    <w:rsid w:val="00980EEE"/>
    <w:rsid w:val="009826D1"/>
    <w:rsid w:val="00982946"/>
    <w:rsid w:val="00982BDA"/>
    <w:rsid w:val="00982C19"/>
    <w:rsid w:val="009834F1"/>
    <w:rsid w:val="009855BF"/>
    <w:rsid w:val="00986426"/>
    <w:rsid w:val="00986A83"/>
    <w:rsid w:val="00987816"/>
    <w:rsid w:val="00987BD2"/>
    <w:rsid w:val="009909A0"/>
    <w:rsid w:val="00992548"/>
    <w:rsid w:val="009941A1"/>
    <w:rsid w:val="00995538"/>
    <w:rsid w:val="00995656"/>
    <w:rsid w:val="00995721"/>
    <w:rsid w:val="00996E13"/>
    <w:rsid w:val="0099742B"/>
    <w:rsid w:val="009A182B"/>
    <w:rsid w:val="009A2FFB"/>
    <w:rsid w:val="009A3E44"/>
    <w:rsid w:val="009A4920"/>
    <w:rsid w:val="009A498D"/>
    <w:rsid w:val="009A4A3F"/>
    <w:rsid w:val="009A4A90"/>
    <w:rsid w:val="009B18E6"/>
    <w:rsid w:val="009B20DF"/>
    <w:rsid w:val="009B2D25"/>
    <w:rsid w:val="009B3504"/>
    <w:rsid w:val="009B4683"/>
    <w:rsid w:val="009B7C8A"/>
    <w:rsid w:val="009C1D68"/>
    <w:rsid w:val="009C346B"/>
    <w:rsid w:val="009D0F78"/>
    <w:rsid w:val="009D204F"/>
    <w:rsid w:val="009D208B"/>
    <w:rsid w:val="009D30A7"/>
    <w:rsid w:val="009D3604"/>
    <w:rsid w:val="009D3663"/>
    <w:rsid w:val="009D6667"/>
    <w:rsid w:val="009D7386"/>
    <w:rsid w:val="009D747A"/>
    <w:rsid w:val="009E25BC"/>
    <w:rsid w:val="009E39EC"/>
    <w:rsid w:val="009E3E0E"/>
    <w:rsid w:val="009E5DC4"/>
    <w:rsid w:val="009E64C6"/>
    <w:rsid w:val="009E71E7"/>
    <w:rsid w:val="009F0526"/>
    <w:rsid w:val="009F1140"/>
    <w:rsid w:val="009F48E6"/>
    <w:rsid w:val="009F4A45"/>
    <w:rsid w:val="009F6119"/>
    <w:rsid w:val="009F67F1"/>
    <w:rsid w:val="00A001F6"/>
    <w:rsid w:val="00A01DBE"/>
    <w:rsid w:val="00A02DDA"/>
    <w:rsid w:val="00A03562"/>
    <w:rsid w:val="00A05262"/>
    <w:rsid w:val="00A0599D"/>
    <w:rsid w:val="00A079DD"/>
    <w:rsid w:val="00A10422"/>
    <w:rsid w:val="00A10F46"/>
    <w:rsid w:val="00A114A9"/>
    <w:rsid w:val="00A11767"/>
    <w:rsid w:val="00A14307"/>
    <w:rsid w:val="00A145F6"/>
    <w:rsid w:val="00A15516"/>
    <w:rsid w:val="00A16273"/>
    <w:rsid w:val="00A16F96"/>
    <w:rsid w:val="00A17C6A"/>
    <w:rsid w:val="00A2048C"/>
    <w:rsid w:val="00A21FE3"/>
    <w:rsid w:val="00A2371D"/>
    <w:rsid w:val="00A24679"/>
    <w:rsid w:val="00A30359"/>
    <w:rsid w:val="00A30BDE"/>
    <w:rsid w:val="00A31DA2"/>
    <w:rsid w:val="00A3296B"/>
    <w:rsid w:val="00A33DC8"/>
    <w:rsid w:val="00A34150"/>
    <w:rsid w:val="00A3417F"/>
    <w:rsid w:val="00A34246"/>
    <w:rsid w:val="00A34F66"/>
    <w:rsid w:val="00A42787"/>
    <w:rsid w:val="00A43EEA"/>
    <w:rsid w:val="00A46B9C"/>
    <w:rsid w:val="00A508C4"/>
    <w:rsid w:val="00A53203"/>
    <w:rsid w:val="00A53AEE"/>
    <w:rsid w:val="00A53BE9"/>
    <w:rsid w:val="00A55D1A"/>
    <w:rsid w:val="00A60E69"/>
    <w:rsid w:val="00A62356"/>
    <w:rsid w:val="00A6329E"/>
    <w:rsid w:val="00A64734"/>
    <w:rsid w:val="00A655D7"/>
    <w:rsid w:val="00A6652B"/>
    <w:rsid w:val="00A667C2"/>
    <w:rsid w:val="00A66A21"/>
    <w:rsid w:val="00A67396"/>
    <w:rsid w:val="00A70581"/>
    <w:rsid w:val="00A70E87"/>
    <w:rsid w:val="00A727A1"/>
    <w:rsid w:val="00A7512E"/>
    <w:rsid w:val="00A754AA"/>
    <w:rsid w:val="00A757D3"/>
    <w:rsid w:val="00A76371"/>
    <w:rsid w:val="00A77F14"/>
    <w:rsid w:val="00A8350C"/>
    <w:rsid w:val="00A8359F"/>
    <w:rsid w:val="00A83D98"/>
    <w:rsid w:val="00A8610E"/>
    <w:rsid w:val="00A877C0"/>
    <w:rsid w:val="00A87889"/>
    <w:rsid w:val="00A87AD9"/>
    <w:rsid w:val="00A87AEF"/>
    <w:rsid w:val="00A91A9C"/>
    <w:rsid w:val="00A91EDA"/>
    <w:rsid w:val="00A94FD6"/>
    <w:rsid w:val="00A9579F"/>
    <w:rsid w:val="00A97925"/>
    <w:rsid w:val="00AA1080"/>
    <w:rsid w:val="00AA657C"/>
    <w:rsid w:val="00AB02C5"/>
    <w:rsid w:val="00AB0AC9"/>
    <w:rsid w:val="00AB25E8"/>
    <w:rsid w:val="00AB2FE9"/>
    <w:rsid w:val="00AB2FF8"/>
    <w:rsid w:val="00AB37FD"/>
    <w:rsid w:val="00AB4649"/>
    <w:rsid w:val="00AC1525"/>
    <w:rsid w:val="00AC1816"/>
    <w:rsid w:val="00AC3C47"/>
    <w:rsid w:val="00AC6586"/>
    <w:rsid w:val="00AD092D"/>
    <w:rsid w:val="00AD1140"/>
    <w:rsid w:val="00AD2665"/>
    <w:rsid w:val="00AD280E"/>
    <w:rsid w:val="00AD3272"/>
    <w:rsid w:val="00AD491E"/>
    <w:rsid w:val="00AD4AFF"/>
    <w:rsid w:val="00AE2EC0"/>
    <w:rsid w:val="00AE3C32"/>
    <w:rsid w:val="00AE4B47"/>
    <w:rsid w:val="00AE6F05"/>
    <w:rsid w:val="00AF05EB"/>
    <w:rsid w:val="00AF0708"/>
    <w:rsid w:val="00AF0DC9"/>
    <w:rsid w:val="00AF1687"/>
    <w:rsid w:val="00AF234F"/>
    <w:rsid w:val="00AF3FCD"/>
    <w:rsid w:val="00AF4201"/>
    <w:rsid w:val="00AF5BC7"/>
    <w:rsid w:val="00AF6518"/>
    <w:rsid w:val="00AF6DD3"/>
    <w:rsid w:val="00B00575"/>
    <w:rsid w:val="00B00C86"/>
    <w:rsid w:val="00B01AFF"/>
    <w:rsid w:val="00B05915"/>
    <w:rsid w:val="00B059A6"/>
    <w:rsid w:val="00B06C94"/>
    <w:rsid w:val="00B07D10"/>
    <w:rsid w:val="00B10509"/>
    <w:rsid w:val="00B12CC1"/>
    <w:rsid w:val="00B13FDC"/>
    <w:rsid w:val="00B16291"/>
    <w:rsid w:val="00B17C3C"/>
    <w:rsid w:val="00B17CDE"/>
    <w:rsid w:val="00B2000B"/>
    <w:rsid w:val="00B206F2"/>
    <w:rsid w:val="00B207F1"/>
    <w:rsid w:val="00B21F31"/>
    <w:rsid w:val="00B261D5"/>
    <w:rsid w:val="00B273E8"/>
    <w:rsid w:val="00B308B1"/>
    <w:rsid w:val="00B308E5"/>
    <w:rsid w:val="00B30DB8"/>
    <w:rsid w:val="00B3640F"/>
    <w:rsid w:val="00B373B2"/>
    <w:rsid w:val="00B37560"/>
    <w:rsid w:val="00B42154"/>
    <w:rsid w:val="00B4398E"/>
    <w:rsid w:val="00B44059"/>
    <w:rsid w:val="00B442E0"/>
    <w:rsid w:val="00B44B5C"/>
    <w:rsid w:val="00B469F6"/>
    <w:rsid w:val="00B53D51"/>
    <w:rsid w:val="00B55B37"/>
    <w:rsid w:val="00B561E6"/>
    <w:rsid w:val="00B56E6E"/>
    <w:rsid w:val="00B572C6"/>
    <w:rsid w:val="00B61227"/>
    <w:rsid w:val="00B61A56"/>
    <w:rsid w:val="00B63696"/>
    <w:rsid w:val="00B63810"/>
    <w:rsid w:val="00B667A0"/>
    <w:rsid w:val="00B67391"/>
    <w:rsid w:val="00B70672"/>
    <w:rsid w:val="00B71C3E"/>
    <w:rsid w:val="00B71DA6"/>
    <w:rsid w:val="00B72081"/>
    <w:rsid w:val="00B73065"/>
    <w:rsid w:val="00B73581"/>
    <w:rsid w:val="00B73718"/>
    <w:rsid w:val="00B7398E"/>
    <w:rsid w:val="00B747F2"/>
    <w:rsid w:val="00B76491"/>
    <w:rsid w:val="00B77735"/>
    <w:rsid w:val="00B81916"/>
    <w:rsid w:val="00B82330"/>
    <w:rsid w:val="00B82EDE"/>
    <w:rsid w:val="00B838F1"/>
    <w:rsid w:val="00B845E5"/>
    <w:rsid w:val="00B84AA7"/>
    <w:rsid w:val="00B859B7"/>
    <w:rsid w:val="00B9215A"/>
    <w:rsid w:val="00B94DCE"/>
    <w:rsid w:val="00B95761"/>
    <w:rsid w:val="00BA0241"/>
    <w:rsid w:val="00BA100B"/>
    <w:rsid w:val="00BA17D4"/>
    <w:rsid w:val="00BA4814"/>
    <w:rsid w:val="00BA6BD7"/>
    <w:rsid w:val="00BA7F0F"/>
    <w:rsid w:val="00BB0966"/>
    <w:rsid w:val="00BB1049"/>
    <w:rsid w:val="00BB308E"/>
    <w:rsid w:val="00BB3A08"/>
    <w:rsid w:val="00BB4A35"/>
    <w:rsid w:val="00BB4D5F"/>
    <w:rsid w:val="00BB5672"/>
    <w:rsid w:val="00BC110B"/>
    <w:rsid w:val="00BC1190"/>
    <w:rsid w:val="00BC3843"/>
    <w:rsid w:val="00BC3C2C"/>
    <w:rsid w:val="00BC488E"/>
    <w:rsid w:val="00BC559B"/>
    <w:rsid w:val="00BC5E22"/>
    <w:rsid w:val="00BC7D0B"/>
    <w:rsid w:val="00BD017F"/>
    <w:rsid w:val="00BD263E"/>
    <w:rsid w:val="00BD37C2"/>
    <w:rsid w:val="00BD432D"/>
    <w:rsid w:val="00BD655F"/>
    <w:rsid w:val="00BD6617"/>
    <w:rsid w:val="00BD696D"/>
    <w:rsid w:val="00BE15CA"/>
    <w:rsid w:val="00BE1CA6"/>
    <w:rsid w:val="00BE2D71"/>
    <w:rsid w:val="00BE465C"/>
    <w:rsid w:val="00BE4AC2"/>
    <w:rsid w:val="00BE5879"/>
    <w:rsid w:val="00BF00EC"/>
    <w:rsid w:val="00BF0D06"/>
    <w:rsid w:val="00BF2E44"/>
    <w:rsid w:val="00BF32A3"/>
    <w:rsid w:val="00BF3E43"/>
    <w:rsid w:val="00BF4B6A"/>
    <w:rsid w:val="00BF5A78"/>
    <w:rsid w:val="00BF6510"/>
    <w:rsid w:val="00BF7451"/>
    <w:rsid w:val="00BF7D1E"/>
    <w:rsid w:val="00C0026A"/>
    <w:rsid w:val="00C016EC"/>
    <w:rsid w:val="00C02830"/>
    <w:rsid w:val="00C02EA4"/>
    <w:rsid w:val="00C06E37"/>
    <w:rsid w:val="00C10EE6"/>
    <w:rsid w:val="00C136C8"/>
    <w:rsid w:val="00C1653A"/>
    <w:rsid w:val="00C16967"/>
    <w:rsid w:val="00C17B27"/>
    <w:rsid w:val="00C17FF9"/>
    <w:rsid w:val="00C21A13"/>
    <w:rsid w:val="00C21D89"/>
    <w:rsid w:val="00C24202"/>
    <w:rsid w:val="00C244EB"/>
    <w:rsid w:val="00C245A1"/>
    <w:rsid w:val="00C25523"/>
    <w:rsid w:val="00C26BD2"/>
    <w:rsid w:val="00C32968"/>
    <w:rsid w:val="00C32E0D"/>
    <w:rsid w:val="00C34C07"/>
    <w:rsid w:val="00C35DD5"/>
    <w:rsid w:val="00C36ABC"/>
    <w:rsid w:val="00C37A32"/>
    <w:rsid w:val="00C411DC"/>
    <w:rsid w:val="00C41CC8"/>
    <w:rsid w:val="00C4494B"/>
    <w:rsid w:val="00C47F1D"/>
    <w:rsid w:val="00C50099"/>
    <w:rsid w:val="00C51639"/>
    <w:rsid w:val="00C51D27"/>
    <w:rsid w:val="00C51FD0"/>
    <w:rsid w:val="00C53B59"/>
    <w:rsid w:val="00C53FB6"/>
    <w:rsid w:val="00C54450"/>
    <w:rsid w:val="00C54D20"/>
    <w:rsid w:val="00C61BB7"/>
    <w:rsid w:val="00C6215F"/>
    <w:rsid w:val="00C6414A"/>
    <w:rsid w:val="00C64B1B"/>
    <w:rsid w:val="00C66252"/>
    <w:rsid w:val="00C675D4"/>
    <w:rsid w:val="00C70DAA"/>
    <w:rsid w:val="00C70F64"/>
    <w:rsid w:val="00C7271D"/>
    <w:rsid w:val="00C73181"/>
    <w:rsid w:val="00C73492"/>
    <w:rsid w:val="00C73D2D"/>
    <w:rsid w:val="00C73FF9"/>
    <w:rsid w:val="00C749E0"/>
    <w:rsid w:val="00C76BA6"/>
    <w:rsid w:val="00C76EE3"/>
    <w:rsid w:val="00C76F6B"/>
    <w:rsid w:val="00C7762D"/>
    <w:rsid w:val="00C803A7"/>
    <w:rsid w:val="00C81872"/>
    <w:rsid w:val="00C831D6"/>
    <w:rsid w:val="00C8476B"/>
    <w:rsid w:val="00C84999"/>
    <w:rsid w:val="00C87293"/>
    <w:rsid w:val="00C87FCD"/>
    <w:rsid w:val="00C93E9A"/>
    <w:rsid w:val="00C953AC"/>
    <w:rsid w:val="00C95C3C"/>
    <w:rsid w:val="00C9731E"/>
    <w:rsid w:val="00C97A44"/>
    <w:rsid w:val="00CA2931"/>
    <w:rsid w:val="00CA3962"/>
    <w:rsid w:val="00CA49A0"/>
    <w:rsid w:val="00CA4F67"/>
    <w:rsid w:val="00CB07EF"/>
    <w:rsid w:val="00CB0F3F"/>
    <w:rsid w:val="00CB1DA5"/>
    <w:rsid w:val="00CB2A34"/>
    <w:rsid w:val="00CB586B"/>
    <w:rsid w:val="00CB6D5A"/>
    <w:rsid w:val="00CC046E"/>
    <w:rsid w:val="00CC0EC2"/>
    <w:rsid w:val="00CC19BE"/>
    <w:rsid w:val="00CC1FB6"/>
    <w:rsid w:val="00CC2262"/>
    <w:rsid w:val="00CC2D23"/>
    <w:rsid w:val="00CC3786"/>
    <w:rsid w:val="00CC4BD3"/>
    <w:rsid w:val="00CD28B7"/>
    <w:rsid w:val="00CD3673"/>
    <w:rsid w:val="00CD6842"/>
    <w:rsid w:val="00CD6D45"/>
    <w:rsid w:val="00CD7B3C"/>
    <w:rsid w:val="00CD7B92"/>
    <w:rsid w:val="00CD7C1F"/>
    <w:rsid w:val="00CD7E16"/>
    <w:rsid w:val="00CE0594"/>
    <w:rsid w:val="00CE1675"/>
    <w:rsid w:val="00CE1F7E"/>
    <w:rsid w:val="00CE3937"/>
    <w:rsid w:val="00CE4596"/>
    <w:rsid w:val="00CE61BB"/>
    <w:rsid w:val="00CE678B"/>
    <w:rsid w:val="00CE7008"/>
    <w:rsid w:val="00CF00B7"/>
    <w:rsid w:val="00CF0119"/>
    <w:rsid w:val="00CF02FA"/>
    <w:rsid w:val="00CF13C9"/>
    <w:rsid w:val="00CF1877"/>
    <w:rsid w:val="00CF1953"/>
    <w:rsid w:val="00CF2520"/>
    <w:rsid w:val="00CF28F0"/>
    <w:rsid w:val="00CF3B98"/>
    <w:rsid w:val="00CF414F"/>
    <w:rsid w:val="00CF4EC7"/>
    <w:rsid w:val="00CF4ED8"/>
    <w:rsid w:val="00CF742D"/>
    <w:rsid w:val="00CF7C5F"/>
    <w:rsid w:val="00D00F5E"/>
    <w:rsid w:val="00D035C1"/>
    <w:rsid w:val="00D038E4"/>
    <w:rsid w:val="00D042B1"/>
    <w:rsid w:val="00D05859"/>
    <w:rsid w:val="00D066DA"/>
    <w:rsid w:val="00D0677B"/>
    <w:rsid w:val="00D10124"/>
    <w:rsid w:val="00D12A51"/>
    <w:rsid w:val="00D1314A"/>
    <w:rsid w:val="00D134F9"/>
    <w:rsid w:val="00D13BDA"/>
    <w:rsid w:val="00D14018"/>
    <w:rsid w:val="00D1450C"/>
    <w:rsid w:val="00D147F4"/>
    <w:rsid w:val="00D155B4"/>
    <w:rsid w:val="00D20498"/>
    <w:rsid w:val="00D222FC"/>
    <w:rsid w:val="00D2686A"/>
    <w:rsid w:val="00D26F12"/>
    <w:rsid w:val="00D30164"/>
    <w:rsid w:val="00D305D4"/>
    <w:rsid w:val="00D3245D"/>
    <w:rsid w:val="00D33218"/>
    <w:rsid w:val="00D37464"/>
    <w:rsid w:val="00D37DCB"/>
    <w:rsid w:val="00D40A74"/>
    <w:rsid w:val="00D42711"/>
    <w:rsid w:val="00D474FF"/>
    <w:rsid w:val="00D47B47"/>
    <w:rsid w:val="00D52F3E"/>
    <w:rsid w:val="00D52FD8"/>
    <w:rsid w:val="00D5391C"/>
    <w:rsid w:val="00D53CF7"/>
    <w:rsid w:val="00D552B1"/>
    <w:rsid w:val="00D55697"/>
    <w:rsid w:val="00D568B6"/>
    <w:rsid w:val="00D56EE2"/>
    <w:rsid w:val="00D607A6"/>
    <w:rsid w:val="00D6129C"/>
    <w:rsid w:val="00D628E3"/>
    <w:rsid w:val="00D62ADD"/>
    <w:rsid w:val="00D63B5A"/>
    <w:rsid w:val="00D663B6"/>
    <w:rsid w:val="00D710FD"/>
    <w:rsid w:val="00D73AFB"/>
    <w:rsid w:val="00D749A0"/>
    <w:rsid w:val="00D74F88"/>
    <w:rsid w:val="00D75C13"/>
    <w:rsid w:val="00D76734"/>
    <w:rsid w:val="00D76F89"/>
    <w:rsid w:val="00D8040D"/>
    <w:rsid w:val="00D807E6"/>
    <w:rsid w:val="00D82F15"/>
    <w:rsid w:val="00D86B63"/>
    <w:rsid w:val="00D86EF6"/>
    <w:rsid w:val="00D919BF"/>
    <w:rsid w:val="00D91B1F"/>
    <w:rsid w:val="00D91CEE"/>
    <w:rsid w:val="00D9209A"/>
    <w:rsid w:val="00D93750"/>
    <w:rsid w:val="00D95E4D"/>
    <w:rsid w:val="00D9738E"/>
    <w:rsid w:val="00DA354D"/>
    <w:rsid w:val="00DA37F5"/>
    <w:rsid w:val="00DA52F4"/>
    <w:rsid w:val="00DA70C6"/>
    <w:rsid w:val="00DB25D8"/>
    <w:rsid w:val="00DB291C"/>
    <w:rsid w:val="00DB33EE"/>
    <w:rsid w:val="00DB3C73"/>
    <w:rsid w:val="00DB4737"/>
    <w:rsid w:val="00DB5AB7"/>
    <w:rsid w:val="00DB7D5C"/>
    <w:rsid w:val="00DC0161"/>
    <w:rsid w:val="00DC1DD7"/>
    <w:rsid w:val="00DC4C72"/>
    <w:rsid w:val="00DC6BFE"/>
    <w:rsid w:val="00DD0795"/>
    <w:rsid w:val="00DD0FCD"/>
    <w:rsid w:val="00DD1861"/>
    <w:rsid w:val="00DD25E7"/>
    <w:rsid w:val="00DD40A9"/>
    <w:rsid w:val="00DD40BF"/>
    <w:rsid w:val="00DD4644"/>
    <w:rsid w:val="00DD62FF"/>
    <w:rsid w:val="00DD6705"/>
    <w:rsid w:val="00DD7861"/>
    <w:rsid w:val="00DE154D"/>
    <w:rsid w:val="00DE23B4"/>
    <w:rsid w:val="00DE24F9"/>
    <w:rsid w:val="00DE2A87"/>
    <w:rsid w:val="00DE38C2"/>
    <w:rsid w:val="00DE3F84"/>
    <w:rsid w:val="00DE4E76"/>
    <w:rsid w:val="00DE530C"/>
    <w:rsid w:val="00DE5887"/>
    <w:rsid w:val="00DE6644"/>
    <w:rsid w:val="00DF059E"/>
    <w:rsid w:val="00DF1A03"/>
    <w:rsid w:val="00DF1B5A"/>
    <w:rsid w:val="00DF28F6"/>
    <w:rsid w:val="00DF488D"/>
    <w:rsid w:val="00DF5BD9"/>
    <w:rsid w:val="00DF76E9"/>
    <w:rsid w:val="00DF7D8B"/>
    <w:rsid w:val="00E0038C"/>
    <w:rsid w:val="00E023EF"/>
    <w:rsid w:val="00E04273"/>
    <w:rsid w:val="00E04C11"/>
    <w:rsid w:val="00E05E07"/>
    <w:rsid w:val="00E066F7"/>
    <w:rsid w:val="00E1210E"/>
    <w:rsid w:val="00E12BE9"/>
    <w:rsid w:val="00E134CB"/>
    <w:rsid w:val="00E1354A"/>
    <w:rsid w:val="00E16C30"/>
    <w:rsid w:val="00E17ED2"/>
    <w:rsid w:val="00E22A06"/>
    <w:rsid w:val="00E22A3F"/>
    <w:rsid w:val="00E259F6"/>
    <w:rsid w:val="00E27BE2"/>
    <w:rsid w:val="00E300B6"/>
    <w:rsid w:val="00E30483"/>
    <w:rsid w:val="00E31EEE"/>
    <w:rsid w:val="00E31F04"/>
    <w:rsid w:val="00E33298"/>
    <w:rsid w:val="00E3361A"/>
    <w:rsid w:val="00E339B8"/>
    <w:rsid w:val="00E33C80"/>
    <w:rsid w:val="00E34125"/>
    <w:rsid w:val="00E377BA"/>
    <w:rsid w:val="00E409E5"/>
    <w:rsid w:val="00E410A0"/>
    <w:rsid w:val="00E4298E"/>
    <w:rsid w:val="00E4637B"/>
    <w:rsid w:val="00E46643"/>
    <w:rsid w:val="00E50E3E"/>
    <w:rsid w:val="00E513F4"/>
    <w:rsid w:val="00E527DC"/>
    <w:rsid w:val="00E528B3"/>
    <w:rsid w:val="00E52ADA"/>
    <w:rsid w:val="00E53065"/>
    <w:rsid w:val="00E54813"/>
    <w:rsid w:val="00E551A3"/>
    <w:rsid w:val="00E56A86"/>
    <w:rsid w:val="00E572D8"/>
    <w:rsid w:val="00E60268"/>
    <w:rsid w:val="00E60514"/>
    <w:rsid w:val="00E618D1"/>
    <w:rsid w:val="00E61D9E"/>
    <w:rsid w:val="00E6272B"/>
    <w:rsid w:val="00E63D21"/>
    <w:rsid w:val="00E64839"/>
    <w:rsid w:val="00E66875"/>
    <w:rsid w:val="00E6692A"/>
    <w:rsid w:val="00E67146"/>
    <w:rsid w:val="00E67820"/>
    <w:rsid w:val="00E67B00"/>
    <w:rsid w:val="00E67FF3"/>
    <w:rsid w:val="00E710A4"/>
    <w:rsid w:val="00E7149E"/>
    <w:rsid w:val="00E71F47"/>
    <w:rsid w:val="00E745DC"/>
    <w:rsid w:val="00E754F2"/>
    <w:rsid w:val="00E755D1"/>
    <w:rsid w:val="00E77E6B"/>
    <w:rsid w:val="00E810E9"/>
    <w:rsid w:val="00E81FED"/>
    <w:rsid w:val="00E82C2A"/>
    <w:rsid w:val="00E852BF"/>
    <w:rsid w:val="00E865D1"/>
    <w:rsid w:val="00E90767"/>
    <w:rsid w:val="00E938D1"/>
    <w:rsid w:val="00E93B37"/>
    <w:rsid w:val="00E93F20"/>
    <w:rsid w:val="00E9504D"/>
    <w:rsid w:val="00E95983"/>
    <w:rsid w:val="00E97099"/>
    <w:rsid w:val="00E9728F"/>
    <w:rsid w:val="00E979ED"/>
    <w:rsid w:val="00E97EAC"/>
    <w:rsid w:val="00EA003E"/>
    <w:rsid w:val="00EA0B10"/>
    <w:rsid w:val="00EA31B9"/>
    <w:rsid w:val="00EA5B94"/>
    <w:rsid w:val="00EA6395"/>
    <w:rsid w:val="00EA6894"/>
    <w:rsid w:val="00EA752C"/>
    <w:rsid w:val="00EA7C77"/>
    <w:rsid w:val="00EB050C"/>
    <w:rsid w:val="00EB1197"/>
    <w:rsid w:val="00EB369A"/>
    <w:rsid w:val="00EB3AC5"/>
    <w:rsid w:val="00EB3F10"/>
    <w:rsid w:val="00EC019C"/>
    <w:rsid w:val="00EC141A"/>
    <w:rsid w:val="00EC15C1"/>
    <w:rsid w:val="00EC1678"/>
    <w:rsid w:val="00EC34C3"/>
    <w:rsid w:val="00EC3A0F"/>
    <w:rsid w:val="00EC5028"/>
    <w:rsid w:val="00EC7455"/>
    <w:rsid w:val="00EC7984"/>
    <w:rsid w:val="00ED07B7"/>
    <w:rsid w:val="00ED703F"/>
    <w:rsid w:val="00ED7EBA"/>
    <w:rsid w:val="00EE0718"/>
    <w:rsid w:val="00EE0BA2"/>
    <w:rsid w:val="00EE0C33"/>
    <w:rsid w:val="00EE4623"/>
    <w:rsid w:val="00EE4ADF"/>
    <w:rsid w:val="00EE7E01"/>
    <w:rsid w:val="00EF31B2"/>
    <w:rsid w:val="00EF36F6"/>
    <w:rsid w:val="00EF4712"/>
    <w:rsid w:val="00EF4D4B"/>
    <w:rsid w:val="00EF4D8E"/>
    <w:rsid w:val="00EF5728"/>
    <w:rsid w:val="00EF59AE"/>
    <w:rsid w:val="00EF6432"/>
    <w:rsid w:val="00EF78A0"/>
    <w:rsid w:val="00F01C2D"/>
    <w:rsid w:val="00F02FC7"/>
    <w:rsid w:val="00F04D52"/>
    <w:rsid w:val="00F1011A"/>
    <w:rsid w:val="00F11026"/>
    <w:rsid w:val="00F111F3"/>
    <w:rsid w:val="00F136CA"/>
    <w:rsid w:val="00F13F0C"/>
    <w:rsid w:val="00F14139"/>
    <w:rsid w:val="00F14531"/>
    <w:rsid w:val="00F145B1"/>
    <w:rsid w:val="00F15E0F"/>
    <w:rsid w:val="00F1777A"/>
    <w:rsid w:val="00F17E80"/>
    <w:rsid w:val="00F2079F"/>
    <w:rsid w:val="00F21E5F"/>
    <w:rsid w:val="00F23D39"/>
    <w:rsid w:val="00F24C0C"/>
    <w:rsid w:val="00F27DE6"/>
    <w:rsid w:val="00F324EC"/>
    <w:rsid w:val="00F34D7C"/>
    <w:rsid w:val="00F36EE2"/>
    <w:rsid w:val="00F404F8"/>
    <w:rsid w:val="00F4138A"/>
    <w:rsid w:val="00F42506"/>
    <w:rsid w:val="00F43916"/>
    <w:rsid w:val="00F44C1E"/>
    <w:rsid w:val="00F47675"/>
    <w:rsid w:val="00F47821"/>
    <w:rsid w:val="00F47DFA"/>
    <w:rsid w:val="00F50B53"/>
    <w:rsid w:val="00F50C85"/>
    <w:rsid w:val="00F5129A"/>
    <w:rsid w:val="00F5207F"/>
    <w:rsid w:val="00F521F8"/>
    <w:rsid w:val="00F52DEE"/>
    <w:rsid w:val="00F52FBB"/>
    <w:rsid w:val="00F55345"/>
    <w:rsid w:val="00F55638"/>
    <w:rsid w:val="00F5620B"/>
    <w:rsid w:val="00F57168"/>
    <w:rsid w:val="00F5723E"/>
    <w:rsid w:val="00F5782D"/>
    <w:rsid w:val="00F61A9B"/>
    <w:rsid w:val="00F62648"/>
    <w:rsid w:val="00F64415"/>
    <w:rsid w:val="00F64771"/>
    <w:rsid w:val="00F7186A"/>
    <w:rsid w:val="00F7290A"/>
    <w:rsid w:val="00F72C91"/>
    <w:rsid w:val="00F74C81"/>
    <w:rsid w:val="00F7505B"/>
    <w:rsid w:val="00F75524"/>
    <w:rsid w:val="00F76BBB"/>
    <w:rsid w:val="00F77526"/>
    <w:rsid w:val="00F77543"/>
    <w:rsid w:val="00F811BD"/>
    <w:rsid w:val="00F83A66"/>
    <w:rsid w:val="00F84209"/>
    <w:rsid w:val="00F86D2A"/>
    <w:rsid w:val="00F87246"/>
    <w:rsid w:val="00F9060B"/>
    <w:rsid w:val="00F90E44"/>
    <w:rsid w:val="00F977C1"/>
    <w:rsid w:val="00F9793A"/>
    <w:rsid w:val="00FA11AB"/>
    <w:rsid w:val="00FA168B"/>
    <w:rsid w:val="00FA3155"/>
    <w:rsid w:val="00FA31B2"/>
    <w:rsid w:val="00FA37F4"/>
    <w:rsid w:val="00FA4B20"/>
    <w:rsid w:val="00FA4BB3"/>
    <w:rsid w:val="00FA58CC"/>
    <w:rsid w:val="00FA5939"/>
    <w:rsid w:val="00FA5F7E"/>
    <w:rsid w:val="00FA6CBD"/>
    <w:rsid w:val="00FB131B"/>
    <w:rsid w:val="00FB1320"/>
    <w:rsid w:val="00FB13E8"/>
    <w:rsid w:val="00FB28BB"/>
    <w:rsid w:val="00FB5193"/>
    <w:rsid w:val="00FB6054"/>
    <w:rsid w:val="00FB63C4"/>
    <w:rsid w:val="00FC0828"/>
    <w:rsid w:val="00FC12B4"/>
    <w:rsid w:val="00FC2036"/>
    <w:rsid w:val="00FC2C8B"/>
    <w:rsid w:val="00FC3D82"/>
    <w:rsid w:val="00FC47E5"/>
    <w:rsid w:val="00FD1954"/>
    <w:rsid w:val="00FD37AD"/>
    <w:rsid w:val="00FD513C"/>
    <w:rsid w:val="00FD6268"/>
    <w:rsid w:val="00FD64F4"/>
    <w:rsid w:val="00FD672E"/>
    <w:rsid w:val="00FE05E9"/>
    <w:rsid w:val="00FE122B"/>
    <w:rsid w:val="00FE32C6"/>
    <w:rsid w:val="00FE4DA0"/>
    <w:rsid w:val="00FE79AD"/>
    <w:rsid w:val="00FF0B20"/>
    <w:rsid w:val="00FF0DD1"/>
    <w:rsid w:val="00FF2543"/>
    <w:rsid w:val="00FF33CA"/>
    <w:rsid w:val="00FF3DE9"/>
    <w:rsid w:val="00FF437D"/>
    <w:rsid w:val="00FF4EF4"/>
    <w:rsid w:val="00FF5C9A"/>
    <w:rsid w:val="00FF5CDD"/>
    <w:rsid w:val="00FF7100"/>
    <w:rsid w:val="00FF782E"/>
    <w:rsid w:val="00FF795E"/>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30105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uiPriority="22"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link w:val="Naslov1Char"/>
    <w:qFormat/>
    <w:pPr>
      <w:keepNext/>
      <w:jc w:val="center"/>
      <w:outlineLvl w:val="0"/>
    </w:pPr>
    <w:rPr>
      <w:b/>
      <w:bCs/>
    </w:rPr>
  </w:style>
  <w:style w:styleId="Naslov2" w:type="paragraph">
    <w:name w:val="heading 2"/>
    <w:basedOn w:val="Normal"/>
    <w:next w:val="Normal"/>
    <w:qFormat/>
    <w:pPr>
      <w:keepNext/>
      <w:jc w:val="right"/>
      <w:outlineLvl w:val="1"/>
    </w:pPr>
    <w:rPr>
      <w:b/>
      <w:bCs/>
      <w:sz w:val="20"/>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pPr>
      <w:jc w:val="both"/>
    </w:pPr>
  </w:style>
  <w:style w:styleId="Uvuenotijeloteksta" w:type="paragraph">
    <w:name w:val="Body Text Indent"/>
    <w:basedOn w:val="Normal"/>
    <w:link w:val="UvuenotijelotekstaChar"/>
    <w:pPr>
      <w:ind w:left="540"/>
      <w:jc w:val="both"/>
    </w:pPr>
    <w:rPr>
      <w:lang w:eastAsia="x-none" w:val="x-none"/>
    </w:rPr>
  </w:style>
  <w:style w:styleId="Zaglavlje" w:type="paragraph">
    <w:name w:val="header"/>
    <w:basedOn w:val="Normal"/>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ijeloteksta-uvlaka2" w:type="paragraph">
    <w:name w:val="Body Text Indent 2"/>
    <w:aliases w:val="  uvlaka 2"/>
    <w:basedOn w:val="Normal"/>
    <w:pPr>
      <w:ind w:firstLine="708"/>
      <w:jc w:val="both"/>
    </w:pPr>
  </w:style>
  <w:style w:styleId="Tijeloteksta2" w:type="paragraph">
    <w:name w:val="Body Text 2"/>
    <w:basedOn w:val="Normal"/>
    <w:pPr>
      <w:tabs>
        <w:tab w:pos="9072" w:val="right"/>
      </w:tabs>
    </w:pPr>
    <w:rPr>
      <w:rFonts w:cs="Tahoma" w:hAnsi="Tahoma" w:ascii="Tahoma"/>
      <w:color w:val="993300"/>
      <w:sz w:val="20"/>
    </w:rPr>
  </w:style>
  <w:style w:styleId="Tijeloteksta-uvlaka3" w:type="paragraph">
    <w:name w:val="Body Text Indent 3"/>
    <w:aliases w:val=" uvlaka 3"/>
    <w:basedOn w:val="Normal"/>
    <w:pPr>
      <w:ind w:firstLine="540" w:left="-540"/>
      <w:jc w:val="both"/>
    </w:pPr>
  </w:style>
  <w:style w:customStyle="true" w:styleId="xl24" w:type="paragraph">
    <w:name w:val="xl24"/>
    <w:basedOn w:val="Normal"/>
    <w:pPr>
      <w:pBdr>
        <w:top w:space="0" w:sz="8" w:color="auto" w:val="single"/>
        <w:left w:space="0" w:sz="8" w:color="auto" w:val="single"/>
        <w:right w:space="0" w:sz="8" w:color="auto" w:val="single"/>
      </w:pBdr>
      <w:spacing w:afterAutospacing="true" w:after="100" w:beforeAutospacing="true" w:before="100"/>
    </w:pPr>
    <w:rPr>
      <w:rFonts w:eastAsia="Arial Unicode MS"/>
      <w:b/>
      <w:bCs/>
    </w:rPr>
  </w:style>
  <w:style w:customStyle="true" w:styleId="xl25" w:type="paragraph">
    <w:name w:val="xl25"/>
    <w:basedOn w:val="Normal"/>
    <w:pPr>
      <w:pBdr>
        <w:left w:space="0" w:sz="8" w:color="auto" w:val="single"/>
        <w:right w:space="0" w:sz="8" w:color="auto" w:val="single"/>
      </w:pBdr>
      <w:spacing w:afterAutospacing="true" w:after="100" w:beforeAutospacing="true" w:before="100"/>
      <w:jc w:val="center"/>
    </w:pPr>
    <w:rPr>
      <w:rFonts w:eastAsia="Arial Unicode MS"/>
      <w:b/>
      <w:bCs/>
    </w:rPr>
  </w:style>
  <w:style w:customStyle="true" w:styleId="xl26" w:type="paragraph">
    <w:name w:val="xl26"/>
    <w:basedOn w:val="Normal"/>
    <w:pPr>
      <w:pBdr>
        <w:left w:space="0" w:sz="8" w:color="auto" w:val="single"/>
        <w:right w:space="0" w:sz="8" w:color="auto" w:val="single"/>
      </w:pBdr>
      <w:spacing w:afterAutospacing="true" w:after="100" w:beforeAutospacing="true" w:before="100"/>
      <w:jc w:val="center"/>
    </w:pPr>
    <w:rPr>
      <w:rFonts w:eastAsia="Arial Unicode MS"/>
      <w:b/>
      <w:bCs/>
      <w:sz w:val="22"/>
      <w:szCs w:val="22"/>
    </w:rPr>
  </w:style>
  <w:style w:customStyle="true" w:styleId="xl27" w:type="paragraph">
    <w:name w:val="xl27"/>
    <w:basedOn w:val="Normal"/>
    <w:pPr>
      <w:pBdr>
        <w:left w:space="0" w:sz="8" w:color="auto" w:val="single"/>
        <w:bottom w:space="0" w:sz="8" w:color="auto" w:val="single"/>
        <w:right w:space="0" w:sz="8" w:color="auto" w:val="single"/>
      </w:pBdr>
      <w:spacing w:afterAutospacing="true" w:after="100" w:beforeAutospacing="true" w:before="100"/>
      <w:jc w:val="center"/>
    </w:pPr>
    <w:rPr>
      <w:rFonts w:eastAsia="Arial Unicode MS"/>
      <w:b/>
      <w:bCs/>
      <w:sz w:val="22"/>
      <w:szCs w:val="22"/>
    </w:rPr>
  </w:style>
  <w:style w:customStyle="true" w:styleId="xl28" w:type="paragraph">
    <w:name w:val="xl28"/>
    <w:basedOn w:val="Normal"/>
    <w:pPr>
      <w:pBdr>
        <w:left w:space="0" w:sz="8" w:color="auto" w:val="single"/>
        <w:bottom w:space="0" w:sz="8" w:color="auto" w:val="single"/>
        <w:right w:space="0" w:sz="8" w:color="auto" w:val="single"/>
      </w:pBdr>
      <w:spacing w:afterAutospacing="true" w:after="100" w:beforeAutospacing="true" w:before="100"/>
      <w:jc w:val="center"/>
    </w:pPr>
    <w:rPr>
      <w:rFonts w:eastAsia="Arial Unicode MS"/>
      <w:b/>
      <w:bCs/>
    </w:rPr>
  </w:style>
  <w:style w:customStyle="true" w:styleId="xl29" w:type="paragraph">
    <w:name w:val="xl29"/>
    <w:basedOn w:val="Normal"/>
    <w:pPr>
      <w:pBdr>
        <w:left w:space="0" w:sz="4" w:color="auto" w:val="single"/>
        <w:bottom w:space="0" w:sz="4" w:color="auto" w:val="single"/>
        <w:right w:space="0" w:sz="4" w:color="auto" w:val="single"/>
      </w:pBdr>
      <w:spacing w:afterAutospacing="true" w:after="100" w:beforeAutospacing="true" w:before="100"/>
      <w:jc w:val="center"/>
      <w:textAlignment w:val="top"/>
    </w:pPr>
    <w:rPr>
      <w:rFonts w:eastAsia="Arial Unicode MS"/>
      <w:sz w:val="22"/>
      <w:szCs w:val="22"/>
    </w:rPr>
  </w:style>
  <w:style w:customStyle="true" w:styleId="xl30" w:type="paragraph">
    <w:name w:val="xl30"/>
    <w:basedOn w:val="Normal"/>
    <w:pPr>
      <w:pBdr>
        <w:left w:space="0" w:sz="4" w:color="auto" w:val="single"/>
        <w:bottom w:space="0" w:sz="4" w:color="auto" w:val="single"/>
        <w:right w:space="0" w:sz="4" w:color="auto" w:val="single"/>
      </w:pBdr>
      <w:spacing w:afterAutospacing="true" w:after="100" w:beforeAutospacing="true" w:before="100"/>
      <w:textAlignment w:val="top"/>
    </w:pPr>
    <w:rPr>
      <w:rFonts w:eastAsia="Arial Unicode MS"/>
      <w:sz w:val="22"/>
      <w:szCs w:val="22"/>
    </w:rPr>
  </w:style>
  <w:style w:customStyle="true" w:styleId="xl31" w:type="paragraph">
    <w:name w:val="xl31"/>
    <w:basedOn w:val="Normal"/>
    <w:pPr>
      <w:pBdr>
        <w:left w:space="0" w:sz="4" w:color="auto" w:val="single"/>
        <w:bottom w:space="0" w:sz="4" w:color="auto" w:val="single"/>
      </w:pBdr>
      <w:spacing w:afterAutospacing="true" w:after="100" w:beforeAutospacing="true" w:before="100"/>
      <w:jc w:val="right"/>
      <w:textAlignment w:val="top"/>
    </w:pPr>
    <w:rPr>
      <w:rFonts w:eastAsia="Arial Unicode MS"/>
      <w:sz w:val="22"/>
      <w:szCs w:val="22"/>
    </w:rPr>
  </w:style>
  <w:style w:customStyle="true" w:styleId="xl32" w:type="paragraph">
    <w:name w:val="xl32"/>
    <w:basedOn w:val="Normal"/>
    <w:pPr>
      <w:pBdr>
        <w:left w:space="0" w:sz="4" w:color="auto" w:val="single"/>
        <w:bottom w:space="0" w:sz="4" w:color="auto" w:val="single"/>
        <w:right w:space="0" w:sz="4" w:color="auto" w:val="single"/>
      </w:pBdr>
      <w:spacing w:afterAutospacing="true" w:after="100" w:beforeAutospacing="true" w:before="100"/>
    </w:pPr>
    <w:rPr>
      <w:rFonts w:eastAsia="Arial Unicode MS"/>
      <w:sz w:val="22"/>
      <w:szCs w:val="22"/>
    </w:rPr>
  </w:style>
  <w:style w:customStyle="true" w:styleId="xl33" w:type="paragraph">
    <w:name w:val="xl33"/>
    <w:basedOn w:val="Normal"/>
    <w:pPr>
      <w:spacing w:afterAutospacing="true" w:after="100" w:beforeAutospacing="true" w:before="100"/>
    </w:pPr>
    <w:rPr>
      <w:rFonts w:eastAsia="Arial Unicode MS"/>
      <w:sz w:val="22"/>
      <w:szCs w:val="22"/>
    </w:rPr>
  </w:style>
  <w:style w:customStyle="true" w:styleId="xl34" w:type="paragraph">
    <w:name w:val="xl34"/>
    <w:basedOn w:val="Normal"/>
    <w:pPr>
      <w:pBdr>
        <w:top w:space="0" w:sz="4" w:color="auto" w:val="single"/>
        <w:left w:space="0" w:sz="4" w:color="auto" w:val="single"/>
        <w:bottom w:space="0" w:sz="4" w:color="auto" w:val="single"/>
        <w:right w:space="0" w:sz="4" w:color="auto" w:val="single"/>
      </w:pBdr>
      <w:spacing w:afterAutospacing="true" w:after="100" w:beforeAutospacing="true" w:before="100"/>
    </w:pPr>
    <w:rPr>
      <w:rFonts w:eastAsia="Arial Unicode MS"/>
      <w:sz w:val="22"/>
      <w:szCs w:val="22"/>
    </w:rPr>
  </w:style>
  <w:style w:customStyle="true" w:styleId="xl35" w:type="paragraph">
    <w:name w:val="xl35"/>
    <w:basedOn w:val="Normal"/>
    <w:pPr>
      <w:pBdr>
        <w:top w:space="0" w:sz="4" w:color="auto" w:val="single"/>
        <w:left w:space="0" w:sz="4" w:color="auto" w:val="single"/>
        <w:bottom w:space="0" w:sz="4" w:color="auto" w:val="single"/>
      </w:pBdr>
      <w:spacing w:afterAutospacing="true" w:after="100" w:beforeAutospacing="true" w:before="100"/>
    </w:pPr>
    <w:rPr>
      <w:rFonts w:eastAsia="Arial Unicode MS"/>
      <w:sz w:val="22"/>
      <w:szCs w:val="22"/>
    </w:rPr>
  </w:style>
  <w:style w:customStyle="true" w:styleId="xl36" w:type="paragraph">
    <w:name w:val="xl36"/>
    <w:basedOn w:val="Normal"/>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top"/>
    </w:pPr>
    <w:rPr>
      <w:rFonts w:eastAsia="Arial Unicode MS"/>
      <w:sz w:val="22"/>
      <w:szCs w:val="22"/>
    </w:rPr>
  </w:style>
  <w:style w:customStyle="true" w:styleId="xl37" w:type="paragraph">
    <w:name w:val="xl37"/>
    <w:basedOn w:val="Normal"/>
    <w:pPr>
      <w:pBdr>
        <w:top w:space="0" w:sz="4" w:color="auto" w:val="single"/>
        <w:left w:space="0" w:sz="4" w:color="auto" w:val="single"/>
        <w:bottom w:space="0" w:sz="4" w:color="auto" w:val="single"/>
        <w:right w:space="0" w:sz="4" w:color="auto" w:val="single"/>
      </w:pBdr>
      <w:spacing w:afterAutospacing="true" w:after="100" w:beforeAutospacing="true" w:before="100"/>
      <w:textAlignment w:val="top"/>
    </w:pPr>
    <w:rPr>
      <w:rFonts w:eastAsia="Arial Unicode MS"/>
      <w:sz w:val="22"/>
      <w:szCs w:val="22"/>
    </w:rPr>
  </w:style>
  <w:style w:customStyle="true" w:styleId="xl38" w:type="paragraph">
    <w:name w:val="xl38"/>
    <w:basedOn w:val="Normal"/>
    <w:pPr>
      <w:pBdr>
        <w:top w:space="0" w:sz="4" w:color="auto" w:val="single"/>
        <w:left w:space="0" w:sz="4" w:color="auto" w:val="single"/>
        <w:bottom w:space="0" w:sz="4" w:color="auto" w:val="single"/>
      </w:pBdr>
      <w:spacing w:afterAutospacing="true" w:after="100" w:beforeAutospacing="true" w:before="100"/>
      <w:jc w:val="right"/>
      <w:textAlignment w:val="top"/>
    </w:pPr>
    <w:rPr>
      <w:rFonts w:eastAsia="Arial Unicode MS"/>
      <w:sz w:val="22"/>
      <w:szCs w:val="22"/>
    </w:rPr>
  </w:style>
  <w:style w:customStyle="true" w:styleId="xl39" w:type="paragraph">
    <w:name w:val="xl39"/>
    <w:basedOn w:val="Normal"/>
    <w:pPr>
      <w:pBdr>
        <w:top w:space="0" w:sz="4" w:color="auto" w:val="single"/>
        <w:left w:space="0" w:sz="4" w:color="auto" w:val="single"/>
        <w:bottom w:space="0" w:sz="4" w:color="auto" w:val="single"/>
        <w:right w:space="0" w:sz="4" w:color="auto" w:val="single"/>
      </w:pBdr>
      <w:spacing w:afterAutospacing="true" w:after="100" w:beforeAutospacing="true" w:before="100"/>
    </w:pPr>
    <w:rPr>
      <w:rFonts w:eastAsia="Arial Unicode MS"/>
      <w:sz w:val="22"/>
      <w:szCs w:val="22"/>
    </w:rPr>
  </w:style>
  <w:style w:customStyle="true" w:styleId="xl40" w:type="paragraph">
    <w:name w:val="xl40"/>
    <w:basedOn w:val="Normal"/>
    <w:pPr>
      <w:pBdr>
        <w:top w:space="0" w:sz="4" w:color="auto" w:val="single"/>
        <w:left w:space="0" w:sz="4" w:color="auto" w:val="single"/>
        <w:bottom w:space="0" w:sz="4" w:color="auto" w:val="single"/>
      </w:pBdr>
      <w:spacing w:afterAutospacing="true" w:after="100" w:beforeAutospacing="true" w:before="100"/>
    </w:pPr>
    <w:rPr>
      <w:rFonts w:eastAsia="Arial Unicode MS"/>
      <w:sz w:val="22"/>
      <w:szCs w:val="22"/>
    </w:rPr>
  </w:style>
  <w:style w:customStyle="true" w:styleId="xl41" w:type="paragraph">
    <w:name w:val="xl41"/>
    <w:basedOn w:val="Normal"/>
    <w:pPr>
      <w:pBdr>
        <w:top w:space="0" w:sz="4" w:color="auto" w:val="single"/>
        <w:left w:space="0" w:sz="4" w:color="auto" w:val="single"/>
        <w:bottom w:space="0" w:sz="4" w:color="auto" w:val="single"/>
        <w:right w:space="0" w:sz="4" w:color="auto" w:val="single"/>
      </w:pBdr>
      <w:spacing w:afterAutospacing="true" w:after="100" w:beforeAutospacing="true" w:before="100"/>
      <w:jc w:val="right"/>
      <w:textAlignment w:val="top"/>
    </w:pPr>
    <w:rPr>
      <w:rFonts w:eastAsia="Arial Unicode MS"/>
      <w:sz w:val="22"/>
      <w:szCs w:val="22"/>
    </w:rPr>
  </w:style>
  <w:style w:customStyle="true" w:styleId="xl42" w:type="paragraph">
    <w:name w:val="xl42"/>
    <w:basedOn w:val="Normal"/>
    <w:pPr>
      <w:pBdr>
        <w:left w:space="0" w:sz="4" w:color="auto" w:val="single"/>
        <w:bottom w:space="0" w:sz="4" w:color="auto" w:val="single"/>
        <w:right w:space="0" w:sz="4" w:color="auto" w:val="single"/>
      </w:pBdr>
      <w:spacing w:afterAutospacing="true" w:after="100" w:beforeAutospacing="true" w:before="100"/>
      <w:textAlignment w:val="top"/>
    </w:pPr>
    <w:rPr>
      <w:rFonts w:eastAsia="Arial Unicode MS"/>
      <w:sz w:val="22"/>
      <w:szCs w:val="22"/>
    </w:rPr>
  </w:style>
  <w:style w:customStyle="true" w:styleId="xl43" w:type="paragraph">
    <w:name w:val="xl43"/>
    <w:basedOn w:val="Normal"/>
    <w:pPr>
      <w:pBdr>
        <w:left w:space="0" w:sz="4" w:color="auto" w:val="single"/>
        <w:bottom w:space="0" w:sz="4" w:color="auto" w:val="single"/>
      </w:pBdr>
      <w:spacing w:afterAutospacing="true" w:after="100" w:beforeAutospacing="true" w:before="100"/>
    </w:pPr>
    <w:rPr>
      <w:rFonts w:eastAsia="Arial Unicode MS"/>
      <w:sz w:val="22"/>
      <w:szCs w:val="22"/>
    </w:rPr>
  </w:style>
  <w:style w:customStyle="true" w:styleId="xl44" w:type="paragraph">
    <w:name w:val="xl44"/>
    <w:basedOn w:val="Normal"/>
    <w:pPr>
      <w:pBdr>
        <w:left w:space="0" w:sz="4" w:color="auto" w:val="single"/>
        <w:bottom w:space="0" w:sz="4" w:color="auto" w:val="single"/>
        <w:right w:space="0" w:sz="4" w:color="auto" w:val="single"/>
      </w:pBdr>
      <w:spacing w:afterAutospacing="true" w:after="100" w:beforeAutospacing="true" w:before="100"/>
      <w:jc w:val="right"/>
      <w:textAlignment w:val="top"/>
    </w:pPr>
    <w:rPr>
      <w:rFonts w:eastAsia="Arial Unicode MS"/>
      <w:sz w:val="22"/>
      <w:szCs w:val="22"/>
    </w:rPr>
  </w:style>
  <w:style w:customStyle="true" w:styleId="xl45" w:type="paragraph">
    <w:name w:val="xl45"/>
    <w:basedOn w:val="Normal"/>
    <w:pPr>
      <w:pBdr>
        <w:top w:space="0" w:sz="4" w:color="auto" w:val="single"/>
        <w:left w:space="0" w:sz="4" w:color="auto" w:val="single"/>
        <w:bottom w:space="0" w:sz="4" w:color="auto" w:val="single"/>
        <w:right w:space="0" w:sz="4" w:color="auto" w:val="single"/>
      </w:pBdr>
      <w:spacing w:afterAutospacing="true" w:after="100" w:beforeAutospacing="true" w:before="100"/>
      <w:textAlignment w:val="top"/>
    </w:pPr>
    <w:rPr>
      <w:rFonts w:eastAsia="Arial Unicode MS"/>
      <w:sz w:val="22"/>
      <w:szCs w:val="22"/>
    </w:rPr>
  </w:style>
  <w:style w:customStyle="true" w:styleId="xl46" w:type="paragraph">
    <w:name w:val="xl46"/>
    <w:basedOn w:val="Normal"/>
    <w:pPr>
      <w:pBdr>
        <w:top w:space="0" w:sz="4" w:color="auto" w:val="single"/>
        <w:left w:space="0" w:sz="4" w:color="auto" w:val="single"/>
        <w:bottom w:space="0" w:sz="4" w:color="auto" w:val="single"/>
        <w:right w:space="0" w:sz="4" w:color="auto" w:val="single"/>
      </w:pBdr>
      <w:spacing w:afterAutospacing="true" w:after="100" w:beforeAutospacing="true" w:before="100"/>
      <w:textAlignment w:val="top"/>
    </w:pPr>
    <w:rPr>
      <w:rFonts w:eastAsia="Arial Unicode MS"/>
      <w:sz w:val="22"/>
      <w:szCs w:val="22"/>
    </w:rPr>
  </w:style>
  <w:style w:customStyle="true" w:styleId="xl47" w:type="paragraph">
    <w:name w:val="xl47"/>
    <w:basedOn w:val="Normal"/>
    <w:pPr>
      <w:pBdr>
        <w:left w:space="0" w:sz="4" w:color="auto" w:val="single"/>
        <w:bottom w:space="0" w:sz="4" w:color="auto" w:val="single"/>
      </w:pBdr>
      <w:spacing w:afterAutospacing="true" w:after="100" w:beforeAutospacing="true" w:before="100"/>
      <w:textAlignment w:val="top"/>
    </w:pPr>
    <w:rPr>
      <w:rFonts w:eastAsia="Arial Unicode MS"/>
      <w:sz w:val="22"/>
      <w:szCs w:val="22"/>
    </w:rPr>
  </w:style>
  <w:style w:customStyle="true" w:styleId="xl48" w:type="paragraph">
    <w:name w:val="xl48"/>
    <w:basedOn w:val="Normal"/>
    <w:pPr>
      <w:pBdr>
        <w:left w:space="0" w:sz="4" w:color="auto" w:val="single"/>
        <w:bottom w:space="0" w:sz="4" w:color="auto" w:val="single"/>
      </w:pBdr>
      <w:spacing w:afterAutospacing="true" w:after="100" w:beforeAutospacing="true" w:before="100"/>
    </w:pPr>
    <w:rPr>
      <w:rFonts w:eastAsia="Arial Unicode MS"/>
    </w:rPr>
  </w:style>
  <w:style w:customStyle="true" w:styleId="xl49" w:type="paragraph">
    <w:name w:val="xl49"/>
    <w:basedOn w:val="Normal"/>
    <w:pPr>
      <w:pBdr>
        <w:left w:space="0" w:sz="4" w:color="auto" w:val="single"/>
        <w:bottom w:space="0" w:sz="4" w:color="auto" w:val="single"/>
        <w:right w:space="0" w:sz="4" w:color="auto" w:val="single"/>
      </w:pBdr>
      <w:spacing w:afterAutospacing="true" w:after="100" w:beforeAutospacing="true" w:before="100"/>
      <w:textAlignment w:val="top"/>
    </w:pPr>
    <w:rPr>
      <w:rFonts w:eastAsia="Arial Unicode MS"/>
      <w:sz w:val="22"/>
      <w:szCs w:val="22"/>
    </w:rPr>
  </w:style>
  <w:style w:customStyle="true" w:styleId="xl50" w:type="paragraph">
    <w:name w:val="xl50"/>
    <w:basedOn w:val="Normal"/>
    <w:pPr>
      <w:pBdr>
        <w:left w:space="0" w:sz="4" w:color="auto" w:val="single"/>
        <w:bottom w:space="0" w:sz="4" w:color="auto" w:val="single"/>
        <w:right w:space="0" w:sz="4" w:color="auto" w:val="single"/>
      </w:pBdr>
      <w:spacing w:afterAutospacing="true" w:after="100" w:beforeAutospacing="true" w:before="100"/>
      <w:textAlignment w:val="top"/>
    </w:pPr>
    <w:rPr>
      <w:rFonts w:eastAsia="Arial Unicode MS"/>
      <w:sz w:val="22"/>
      <w:szCs w:val="22"/>
    </w:rPr>
  </w:style>
  <w:style w:customStyle="true" w:styleId="xl51" w:type="paragraph">
    <w:name w:val="xl51"/>
    <w:basedOn w:val="Normal"/>
    <w:pPr>
      <w:pBdr>
        <w:left w:space="0" w:sz="4" w:color="auto" w:val="single"/>
        <w:bottom w:space="0" w:sz="4" w:color="auto" w:val="single"/>
      </w:pBdr>
      <w:spacing w:afterAutospacing="true" w:after="100" w:beforeAutospacing="true" w:before="100"/>
    </w:pPr>
    <w:rPr>
      <w:rFonts w:eastAsia="Arial Unicode MS"/>
      <w:sz w:val="22"/>
      <w:szCs w:val="22"/>
    </w:rPr>
  </w:style>
  <w:style w:customStyle="true" w:styleId="xl52" w:type="paragraph">
    <w:name w:val="xl52"/>
    <w:basedOn w:val="Normal"/>
    <w:pPr>
      <w:pBdr>
        <w:left w:space="0" w:sz="4" w:color="auto" w:val="single"/>
        <w:bottom w:space="0" w:sz="4" w:color="auto" w:val="single"/>
        <w:right w:space="0" w:sz="4" w:color="auto" w:val="single"/>
      </w:pBdr>
      <w:spacing w:afterAutospacing="true" w:after="100" w:beforeAutospacing="true" w:before="100"/>
    </w:pPr>
    <w:rPr>
      <w:rFonts w:eastAsia="Arial Unicode MS"/>
      <w:sz w:val="22"/>
      <w:szCs w:val="22"/>
    </w:rPr>
  </w:style>
  <w:style w:customStyle="true" w:styleId="xl53" w:type="paragraph">
    <w:name w:val="xl53"/>
    <w:basedOn w:val="Normal"/>
    <w:pPr>
      <w:pBdr>
        <w:top w:space="0" w:sz="4" w:color="auto" w:val="single"/>
        <w:left w:space="0" w:sz="4" w:color="auto" w:val="single"/>
        <w:bottom w:space="0" w:sz="4" w:color="auto" w:val="single"/>
        <w:right w:space="0" w:sz="4" w:color="auto" w:val="single"/>
      </w:pBdr>
      <w:spacing w:afterAutospacing="true" w:after="100" w:beforeAutospacing="true" w:before="100"/>
      <w:textAlignment w:val="top"/>
    </w:pPr>
    <w:rPr>
      <w:rFonts w:eastAsia="Arial Unicode MS"/>
      <w:sz w:val="22"/>
      <w:szCs w:val="22"/>
    </w:rPr>
  </w:style>
  <w:style w:customStyle="true" w:styleId="xl54" w:type="paragraph">
    <w:name w:val="xl54"/>
    <w:basedOn w:val="Normal"/>
    <w:pPr>
      <w:pBdr>
        <w:top w:space="0" w:sz="4" w:color="auto" w:val="single"/>
        <w:left w:space="0" w:sz="4" w:color="auto" w:val="single"/>
        <w:bottom w:space="0" w:sz="4" w:color="auto" w:val="single"/>
        <w:right w:space="0" w:sz="4" w:color="auto" w:val="single"/>
      </w:pBdr>
      <w:spacing w:afterAutospacing="true" w:after="100" w:beforeAutospacing="true" w:before="100"/>
    </w:pPr>
    <w:rPr>
      <w:rFonts w:eastAsia="Arial Unicode MS"/>
      <w:sz w:val="22"/>
      <w:szCs w:val="22"/>
    </w:rPr>
  </w:style>
  <w:style w:customStyle="true" w:styleId="xl55" w:type="paragraph">
    <w:name w:val="xl55"/>
    <w:basedOn w:val="Normal"/>
    <w:pPr>
      <w:pBdr>
        <w:left w:space="0" w:sz="4" w:color="auto" w:val="single"/>
        <w:bottom w:space="0" w:sz="4" w:color="auto" w:val="single"/>
        <w:right w:space="0" w:sz="4" w:color="auto" w:val="single"/>
      </w:pBdr>
      <w:spacing w:afterAutospacing="true" w:after="100" w:beforeAutospacing="true" w:before="100"/>
      <w:textAlignment w:val="top"/>
    </w:pPr>
    <w:rPr>
      <w:rFonts w:eastAsia="Arial Unicode MS"/>
      <w:sz w:val="22"/>
      <w:szCs w:val="22"/>
    </w:rPr>
  </w:style>
  <w:style w:customStyle="true" w:styleId="xl56" w:type="paragraph">
    <w:name w:val="xl56"/>
    <w:basedOn w:val="Normal"/>
    <w:pPr>
      <w:pBdr>
        <w:top w:space="0" w:sz="4" w:color="auto" w:val="single"/>
        <w:left w:space="0" w:sz="4" w:color="auto" w:val="single"/>
        <w:bottom w:space="0" w:sz="4" w:color="auto" w:val="single"/>
        <w:right w:space="0" w:sz="4" w:color="auto" w:val="single"/>
      </w:pBdr>
      <w:spacing w:afterAutospacing="true" w:after="100" w:beforeAutospacing="true" w:before="100"/>
    </w:pPr>
    <w:rPr>
      <w:rFonts w:eastAsia="Arial Unicode MS"/>
      <w:sz w:val="22"/>
      <w:szCs w:val="22"/>
    </w:rPr>
  </w:style>
  <w:style w:customStyle="true" w:styleId="xl57" w:type="paragraph">
    <w:name w:val="xl57"/>
    <w:basedOn w:val="Normal"/>
    <w:pPr>
      <w:pBdr>
        <w:left w:space="0" w:sz="4" w:color="auto" w:val="single"/>
        <w:bottom w:space="0" w:sz="4" w:color="auto" w:val="single"/>
      </w:pBdr>
      <w:spacing w:afterAutospacing="true" w:after="100" w:beforeAutospacing="true" w:before="100"/>
    </w:pPr>
    <w:rPr>
      <w:rFonts w:eastAsia="Arial Unicode MS"/>
      <w:sz w:val="22"/>
      <w:szCs w:val="22"/>
    </w:rPr>
  </w:style>
  <w:style w:customStyle="true" w:styleId="xl58" w:type="paragraph">
    <w:name w:val="xl58"/>
    <w:basedOn w:val="Normal"/>
    <w:pPr>
      <w:pBdr>
        <w:top w:space="0" w:sz="4" w:color="auto" w:val="single"/>
        <w:left w:space="0" w:sz="4" w:color="auto" w:val="single"/>
        <w:bottom w:space="0" w:sz="4" w:color="auto" w:val="single"/>
      </w:pBdr>
      <w:spacing w:afterAutospacing="true" w:after="100" w:beforeAutospacing="true" w:before="100"/>
    </w:pPr>
    <w:rPr>
      <w:rFonts w:eastAsia="Arial Unicode MS"/>
      <w:sz w:val="22"/>
      <w:szCs w:val="22"/>
    </w:rPr>
  </w:style>
  <w:style w:customStyle="true" w:styleId="xl59" w:type="paragraph">
    <w:name w:val="xl59"/>
    <w:basedOn w:val="Normal"/>
    <w:pPr>
      <w:pBdr>
        <w:top w:space="0" w:sz="4" w:color="auto" w:val="single"/>
        <w:left w:space="0" w:sz="4" w:color="auto" w:val="single"/>
        <w:bottom w:space="0" w:sz="4" w:color="auto" w:val="single"/>
        <w:right w:space="0" w:sz="4" w:color="auto" w:val="single"/>
      </w:pBdr>
      <w:spacing w:afterAutospacing="true" w:after="100" w:beforeAutospacing="true" w:before="100"/>
    </w:pPr>
    <w:rPr>
      <w:rFonts w:eastAsia="Arial Unicode MS"/>
      <w:sz w:val="22"/>
      <w:szCs w:val="22"/>
    </w:rPr>
  </w:style>
  <w:style w:customStyle="true" w:styleId="xl60" w:type="paragraph">
    <w:name w:val="xl60"/>
    <w:basedOn w:val="Normal"/>
    <w:pPr>
      <w:pBdr>
        <w:left w:space="0" w:sz="4" w:color="auto" w:val="single"/>
        <w:bottom w:space="0" w:sz="4" w:color="auto" w:val="single"/>
        <w:right w:space="0" w:sz="4" w:color="auto" w:val="single"/>
      </w:pBdr>
      <w:spacing w:afterAutospacing="true" w:after="100" w:beforeAutospacing="true" w:before="100"/>
      <w:jc w:val="right"/>
      <w:textAlignment w:val="top"/>
    </w:pPr>
    <w:rPr>
      <w:rFonts w:eastAsia="Arial Unicode MS"/>
      <w:sz w:val="22"/>
      <w:szCs w:val="22"/>
    </w:rPr>
  </w:style>
  <w:style w:customStyle="true" w:styleId="xl61" w:type="paragraph">
    <w:name w:val="xl61"/>
    <w:basedOn w:val="Normal"/>
    <w:pPr>
      <w:pBdr>
        <w:top w:space="0" w:sz="4" w:color="auto" w:val="single"/>
        <w:left w:space="0" w:sz="4" w:color="auto" w:val="single"/>
        <w:bottom w:space="0" w:sz="4" w:color="auto" w:val="single"/>
        <w:right w:space="0" w:sz="4" w:color="auto" w:val="single"/>
      </w:pBdr>
      <w:spacing w:afterAutospacing="true" w:after="100" w:beforeAutospacing="true" w:before="100"/>
    </w:pPr>
    <w:rPr>
      <w:rFonts w:eastAsia="Arial Unicode MS"/>
      <w:sz w:val="22"/>
      <w:szCs w:val="22"/>
    </w:rPr>
  </w:style>
  <w:style w:customStyle="true" w:styleId="xl62" w:type="paragraph">
    <w:name w:val="xl62"/>
    <w:basedOn w:val="Normal"/>
    <w:pPr>
      <w:pBdr>
        <w:top w:space="0" w:sz="4" w:color="auto" w:val="single"/>
        <w:left w:space="0" w:sz="4" w:color="auto" w:val="single"/>
        <w:bottom w:space="0" w:sz="4" w:color="auto" w:val="single"/>
        <w:right w:space="0" w:sz="4" w:color="auto" w:val="single"/>
      </w:pBdr>
      <w:spacing w:afterAutospacing="true" w:after="100" w:beforeAutospacing="true" w:before="100"/>
      <w:jc w:val="center"/>
    </w:pPr>
    <w:rPr>
      <w:rFonts w:eastAsia="Arial Unicode MS"/>
      <w:sz w:val="22"/>
      <w:szCs w:val="22"/>
    </w:rPr>
  </w:style>
  <w:style w:customStyle="true" w:styleId="xl63" w:type="paragraph">
    <w:name w:val="xl63"/>
    <w:basedOn w:val="Normal"/>
    <w:pPr>
      <w:pBdr>
        <w:top w:space="0" w:sz="4" w:color="auto" w:val="single"/>
        <w:left w:space="0" w:sz="4" w:color="auto" w:val="single"/>
        <w:bottom w:space="0" w:sz="4" w:color="auto" w:val="single"/>
        <w:right w:space="0" w:sz="4" w:color="auto" w:val="single"/>
      </w:pBdr>
      <w:spacing w:afterAutospacing="true" w:after="100" w:beforeAutospacing="true" w:before="100"/>
    </w:pPr>
    <w:rPr>
      <w:rFonts w:eastAsia="Arial Unicode MS"/>
      <w:b/>
      <w:bCs/>
      <w:sz w:val="22"/>
      <w:szCs w:val="22"/>
    </w:rPr>
  </w:style>
  <w:style w:customStyle="true" w:styleId="xl64" w:type="paragraph">
    <w:name w:val="xl64"/>
    <w:basedOn w:val="Normal"/>
    <w:pPr>
      <w:pBdr>
        <w:left w:space="0" w:sz="4" w:color="auto" w:val="single"/>
        <w:bottom w:space="0" w:sz="4" w:color="auto" w:val="single"/>
      </w:pBdr>
      <w:spacing w:afterAutospacing="true" w:after="100" w:beforeAutospacing="true" w:before="100"/>
    </w:pPr>
    <w:rPr>
      <w:rFonts w:eastAsia="Arial Unicode MS"/>
      <w:b/>
      <w:bCs/>
      <w:sz w:val="22"/>
      <w:szCs w:val="22"/>
    </w:rPr>
  </w:style>
  <w:style w:customStyle="true" w:styleId="xl65" w:type="paragraph">
    <w:name w:val="xl65"/>
    <w:basedOn w:val="Normal"/>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top"/>
    </w:pPr>
    <w:rPr>
      <w:rFonts w:eastAsia="Arial Unicode MS"/>
      <w:sz w:val="22"/>
      <w:szCs w:val="22"/>
    </w:rPr>
  </w:style>
  <w:style w:customStyle="true" w:styleId="xl66" w:type="paragraph">
    <w:name w:val="xl66"/>
    <w:basedOn w:val="Normal"/>
    <w:pPr>
      <w:pBdr>
        <w:top w:space="0" w:sz="4" w:color="auto" w:val="single"/>
        <w:left w:space="0" w:sz="4" w:color="auto" w:val="single"/>
        <w:bottom w:space="0" w:sz="4" w:color="auto" w:val="single"/>
        <w:right w:space="0" w:sz="4" w:color="auto" w:val="single"/>
      </w:pBdr>
      <w:spacing w:afterAutospacing="true" w:after="100" w:beforeAutospacing="true" w:before="100"/>
    </w:pPr>
    <w:rPr>
      <w:rFonts w:eastAsia="Arial Unicode MS"/>
    </w:rPr>
  </w:style>
  <w:style w:customStyle="true" w:styleId="xl67" w:type="paragraph">
    <w:name w:val="xl67"/>
    <w:basedOn w:val="Normal"/>
    <w:pPr>
      <w:pBdr>
        <w:top w:space="0" w:sz="4" w:color="auto" w:val="single"/>
        <w:left w:space="0" w:sz="4" w:color="auto" w:val="single"/>
        <w:bottom w:space="0" w:sz="4" w:color="auto" w:val="single"/>
        <w:right w:space="0" w:sz="4" w:color="auto" w:val="single"/>
      </w:pBdr>
      <w:spacing w:afterAutospacing="true" w:after="100" w:beforeAutospacing="true" w:before="100"/>
      <w:textAlignment w:val="top"/>
    </w:pPr>
    <w:rPr>
      <w:rFonts w:eastAsia="Arial Unicode MS"/>
      <w:sz w:val="22"/>
      <w:szCs w:val="22"/>
    </w:rPr>
  </w:style>
  <w:style w:customStyle="true" w:styleId="xl68" w:type="paragraph">
    <w:name w:val="xl68"/>
    <w:basedOn w:val="Normal"/>
    <w:pPr>
      <w:pBdr>
        <w:left w:space="0" w:sz="4" w:color="auto" w:val="single"/>
        <w:bottom w:space="0" w:sz="4" w:color="auto" w:val="single"/>
        <w:right w:space="0" w:sz="4" w:color="auto" w:val="single"/>
      </w:pBdr>
      <w:spacing w:afterAutospacing="true" w:after="100" w:beforeAutospacing="true" w:before="100"/>
      <w:textAlignment w:val="top"/>
    </w:pPr>
    <w:rPr>
      <w:rFonts w:eastAsia="Arial Unicode MS"/>
    </w:rPr>
  </w:style>
  <w:style w:styleId="Tekstbalonia" w:type="paragraph">
    <w:name w:val="Balloon Text"/>
    <w:basedOn w:val="Normal"/>
    <w:semiHidden/>
    <w:rsid w:val="003512D9"/>
    <w:rPr>
      <w:rFonts w:cs="Tahoma" w:hAnsi="Tahoma" w:ascii="Tahoma"/>
      <w:sz w:val="16"/>
      <w:szCs w:val="16"/>
    </w:rPr>
  </w:style>
  <w:style w:styleId="Reetkatablice" w:type="table">
    <w:name w:val="Table Grid"/>
    <w:basedOn w:val="Obinatablica"/>
    <w:rsid w:val="007C5A69"/>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StandardWeb" w:type="paragraph">
    <w:name w:val="Normal (Web)"/>
    <w:basedOn w:val="Normal"/>
    <w:rsid w:val="00DC6BFE"/>
    <w:pPr>
      <w:spacing w:afterAutospacing="true" w:after="100" w:beforeAutospacing="true" w:before="100"/>
    </w:pPr>
  </w:style>
  <w:style w:customStyle="true" w:styleId="UvuenotijelotekstaChar" w:type="character">
    <w:name w:val="Uvučeno tijelo teksta Char"/>
    <w:link w:val="Uvuenotijeloteksta"/>
    <w:rsid w:val="00DC6BFE"/>
    <w:rPr>
      <w:sz w:val="24"/>
      <w:szCs w:val="24"/>
    </w:rPr>
  </w:style>
  <w:style w:styleId="Naglaeno" w:type="character">
    <w:name w:val="Strong"/>
    <w:uiPriority w:val="22"/>
    <w:qFormat/>
    <w:rsid w:val="004D3D2E"/>
    <w:rPr>
      <w:b/>
      <w:bCs/>
    </w:rPr>
  </w:style>
  <w:style w:styleId="Odlomakpopisa" w:type="paragraph">
    <w:name w:val="List Paragraph"/>
    <w:basedOn w:val="Normal"/>
    <w:uiPriority w:val="34"/>
    <w:qFormat/>
    <w:rsid w:val="00CD7B3C"/>
    <w:pPr>
      <w:ind w:left="720"/>
      <w:contextualSpacing/>
    </w:pPr>
  </w:style>
  <w:style w:customStyle="true" w:styleId="Naslov1Char" w:type="character">
    <w:name w:val="Naslov 1 Char"/>
    <w:basedOn w:val="Zadanifontodlomka"/>
    <w:link w:val="Naslov1"/>
    <w:rsid w:val="00AE3C32"/>
    <w:rPr>
      <w:b/>
      <w:bCs/>
      <w:sz w:val="24"/>
      <w:szCs w:val="24"/>
    </w:rPr>
  </w:style>
  <w:style w:customStyle="true" w:styleId="TijelotekstaChar" w:type="character">
    <w:name w:val="Tijelo teksta Char"/>
    <w:basedOn w:val="Zadanifontodlomka"/>
    <w:link w:val="Tijeloteksta"/>
    <w:rsid w:val="00AE3C32"/>
    <w:rPr>
      <w:sz w:val="24"/>
      <w:szCs w:val="24"/>
    </w:rPr>
  </w:style>
  <w:style w:styleId="Tekstrezerviranogmjesta" w:type="character">
    <w:name w:val="Placeholder Text"/>
    <w:basedOn w:val="Zadanifontodlomka"/>
    <w:uiPriority w:val="99"/>
    <w:semiHidden/>
    <w:rsid w:val="007513DD"/>
    <w:rPr>
      <w:color w:val="808080"/>
      <w:bdr w:space="0" w:sz="0" w:color="auto" w:val="none"/>
      <w:shd w:fill="auto" w:color="auto" w:val="clear"/>
    </w:rPr>
  </w:style>
  <w:style w:customStyle="true" w:styleId="eSPISCCParagraphDefaultFont" w:type="character">
    <w:name w:val="eSPIS_CC_Paragraph Default Font"/>
    <w:basedOn w:val="Zadanifontodlomka"/>
    <w:rsid w:val="007513D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513DD"/>
    <w:rPr>
      <w:bdr w:space="0" w:sz="0" w:color="auto" w:val="none"/>
      <w:shd w:fill="FFFFCC" w:color="auto" w:val="clear"/>
      <w:lang w:val="hr-HR"/>
    </w:rPr>
  </w:style>
  <w:style w:customStyle="true" w:styleId="PozadinaSvijetloCrvena" w:type="character">
    <w:name w:val="Pozadina_SvijetloCrvena"/>
    <w:basedOn w:val="eSPISCCParagraphDefaultFont"/>
    <w:rsid w:val="007513D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513D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uiPriority="22"/>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link w:val="Naslov1Char"/>
    <w:qFormat/>
    <w:pPr>
      <w:keepNext/>
      <w:jc w:val="center"/>
      <w:outlineLvl w:val="0"/>
    </w:pPr>
    <w:rPr>
      <w:b/>
      <w:bCs/>
    </w:rPr>
  </w:style>
  <w:style w:styleId="Naslov2" w:type="paragraph">
    <w:name w:val="heading 2"/>
    <w:basedOn w:val="Normal"/>
    <w:next w:val="Normal"/>
    <w:qFormat/>
    <w:pPr>
      <w:keepNext/>
      <w:jc w:val="right"/>
      <w:outlineLvl w:val="1"/>
    </w:pPr>
    <w:rPr>
      <w:b/>
      <w:bCs/>
      <w:sz w:val="20"/>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pPr>
      <w:jc w:val="both"/>
    </w:pPr>
  </w:style>
  <w:style w:styleId="Uvuenotijeloteksta" w:type="paragraph">
    <w:name w:val="Body Text Indent"/>
    <w:basedOn w:val="Normal"/>
    <w:link w:val="UvuenotijelotekstaChar"/>
    <w:pPr>
      <w:ind w:left="540"/>
      <w:jc w:val="both"/>
    </w:pPr>
    <w:rPr>
      <w:lang w:eastAsia="x-none" w:val="x-none"/>
    </w:rPr>
  </w:style>
  <w:style w:styleId="Zaglavlje" w:type="paragraph">
    <w:name w:val="header"/>
    <w:basedOn w:val="Normal"/>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ijeloteksta-uvlaka2" w:type="paragraph">
    <w:name w:val="Body Text Indent 2"/>
    <w:aliases w:val="  uvlaka 2"/>
    <w:basedOn w:val="Normal"/>
    <w:pPr>
      <w:ind w:firstLine="708"/>
      <w:jc w:val="both"/>
    </w:pPr>
  </w:style>
  <w:style w:styleId="Tijeloteksta2" w:type="paragraph">
    <w:name w:val="Body Text 2"/>
    <w:basedOn w:val="Normal"/>
    <w:pPr>
      <w:tabs>
        <w:tab w:pos="9072" w:val="right"/>
      </w:tabs>
    </w:pPr>
    <w:rPr>
      <w:rFonts w:ascii="Tahoma" w:cs="Tahoma" w:hAnsi="Tahoma"/>
      <w:color w:val="993300"/>
      <w:sz w:val="20"/>
    </w:rPr>
  </w:style>
  <w:style w:styleId="Tijeloteksta-uvlaka3" w:type="paragraph">
    <w:name w:val="Body Text Indent 3"/>
    <w:aliases w:val=" uvlaka 3"/>
    <w:basedOn w:val="Normal"/>
    <w:pPr>
      <w:ind w:firstLine="540" w:left="-540"/>
      <w:jc w:val="both"/>
    </w:pPr>
  </w:style>
  <w:style w:customStyle="1" w:styleId="xl24" w:type="paragraph">
    <w:name w:val="xl24"/>
    <w:basedOn w:val="Normal"/>
    <w:pPr>
      <w:pBdr>
        <w:top w:color="auto" w:space="0" w:sz="8" w:val="single"/>
        <w:left w:color="auto" w:space="0" w:sz="8" w:val="single"/>
        <w:right w:color="auto" w:space="0" w:sz="8" w:val="single"/>
      </w:pBdr>
      <w:spacing w:after="100" w:afterAutospacing="1" w:before="100" w:beforeAutospacing="1"/>
    </w:pPr>
    <w:rPr>
      <w:rFonts w:eastAsia="Arial Unicode MS"/>
      <w:b/>
      <w:bCs/>
    </w:rPr>
  </w:style>
  <w:style w:customStyle="1" w:styleId="xl25" w:type="paragraph">
    <w:name w:val="xl25"/>
    <w:basedOn w:val="Normal"/>
    <w:pPr>
      <w:pBdr>
        <w:left w:color="auto" w:space="0" w:sz="8" w:val="single"/>
        <w:right w:color="auto" w:space="0" w:sz="8" w:val="single"/>
      </w:pBdr>
      <w:spacing w:after="100" w:afterAutospacing="1" w:before="100" w:beforeAutospacing="1"/>
      <w:jc w:val="center"/>
    </w:pPr>
    <w:rPr>
      <w:rFonts w:eastAsia="Arial Unicode MS"/>
      <w:b/>
      <w:bCs/>
    </w:rPr>
  </w:style>
  <w:style w:customStyle="1" w:styleId="xl26" w:type="paragraph">
    <w:name w:val="xl26"/>
    <w:basedOn w:val="Normal"/>
    <w:pPr>
      <w:pBdr>
        <w:left w:color="auto" w:space="0" w:sz="8" w:val="single"/>
        <w:right w:color="auto" w:space="0" w:sz="8" w:val="single"/>
      </w:pBdr>
      <w:spacing w:after="100" w:afterAutospacing="1" w:before="100" w:beforeAutospacing="1"/>
      <w:jc w:val="center"/>
    </w:pPr>
    <w:rPr>
      <w:rFonts w:eastAsia="Arial Unicode MS"/>
      <w:b/>
      <w:bCs/>
      <w:sz w:val="22"/>
      <w:szCs w:val="22"/>
    </w:rPr>
  </w:style>
  <w:style w:customStyle="1" w:styleId="xl27" w:type="paragraph">
    <w:name w:val="xl27"/>
    <w:basedOn w:val="Normal"/>
    <w:pPr>
      <w:pBdr>
        <w:left w:color="auto" w:space="0" w:sz="8" w:val="single"/>
        <w:bottom w:color="auto" w:space="0" w:sz="8" w:val="single"/>
        <w:right w:color="auto" w:space="0" w:sz="8" w:val="single"/>
      </w:pBdr>
      <w:spacing w:after="100" w:afterAutospacing="1" w:before="100" w:beforeAutospacing="1"/>
      <w:jc w:val="center"/>
    </w:pPr>
    <w:rPr>
      <w:rFonts w:eastAsia="Arial Unicode MS"/>
      <w:b/>
      <w:bCs/>
      <w:sz w:val="22"/>
      <w:szCs w:val="22"/>
    </w:rPr>
  </w:style>
  <w:style w:customStyle="1" w:styleId="xl28" w:type="paragraph">
    <w:name w:val="xl28"/>
    <w:basedOn w:val="Normal"/>
    <w:pPr>
      <w:pBdr>
        <w:left w:color="auto" w:space="0" w:sz="8" w:val="single"/>
        <w:bottom w:color="auto" w:space="0" w:sz="8" w:val="single"/>
        <w:right w:color="auto" w:space="0" w:sz="8" w:val="single"/>
      </w:pBdr>
      <w:spacing w:after="100" w:afterAutospacing="1" w:before="100" w:beforeAutospacing="1"/>
      <w:jc w:val="center"/>
    </w:pPr>
    <w:rPr>
      <w:rFonts w:eastAsia="Arial Unicode MS"/>
      <w:b/>
      <w:bCs/>
    </w:rPr>
  </w:style>
  <w:style w:customStyle="1" w:styleId="xl29" w:type="paragraph">
    <w:name w:val="xl29"/>
    <w:basedOn w:val="Normal"/>
    <w:pPr>
      <w:pBdr>
        <w:left w:color="auto" w:space="0" w:sz="4" w:val="single"/>
        <w:bottom w:color="auto" w:space="0" w:sz="4" w:val="single"/>
        <w:right w:color="auto" w:space="0" w:sz="4" w:val="single"/>
      </w:pBdr>
      <w:spacing w:after="100" w:afterAutospacing="1" w:before="100" w:beforeAutospacing="1"/>
      <w:jc w:val="center"/>
      <w:textAlignment w:val="top"/>
    </w:pPr>
    <w:rPr>
      <w:rFonts w:eastAsia="Arial Unicode MS"/>
      <w:sz w:val="22"/>
      <w:szCs w:val="22"/>
    </w:rPr>
  </w:style>
  <w:style w:customStyle="1" w:styleId="xl30" w:type="paragraph">
    <w:name w:val="xl30"/>
    <w:basedOn w:val="Normal"/>
    <w:pPr>
      <w:pBdr>
        <w:left w:color="auto" w:space="0" w:sz="4" w:val="single"/>
        <w:bottom w:color="auto" w:space="0" w:sz="4" w:val="single"/>
        <w:right w:color="auto" w:space="0" w:sz="4" w:val="single"/>
      </w:pBdr>
      <w:spacing w:after="100" w:afterAutospacing="1" w:before="100" w:beforeAutospacing="1"/>
      <w:textAlignment w:val="top"/>
    </w:pPr>
    <w:rPr>
      <w:rFonts w:eastAsia="Arial Unicode MS"/>
      <w:sz w:val="22"/>
      <w:szCs w:val="22"/>
    </w:rPr>
  </w:style>
  <w:style w:customStyle="1" w:styleId="xl31" w:type="paragraph">
    <w:name w:val="xl31"/>
    <w:basedOn w:val="Normal"/>
    <w:pPr>
      <w:pBdr>
        <w:left w:color="auto" w:space="0" w:sz="4" w:val="single"/>
        <w:bottom w:color="auto" w:space="0" w:sz="4" w:val="single"/>
      </w:pBdr>
      <w:spacing w:after="100" w:afterAutospacing="1" w:before="100" w:beforeAutospacing="1"/>
      <w:jc w:val="right"/>
      <w:textAlignment w:val="top"/>
    </w:pPr>
    <w:rPr>
      <w:rFonts w:eastAsia="Arial Unicode MS"/>
      <w:sz w:val="22"/>
      <w:szCs w:val="22"/>
    </w:rPr>
  </w:style>
  <w:style w:customStyle="1" w:styleId="xl32" w:type="paragraph">
    <w:name w:val="xl32"/>
    <w:basedOn w:val="Normal"/>
    <w:pPr>
      <w:pBdr>
        <w:left w:color="auto" w:space="0" w:sz="4" w:val="single"/>
        <w:bottom w:color="auto" w:space="0" w:sz="4" w:val="single"/>
        <w:right w:color="auto" w:space="0" w:sz="4" w:val="single"/>
      </w:pBdr>
      <w:spacing w:after="100" w:afterAutospacing="1" w:before="100" w:beforeAutospacing="1"/>
    </w:pPr>
    <w:rPr>
      <w:rFonts w:eastAsia="Arial Unicode MS"/>
      <w:sz w:val="22"/>
      <w:szCs w:val="22"/>
    </w:rPr>
  </w:style>
  <w:style w:customStyle="1" w:styleId="xl33" w:type="paragraph">
    <w:name w:val="xl33"/>
    <w:basedOn w:val="Normal"/>
    <w:pPr>
      <w:spacing w:after="100" w:afterAutospacing="1" w:before="100" w:beforeAutospacing="1"/>
    </w:pPr>
    <w:rPr>
      <w:rFonts w:eastAsia="Arial Unicode MS"/>
      <w:sz w:val="22"/>
      <w:szCs w:val="22"/>
    </w:rPr>
  </w:style>
  <w:style w:customStyle="1" w:styleId="xl34" w:type="paragraph">
    <w:name w:val="xl34"/>
    <w:basedOn w:val="Normal"/>
    <w:pPr>
      <w:pBdr>
        <w:top w:color="auto" w:space="0" w:sz="4" w:val="single"/>
        <w:left w:color="auto" w:space="0" w:sz="4" w:val="single"/>
        <w:bottom w:color="auto" w:space="0" w:sz="4" w:val="single"/>
        <w:right w:color="auto" w:space="0" w:sz="4" w:val="single"/>
      </w:pBdr>
      <w:spacing w:after="100" w:afterAutospacing="1" w:before="100" w:beforeAutospacing="1"/>
    </w:pPr>
    <w:rPr>
      <w:rFonts w:eastAsia="Arial Unicode MS"/>
      <w:sz w:val="22"/>
      <w:szCs w:val="22"/>
    </w:rPr>
  </w:style>
  <w:style w:customStyle="1" w:styleId="xl35" w:type="paragraph">
    <w:name w:val="xl35"/>
    <w:basedOn w:val="Normal"/>
    <w:pPr>
      <w:pBdr>
        <w:top w:color="auto" w:space="0" w:sz="4" w:val="single"/>
        <w:left w:color="auto" w:space="0" w:sz="4" w:val="single"/>
        <w:bottom w:color="auto" w:space="0" w:sz="4" w:val="single"/>
      </w:pBdr>
      <w:spacing w:after="100" w:afterAutospacing="1" w:before="100" w:beforeAutospacing="1"/>
    </w:pPr>
    <w:rPr>
      <w:rFonts w:eastAsia="Arial Unicode MS"/>
      <w:sz w:val="22"/>
      <w:szCs w:val="22"/>
    </w:rPr>
  </w:style>
  <w:style w:customStyle="1" w:styleId="xl36" w:type="paragraph">
    <w:name w:val="xl36"/>
    <w:basedOn w:val="Normal"/>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top"/>
    </w:pPr>
    <w:rPr>
      <w:rFonts w:eastAsia="Arial Unicode MS"/>
      <w:sz w:val="22"/>
      <w:szCs w:val="22"/>
    </w:rPr>
  </w:style>
  <w:style w:customStyle="1" w:styleId="xl37" w:type="paragraph">
    <w:name w:val="xl37"/>
    <w:basedOn w:val="Normal"/>
    <w:pPr>
      <w:pBdr>
        <w:top w:color="auto" w:space="0" w:sz="4" w:val="single"/>
        <w:left w:color="auto" w:space="0" w:sz="4" w:val="single"/>
        <w:bottom w:color="auto" w:space="0" w:sz="4" w:val="single"/>
        <w:right w:color="auto" w:space="0" w:sz="4" w:val="single"/>
      </w:pBdr>
      <w:spacing w:after="100" w:afterAutospacing="1" w:before="100" w:beforeAutospacing="1"/>
      <w:textAlignment w:val="top"/>
    </w:pPr>
    <w:rPr>
      <w:rFonts w:eastAsia="Arial Unicode MS"/>
      <w:sz w:val="22"/>
      <w:szCs w:val="22"/>
    </w:rPr>
  </w:style>
  <w:style w:customStyle="1" w:styleId="xl38" w:type="paragraph">
    <w:name w:val="xl38"/>
    <w:basedOn w:val="Normal"/>
    <w:pPr>
      <w:pBdr>
        <w:top w:color="auto" w:space="0" w:sz="4" w:val="single"/>
        <w:left w:color="auto" w:space="0" w:sz="4" w:val="single"/>
        <w:bottom w:color="auto" w:space="0" w:sz="4" w:val="single"/>
      </w:pBdr>
      <w:spacing w:after="100" w:afterAutospacing="1" w:before="100" w:beforeAutospacing="1"/>
      <w:jc w:val="right"/>
      <w:textAlignment w:val="top"/>
    </w:pPr>
    <w:rPr>
      <w:rFonts w:eastAsia="Arial Unicode MS"/>
      <w:sz w:val="22"/>
      <w:szCs w:val="22"/>
    </w:rPr>
  </w:style>
  <w:style w:customStyle="1" w:styleId="xl39" w:type="paragraph">
    <w:name w:val="xl39"/>
    <w:basedOn w:val="Normal"/>
    <w:pPr>
      <w:pBdr>
        <w:top w:color="auto" w:space="0" w:sz="4" w:val="single"/>
        <w:left w:color="auto" w:space="0" w:sz="4" w:val="single"/>
        <w:bottom w:color="auto" w:space="0" w:sz="4" w:val="single"/>
        <w:right w:color="auto" w:space="0" w:sz="4" w:val="single"/>
      </w:pBdr>
      <w:spacing w:after="100" w:afterAutospacing="1" w:before="100" w:beforeAutospacing="1"/>
    </w:pPr>
    <w:rPr>
      <w:rFonts w:eastAsia="Arial Unicode MS"/>
      <w:sz w:val="22"/>
      <w:szCs w:val="22"/>
    </w:rPr>
  </w:style>
  <w:style w:customStyle="1" w:styleId="xl40" w:type="paragraph">
    <w:name w:val="xl40"/>
    <w:basedOn w:val="Normal"/>
    <w:pPr>
      <w:pBdr>
        <w:top w:color="auto" w:space="0" w:sz="4" w:val="single"/>
        <w:left w:color="auto" w:space="0" w:sz="4" w:val="single"/>
        <w:bottom w:color="auto" w:space="0" w:sz="4" w:val="single"/>
      </w:pBdr>
      <w:spacing w:after="100" w:afterAutospacing="1" w:before="100" w:beforeAutospacing="1"/>
    </w:pPr>
    <w:rPr>
      <w:rFonts w:eastAsia="Arial Unicode MS"/>
      <w:sz w:val="22"/>
      <w:szCs w:val="22"/>
    </w:rPr>
  </w:style>
  <w:style w:customStyle="1" w:styleId="xl41" w:type="paragraph">
    <w:name w:val="xl41"/>
    <w:basedOn w:val="Normal"/>
    <w:pPr>
      <w:pBdr>
        <w:top w:color="auto" w:space="0" w:sz="4" w:val="single"/>
        <w:left w:color="auto" w:space="0" w:sz="4" w:val="single"/>
        <w:bottom w:color="auto" w:space="0" w:sz="4" w:val="single"/>
        <w:right w:color="auto" w:space="0" w:sz="4" w:val="single"/>
      </w:pBdr>
      <w:spacing w:after="100" w:afterAutospacing="1" w:before="100" w:beforeAutospacing="1"/>
      <w:jc w:val="right"/>
      <w:textAlignment w:val="top"/>
    </w:pPr>
    <w:rPr>
      <w:rFonts w:eastAsia="Arial Unicode MS"/>
      <w:sz w:val="22"/>
      <w:szCs w:val="22"/>
    </w:rPr>
  </w:style>
  <w:style w:customStyle="1" w:styleId="xl42" w:type="paragraph">
    <w:name w:val="xl42"/>
    <w:basedOn w:val="Normal"/>
    <w:pPr>
      <w:pBdr>
        <w:left w:color="auto" w:space="0" w:sz="4" w:val="single"/>
        <w:bottom w:color="auto" w:space="0" w:sz="4" w:val="single"/>
        <w:right w:color="auto" w:space="0" w:sz="4" w:val="single"/>
      </w:pBdr>
      <w:spacing w:after="100" w:afterAutospacing="1" w:before="100" w:beforeAutospacing="1"/>
      <w:textAlignment w:val="top"/>
    </w:pPr>
    <w:rPr>
      <w:rFonts w:eastAsia="Arial Unicode MS"/>
      <w:sz w:val="22"/>
      <w:szCs w:val="22"/>
    </w:rPr>
  </w:style>
  <w:style w:customStyle="1" w:styleId="xl43" w:type="paragraph">
    <w:name w:val="xl43"/>
    <w:basedOn w:val="Normal"/>
    <w:pPr>
      <w:pBdr>
        <w:left w:color="auto" w:space="0" w:sz="4" w:val="single"/>
        <w:bottom w:color="auto" w:space="0" w:sz="4" w:val="single"/>
      </w:pBdr>
      <w:spacing w:after="100" w:afterAutospacing="1" w:before="100" w:beforeAutospacing="1"/>
    </w:pPr>
    <w:rPr>
      <w:rFonts w:eastAsia="Arial Unicode MS"/>
      <w:sz w:val="22"/>
      <w:szCs w:val="22"/>
    </w:rPr>
  </w:style>
  <w:style w:customStyle="1" w:styleId="xl44" w:type="paragraph">
    <w:name w:val="xl44"/>
    <w:basedOn w:val="Normal"/>
    <w:pPr>
      <w:pBdr>
        <w:left w:color="auto" w:space="0" w:sz="4" w:val="single"/>
        <w:bottom w:color="auto" w:space="0" w:sz="4" w:val="single"/>
        <w:right w:color="auto" w:space="0" w:sz="4" w:val="single"/>
      </w:pBdr>
      <w:spacing w:after="100" w:afterAutospacing="1" w:before="100" w:beforeAutospacing="1"/>
      <w:jc w:val="right"/>
      <w:textAlignment w:val="top"/>
    </w:pPr>
    <w:rPr>
      <w:rFonts w:eastAsia="Arial Unicode MS"/>
      <w:sz w:val="22"/>
      <w:szCs w:val="22"/>
    </w:rPr>
  </w:style>
  <w:style w:customStyle="1" w:styleId="xl45" w:type="paragraph">
    <w:name w:val="xl45"/>
    <w:basedOn w:val="Normal"/>
    <w:pPr>
      <w:pBdr>
        <w:top w:color="auto" w:space="0" w:sz="4" w:val="single"/>
        <w:left w:color="auto" w:space="0" w:sz="4" w:val="single"/>
        <w:bottom w:color="auto" w:space="0" w:sz="4" w:val="single"/>
        <w:right w:color="auto" w:space="0" w:sz="4" w:val="single"/>
      </w:pBdr>
      <w:spacing w:after="100" w:afterAutospacing="1" w:before="100" w:beforeAutospacing="1"/>
      <w:textAlignment w:val="top"/>
    </w:pPr>
    <w:rPr>
      <w:rFonts w:eastAsia="Arial Unicode MS"/>
      <w:sz w:val="22"/>
      <w:szCs w:val="22"/>
    </w:rPr>
  </w:style>
  <w:style w:customStyle="1" w:styleId="xl46" w:type="paragraph">
    <w:name w:val="xl46"/>
    <w:basedOn w:val="Normal"/>
    <w:pPr>
      <w:pBdr>
        <w:top w:color="auto" w:space="0" w:sz="4" w:val="single"/>
        <w:left w:color="auto" w:space="0" w:sz="4" w:val="single"/>
        <w:bottom w:color="auto" w:space="0" w:sz="4" w:val="single"/>
        <w:right w:color="auto" w:space="0" w:sz="4" w:val="single"/>
      </w:pBdr>
      <w:spacing w:after="100" w:afterAutospacing="1" w:before="100" w:beforeAutospacing="1"/>
      <w:textAlignment w:val="top"/>
    </w:pPr>
    <w:rPr>
      <w:rFonts w:eastAsia="Arial Unicode MS"/>
      <w:sz w:val="22"/>
      <w:szCs w:val="22"/>
    </w:rPr>
  </w:style>
  <w:style w:customStyle="1" w:styleId="xl47" w:type="paragraph">
    <w:name w:val="xl47"/>
    <w:basedOn w:val="Normal"/>
    <w:pPr>
      <w:pBdr>
        <w:left w:color="auto" w:space="0" w:sz="4" w:val="single"/>
        <w:bottom w:color="auto" w:space="0" w:sz="4" w:val="single"/>
      </w:pBdr>
      <w:spacing w:after="100" w:afterAutospacing="1" w:before="100" w:beforeAutospacing="1"/>
      <w:textAlignment w:val="top"/>
    </w:pPr>
    <w:rPr>
      <w:rFonts w:eastAsia="Arial Unicode MS"/>
      <w:sz w:val="22"/>
      <w:szCs w:val="22"/>
    </w:rPr>
  </w:style>
  <w:style w:customStyle="1" w:styleId="xl48" w:type="paragraph">
    <w:name w:val="xl48"/>
    <w:basedOn w:val="Normal"/>
    <w:pPr>
      <w:pBdr>
        <w:left w:color="auto" w:space="0" w:sz="4" w:val="single"/>
        <w:bottom w:color="auto" w:space="0" w:sz="4" w:val="single"/>
      </w:pBdr>
      <w:spacing w:after="100" w:afterAutospacing="1" w:before="100" w:beforeAutospacing="1"/>
    </w:pPr>
    <w:rPr>
      <w:rFonts w:eastAsia="Arial Unicode MS"/>
    </w:rPr>
  </w:style>
  <w:style w:customStyle="1" w:styleId="xl49" w:type="paragraph">
    <w:name w:val="xl49"/>
    <w:basedOn w:val="Normal"/>
    <w:pPr>
      <w:pBdr>
        <w:left w:color="auto" w:space="0" w:sz="4" w:val="single"/>
        <w:bottom w:color="auto" w:space="0" w:sz="4" w:val="single"/>
        <w:right w:color="auto" w:space="0" w:sz="4" w:val="single"/>
      </w:pBdr>
      <w:spacing w:after="100" w:afterAutospacing="1" w:before="100" w:beforeAutospacing="1"/>
      <w:textAlignment w:val="top"/>
    </w:pPr>
    <w:rPr>
      <w:rFonts w:eastAsia="Arial Unicode MS"/>
      <w:sz w:val="22"/>
      <w:szCs w:val="22"/>
    </w:rPr>
  </w:style>
  <w:style w:customStyle="1" w:styleId="xl50" w:type="paragraph">
    <w:name w:val="xl50"/>
    <w:basedOn w:val="Normal"/>
    <w:pPr>
      <w:pBdr>
        <w:left w:color="auto" w:space="0" w:sz="4" w:val="single"/>
        <w:bottom w:color="auto" w:space="0" w:sz="4" w:val="single"/>
        <w:right w:color="auto" w:space="0" w:sz="4" w:val="single"/>
      </w:pBdr>
      <w:spacing w:after="100" w:afterAutospacing="1" w:before="100" w:beforeAutospacing="1"/>
      <w:textAlignment w:val="top"/>
    </w:pPr>
    <w:rPr>
      <w:rFonts w:eastAsia="Arial Unicode MS"/>
      <w:sz w:val="22"/>
      <w:szCs w:val="22"/>
    </w:rPr>
  </w:style>
  <w:style w:customStyle="1" w:styleId="xl51" w:type="paragraph">
    <w:name w:val="xl51"/>
    <w:basedOn w:val="Normal"/>
    <w:pPr>
      <w:pBdr>
        <w:left w:color="auto" w:space="0" w:sz="4" w:val="single"/>
        <w:bottom w:color="auto" w:space="0" w:sz="4" w:val="single"/>
      </w:pBdr>
      <w:spacing w:after="100" w:afterAutospacing="1" w:before="100" w:beforeAutospacing="1"/>
    </w:pPr>
    <w:rPr>
      <w:rFonts w:eastAsia="Arial Unicode MS"/>
      <w:sz w:val="22"/>
      <w:szCs w:val="22"/>
    </w:rPr>
  </w:style>
  <w:style w:customStyle="1" w:styleId="xl52" w:type="paragraph">
    <w:name w:val="xl52"/>
    <w:basedOn w:val="Normal"/>
    <w:pPr>
      <w:pBdr>
        <w:left w:color="auto" w:space="0" w:sz="4" w:val="single"/>
        <w:bottom w:color="auto" w:space="0" w:sz="4" w:val="single"/>
        <w:right w:color="auto" w:space="0" w:sz="4" w:val="single"/>
      </w:pBdr>
      <w:spacing w:after="100" w:afterAutospacing="1" w:before="100" w:beforeAutospacing="1"/>
    </w:pPr>
    <w:rPr>
      <w:rFonts w:eastAsia="Arial Unicode MS"/>
      <w:sz w:val="22"/>
      <w:szCs w:val="22"/>
    </w:rPr>
  </w:style>
  <w:style w:customStyle="1" w:styleId="xl53" w:type="paragraph">
    <w:name w:val="xl53"/>
    <w:basedOn w:val="Normal"/>
    <w:pPr>
      <w:pBdr>
        <w:top w:color="auto" w:space="0" w:sz="4" w:val="single"/>
        <w:left w:color="auto" w:space="0" w:sz="4" w:val="single"/>
        <w:bottom w:color="auto" w:space="0" w:sz="4" w:val="single"/>
        <w:right w:color="auto" w:space="0" w:sz="4" w:val="single"/>
      </w:pBdr>
      <w:spacing w:after="100" w:afterAutospacing="1" w:before="100" w:beforeAutospacing="1"/>
      <w:textAlignment w:val="top"/>
    </w:pPr>
    <w:rPr>
      <w:rFonts w:eastAsia="Arial Unicode MS"/>
      <w:sz w:val="22"/>
      <w:szCs w:val="22"/>
    </w:rPr>
  </w:style>
  <w:style w:customStyle="1" w:styleId="xl54" w:type="paragraph">
    <w:name w:val="xl54"/>
    <w:basedOn w:val="Normal"/>
    <w:pPr>
      <w:pBdr>
        <w:top w:color="auto" w:space="0" w:sz="4" w:val="single"/>
        <w:left w:color="auto" w:space="0" w:sz="4" w:val="single"/>
        <w:bottom w:color="auto" w:space="0" w:sz="4" w:val="single"/>
        <w:right w:color="auto" w:space="0" w:sz="4" w:val="single"/>
      </w:pBdr>
      <w:spacing w:after="100" w:afterAutospacing="1" w:before="100" w:beforeAutospacing="1"/>
    </w:pPr>
    <w:rPr>
      <w:rFonts w:eastAsia="Arial Unicode MS"/>
      <w:sz w:val="22"/>
      <w:szCs w:val="22"/>
    </w:rPr>
  </w:style>
  <w:style w:customStyle="1" w:styleId="xl55" w:type="paragraph">
    <w:name w:val="xl55"/>
    <w:basedOn w:val="Normal"/>
    <w:pPr>
      <w:pBdr>
        <w:left w:color="auto" w:space="0" w:sz="4" w:val="single"/>
        <w:bottom w:color="auto" w:space="0" w:sz="4" w:val="single"/>
        <w:right w:color="auto" w:space="0" w:sz="4" w:val="single"/>
      </w:pBdr>
      <w:spacing w:after="100" w:afterAutospacing="1" w:before="100" w:beforeAutospacing="1"/>
      <w:textAlignment w:val="top"/>
    </w:pPr>
    <w:rPr>
      <w:rFonts w:eastAsia="Arial Unicode MS"/>
      <w:sz w:val="22"/>
      <w:szCs w:val="22"/>
    </w:rPr>
  </w:style>
  <w:style w:customStyle="1" w:styleId="xl56" w:type="paragraph">
    <w:name w:val="xl56"/>
    <w:basedOn w:val="Normal"/>
    <w:pPr>
      <w:pBdr>
        <w:top w:color="auto" w:space="0" w:sz="4" w:val="single"/>
        <w:left w:color="auto" w:space="0" w:sz="4" w:val="single"/>
        <w:bottom w:color="auto" w:space="0" w:sz="4" w:val="single"/>
        <w:right w:color="auto" w:space="0" w:sz="4" w:val="single"/>
      </w:pBdr>
      <w:spacing w:after="100" w:afterAutospacing="1" w:before="100" w:beforeAutospacing="1"/>
    </w:pPr>
    <w:rPr>
      <w:rFonts w:eastAsia="Arial Unicode MS"/>
      <w:sz w:val="22"/>
      <w:szCs w:val="22"/>
    </w:rPr>
  </w:style>
  <w:style w:customStyle="1" w:styleId="xl57" w:type="paragraph">
    <w:name w:val="xl57"/>
    <w:basedOn w:val="Normal"/>
    <w:pPr>
      <w:pBdr>
        <w:left w:color="auto" w:space="0" w:sz="4" w:val="single"/>
        <w:bottom w:color="auto" w:space="0" w:sz="4" w:val="single"/>
      </w:pBdr>
      <w:spacing w:after="100" w:afterAutospacing="1" w:before="100" w:beforeAutospacing="1"/>
    </w:pPr>
    <w:rPr>
      <w:rFonts w:eastAsia="Arial Unicode MS"/>
      <w:sz w:val="22"/>
      <w:szCs w:val="22"/>
    </w:rPr>
  </w:style>
  <w:style w:customStyle="1" w:styleId="xl58" w:type="paragraph">
    <w:name w:val="xl58"/>
    <w:basedOn w:val="Normal"/>
    <w:pPr>
      <w:pBdr>
        <w:top w:color="auto" w:space="0" w:sz="4" w:val="single"/>
        <w:left w:color="auto" w:space="0" w:sz="4" w:val="single"/>
        <w:bottom w:color="auto" w:space="0" w:sz="4" w:val="single"/>
      </w:pBdr>
      <w:spacing w:after="100" w:afterAutospacing="1" w:before="100" w:beforeAutospacing="1"/>
    </w:pPr>
    <w:rPr>
      <w:rFonts w:eastAsia="Arial Unicode MS"/>
      <w:sz w:val="22"/>
      <w:szCs w:val="22"/>
    </w:rPr>
  </w:style>
  <w:style w:customStyle="1" w:styleId="xl59" w:type="paragraph">
    <w:name w:val="xl59"/>
    <w:basedOn w:val="Normal"/>
    <w:pPr>
      <w:pBdr>
        <w:top w:color="auto" w:space="0" w:sz="4" w:val="single"/>
        <w:left w:color="auto" w:space="0" w:sz="4" w:val="single"/>
        <w:bottom w:color="auto" w:space="0" w:sz="4" w:val="single"/>
        <w:right w:color="auto" w:space="0" w:sz="4" w:val="single"/>
      </w:pBdr>
      <w:spacing w:after="100" w:afterAutospacing="1" w:before="100" w:beforeAutospacing="1"/>
    </w:pPr>
    <w:rPr>
      <w:rFonts w:eastAsia="Arial Unicode MS"/>
      <w:sz w:val="22"/>
      <w:szCs w:val="22"/>
    </w:rPr>
  </w:style>
  <w:style w:customStyle="1" w:styleId="xl60" w:type="paragraph">
    <w:name w:val="xl60"/>
    <w:basedOn w:val="Normal"/>
    <w:pPr>
      <w:pBdr>
        <w:left w:color="auto" w:space="0" w:sz="4" w:val="single"/>
        <w:bottom w:color="auto" w:space="0" w:sz="4" w:val="single"/>
        <w:right w:color="auto" w:space="0" w:sz="4" w:val="single"/>
      </w:pBdr>
      <w:spacing w:after="100" w:afterAutospacing="1" w:before="100" w:beforeAutospacing="1"/>
      <w:jc w:val="right"/>
      <w:textAlignment w:val="top"/>
    </w:pPr>
    <w:rPr>
      <w:rFonts w:eastAsia="Arial Unicode MS"/>
      <w:sz w:val="22"/>
      <w:szCs w:val="22"/>
    </w:rPr>
  </w:style>
  <w:style w:customStyle="1" w:styleId="xl61" w:type="paragraph">
    <w:name w:val="xl61"/>
    <w:basedOn w:val="Normal"/>
    <w:pPr>
      <w:pBdr>
        <w:top w:color="auto" w:space="0" w:sz="4" w:val="single"/>
        <w:left w:color="auto" w:space="0" w:sz="4" w:val="single"/>
        <w:bottom w:color="auto" w:space="0" w:sz="4" w:val="single"/>
        <w:right w:color="auto" w:space="0" w:sz="4" w:val="single"/>
      </w:pBdr>
      <w:spacing w:after="100" w:afterAutospacing="1" w:before="100" w:beforeAutospacing="1"/>
    </w:pPr>
    <w:rPr>
      <w:rFonts w:eastAsia="Arial Unicode MS"/>
      <w:sz w:val="22"/>
      <w:szCs w:val="22"/>
    </w:rPr>
  </w:style>
  <w:style w:customStyle="1" w:styleId="xl62" w:type="paragraph">
    <w:name w:val="xl62"/>
    <w:basedOn w:val="Normal"/>
    <w:pPr>
      <w:pBdr>
        <w:top w:color="auto" w:space="0" w:sz="4" w:val="single"/>
        <w:left w:color="auto" w:space="0" w:sz="4" w:val="single"/>
        <w:bottom w:color="auto" w:space="0" w:sz="4" w:val="single"/>
        <w:right w:color="auto" w:space="0" w:sz="4" w:val="single"/>
      </w:pBdr>
      <w:spacing w:after="100" w:afterAutospacing="1" w:before="100" w:beforeAutospacing="1"/>
      <w:jc w:val="center"/>
    </w:pPr>
    <w:rPr>
      <w:rFonts w:eastAsia="Arial Unicode MS"/>
      <w:sz w:val="22"/>
      <w:szCs w:val="22"/>
    </w:rPr>
  </w:style>
  <w:style w:customStyle="1" w:styleId="xl63" w:type="paragraph">
    <w:name w:val="xl63"/>
    <w:basedOn w:val="Normal"/>
    <w:pPr>
      <w:pBdr>
        <w:top w:color="auto" w:space="0" w:sz="4" w:val="single"/>
        <w:left w:color="auto" w:space="0" w:sz="4" w:val="single"/>
        <w:bottom w:color="auto" w:space="0" w:sz="4" w:val="single"/>
        <w:right w:color="auto" w:space="0" w:sz="4" w:val="single"/>
      </w:pBdr>
      <w:spacing w:after="100" w:afterAutospacing="1" w:before="100" w:beforeAutospacing="1"/>
    </w:pPr>
    <w:rPr>
      <w:rFonts w:eastAsia="Arial Unicode MS"/>
      <w:b/>
      <w:bCs/>
      <w:sz w:val="22"/>
      <w:szCs w:val="22"/>
    </w:rPr>
  </w:style>
  <w:style w:customStyle="1" w:styleId="xl64" w:type="paragraph">
    <w:name w:val="xl64"/>
    <w:basedOn w:val="Normal"/>
    <w:pPr>
      <w:pBdr>
        <w:left w:color="auto" w:space="0" w:sz="4" w:val="single"/>
        <w:bottom w:color="auto" w:space="0" w:sz="4" w:val="single"/>
      </w:pBdr>
      <w:spacing w:after="100" w:afterAutospacing="1" w:before="100" w:beforeAutospacing="1"/>
    </w:pPr>
    <w:rPr>
      <w:rFonts w:eastAsia="Arial Unicode MS"/>
      <w:b/>
      <w:bCs/>
      <w:sz w:val="22"/>
      <w:szCs w:val="22"/>
    </w:rPr>
  </w:style>
  <w:style w:customStyle="1" w:styleId="xl65" w:type="paragraph">
    <w:name w:val="xl65"/>
    <w:basedOn w:val="Normal"/>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top"/>
    </w:pPr>
    <w:rPr>
      <w:rFonts w:eastAsia="Arial Unicode MS"/>
      <w:sz w:val="22"/>
      <w:szCs w:val="22"/>
    </w:rPr>
  </w:style>
  <w:style w:customStyle="1" w:styleId="xl66" w:type="paragraph">
    <w:name w:val="xl66"/>
    <w:basedOn w:val="Normal"/>
    <w:pPr>
      <w:pBdr>
        <w:top w:color="auto" w:space="0" w:sz="4" w:val="single"/>
        <w:left w:color="auto" w:space="0" w:sz="4" w:val="single"/>
        <w:bottom w:color="auto" w:space="0" w:sz="4" w:val="single"/>
        <w:right w:color="auto" w:space="0" w:sz="4" w:val="single"/>
      </w:pBdr>
      <w:spacing w:after="100" w:afterAutospacing="1" w:before="100" w:beforeAutospacing="1"/>
    </w:pPr>
    <w:rPr>
      <w:rFonts w:eastAsia="Arial Unicode MS"/>
    </w:rPr>
  </w:style>
  <w:style w:customStyle="1" w:styleId="xl67" w:type="paragraph">
    <w:name w:val="xl67"/>
    <w:basedOn w:val="Normal"/>
    <w:pPr>
      <w:pBdr>
        <w:top w:color="auto" w:space="0" w:sz="4" w:val="single"/>
        <w:left w:color="auto" w:space="0" w:sz="4" w:val="single"/>
        <w:bottom w:color="auto" w:space="0" w:sz="4" w:val="single"/>
        <w:right w:color="auto" w:space="0" w:sz="4" w:val="single"/>
      </w:pBdr>
      <w:spacing w:after="100" w:afterAutospacing="1" w:before="100" w:beforeAutospacing="1"/>
      <w:textAlignment w:val="top"/>
    </w:pPr>
    <w:rPr>
      <w:rFonts w:eastAsia="Arial Unicode MS"/>
      <w:sz w:val="22"/>
      <w:szCs w:val="22"/>
    </w:rPr>
  </w:style>
  <w:style w:customStyle="1" w:styleId="xl68" w:type="paragraph">
    <w:name w:val="xl68"/>
    <w:basedOn w:val="Normal"/>
    <w:pPr>
      <w:pBdr>
        <w:left w:color="auto" w:space="0" w:sz="4" w:val="single"/>
        <w:bottom w:color="auto" w:space="0" w:sz="4" w:val="single"/>
        <w:right w:color="auto" w:space="0" w:sz="4" w:val="single"/>
      </w:pBdr>
      <w:spacing w:after="100" w:afterAutospacing="1" w:before="100" w:beforeAutospacing="1"/>
      <w:textAlignment w:val="top"/>
    </w:pPr>
    <w:rPr>
      <w:rFonts w:eastAsia="Arial Unicode MS"/>
    </w:rPr>
  </w:style>
  <w:style w:styleId="Tekstbalonia" w:type="paragraph">
    <w:name w:val="Balloon Text"/>
    <w:basedOn w:val="Normal"/>
    <w:semiHidden/>
    <w:rsid w:val="003512D9"/>
    <w:rPr>
      <w:rFonts w:ascii="Tahoma" w:cs="Tahoma" w:hAnsi="Tahoma"/>
      <w:sz w:val="16"/>
      <w:szCs w:val="16"/>
    </w:rPr>
  </w:style>
  <w:style w:styleId="Reetkatablice" w:type="table">
    <w:name w:val="Table Grid"/>
    <w:basedOn w:val="Obinatablica"/>
    <w:rsid w:val="007C5A69"/>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StandardWeb" w:type="paragraph">
    <w:name w:val="Normal (Web)"/>
    <w:basedOn w:val="Normal"/>
    <w:rsid w:val="00DC6BFE"/>
    <w:pPr>
      <w:spacing w:after="100" w:afterAutospacing="1" w:before="100" w:beforeAutospacing="1"/>
    </w:pPr>
  </w:style>
  <w:style w:customStyle="1" w:styleId="UvuenotijelotekstaChar" w:type="character">
    <w:name w:val="Uvučeno tijelo teksta Char"/>
    <w:link w:val="Uvuenotijeloteksta"/>
    <w:rsid w:val="00DC6BFE"/>
    <w:rPr>
      <w:sz w:val="24"/>
      <w:szCs w:val="24"/>
    </w:rPr>
  </w:style>
  <w:style w:styleId="Naglaeno" w:type="character">
    <w:name w:val="Strong"/>
    <w:uiPriority w:val="22"/>
    <w:qFormat/>
    <w:rsid w:val="004D3D2E"/>
    <w:rPr>
      <w:b/>
      <w:bCs/>
    </w:rPr>
  </w:style>
  <w:style w:styleId="Odlomakpopisa" w:type="paragraph">
    <w:name w:val="List Paragraph"/>
    <w:basedOn w:val="Normal"/>
    <w:uiPriority w:val="34"/>
    <w:qFormat/>
    <w:rsid w:val="00CD7B3C"/>
    <w:pPr>
      <w:ind w:left="720"/>
      <w:contextualSpacing/>
    </w:pPr>
  </w:style>
  <w:style w:customStyle="1" w:styleId="Naslov1Char" w:type="character">
    <w:name w:val="Naslov 1 Char"/>
    <w:basedOn w:val="Zadanifontodlomka"/>
    <w:link w:val="Naslov1"/>
    <w:rsid w:val="00AE3C32"/>
    <w:rPr>
      <w:b/>
      <w:bCs/>
      <w:sz w:val="24"/>
      <w:szCs w:val="24"/>
    </w:rPr>
  </w:style>
  <w:style w:customStyle="1" w:styleId="TijelotekstaChar" w:type="character">
    <w:name w:val="Tijelo teksta Char"/>
    <w:basedOn w:val="Zadanifontodlomka"/>
    <w:link w:val="Tijeloteksta"/>
    <w:rsid w:val="00AE3C32"/>
    <w:rPr>
      <w:sz w:val="24"/>
      <w:szCs w:val="24"/>
    </w:rPr>
  </w:style>
  <w:style w:styleId="Tekstrezerviranogmjesta" w:type="character">
    <w:name w:val="Placeholder Text"/>
    <w:basedOn w:val="Zadanifontodlomka"/>
    <w:uiPriority w:val="99"/>
    <w:semiHidden/>
    <w:rsid w:val="007513DD"/>
    <w:rPr>
      <w:color w:val="808080"/>
      <w:bdr w:color="auto" w:space="0" w:sz="0" w:val="none"/>
      <w:shd w:color="auto" w:fill="auto" w:val="clear"/>
    </w:rPr>
  </w:style>
  <w:style w:customStyle="1" w:styleId="eSPISCCParagraphDefaultFont" w:type="character">
    <w:name w:val="eSPIS_CC_Paragraph Default Font"/>
    <w:basedOn w:val="Zadanifontodlomka"/>
    <w:rsid w:val="007513D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513DD"/>
    <w:rPr>
      <w:bdr w:color="auto" w:space="0" w:sz="0" w:val="none"/>
      <w:shd w:color="auto" w:fill="FFFFCC" w:val="clear"/>
      <w:lang w:val="hr-HR"/>
    </w:rPr>
  </w:style>
  <w:style w:customStyle="1" w:styleId="PozadinaSvijetloCrvena" w:type="character">
    <w:name w:val="Pozadina_SvijetloCrvena"/>
    <w:basedOn w:val="eSPISCCParagraphDefaultFont"/>
    <w:rsid w:val="007513D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513D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4508751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096707399">
          <w:marLeft w:val="0"/>
          <w:marRight w:val="0"/>
          <w:marTop w:val="60"/>
          <w:marBottom w:val="0"/>
          <w:divBdr>
            <w:top w:space="0" w:sz="0" w:color="auto" w:val="none"/>
            <w:left w:space="0" w:sz="0" w:color="auto" w:val="none"/>
            <w:bottom w:space="0" w:sz="0" w:color="auto" w:val="none"/>
            <w:right w:space="0" w:sz="0" w:color="auto" w:val="none"/>
          </w:divBdr>
          <w:divsChild>
            <w:div w:id="1340964608">
              <w:marLeft w:val="0"/>
              <w:marRight w:val="0"/>
              <w:marTop w:val="0"/>
              <w:marBottom w:val="0"/>
              <w:divBdr>
                <w:top w:space="0" w:sz="0" w:color="auto" w:val="none"/>
                <w:left w:space="0" w:sz="0" w:color="auto" w:val="none"/>
                <w:bottom w:space="0" w:sz="0" w:color="auto" w:val="none"/>
                <w:right w:space="0" w:sz="0" w:color="auto" w:val="none"/>
              </w:divBdr>
              <w:divsChild>
                <w:div w:id="1278828960">
                  <w:marLeft w:val="3750"/>
                  <w:marRight w:val="0"/>
                  <w:marTop w:val="0"/>
                  <w:marBottom w:val="300"/>
                  <w:divBdr>
                    <w:top w:space="0" w:sz="0" w:color="auto" w:val="none"/>
                    <w:left w:space="0" w:sz="0" w:color="auto" w:val="none"/>
                    <w:bottom w:space="0" w:sz="0" w:color="auto" w:val="none"/>
                    <w:right w:space="0" w:sz="0" w:color="auto" w:val="none"/>
                  </w:divBdr>
                  <w:divsChild>
                    <w:div w:id="2088185497">
                      <w:marLeft w:val="0"/>
                      <w:marRight w:val="0"/>
                      <w:marTop w:val="0"/>
                      <w:marBottom w:val="0"/>
                      <w:divBdr>
                        <w:top w:space="0" w:sz="0" w:color="auto" w:val="none"/>
                        <w:left w:space="0" w:sz="0" w:color="auto" w:val="none"/>
                        <w:bottom w:space="0" w:sz="0" w:color="auto" w:val="none"/>
                        <w:right w:space="0" w:sz="0" w:color="auto" w:val="none"/>
                      </w:divBdr>
                      <w:divsChild>
                        <w:div w:id="1021204169">
                          <w:marLeft w:val="0"/>
                          <w:marRight w:val="0"/>
                          <w:marTop w:val="0"/>
                          <w:marBottom w:val="0"/>
                          <w:divBdr>
                            <w:top w:space="0" w:sz="0" w:color="auto" w:val="none"/>
                            <w:left w:space="0" w:sz="0" w:color="auto" w:val="none"/>
                            <w:bottom w:space="0" w:sz="0" w:color="auto" w:val="none"/>
                            <w:right w:space="0" w:sz="0" w:color="auto" w:val="none"/>
                          </w:divBdr>
                          <w:divsChild>
                            <w:div w:id="95905277">
                              <w:marLeft w:val="0"/>
                              <w:marRight w:val="0"/>
                              <w:marTop w:val="0"/>
                              <w:marBottom w:val="0"/>
                              <w:divBdr>
                                <w:top w:space="0" w:sz="0" w:color="auto" w:val="none"/>
                                <w:left w:space="0" w:sz="0" w:color="auto" w:val="none"/>
                                <w:bottom w:space="0" w:sz="0" w:color="auto" w:val="none"/>
                                <w:right w:space="0" w:sz="0" w:color="auto" w:val="none"/>
                              </w:divBdr>
                              <w:divsChild>
                                <w:div w:id="234046856">
                                  <w:marLeft w:val="0"/>
                                  <w:marRight w:val="0"/>
                                  <w:marTop w:val="0"/>
                                  <w:marBottom w:val="0"/>
                                  <w:divBdr>
                                    <w:top w:space="0" w:sz="0" w:color="auto" w:val="none"/>
                                    <w:left w:space="0" w:sz="0" w:color="auto" w:val="none"/>
                                    <w:bottom w:space="0" w:sz="0" w:color="auto" w:val="none"/>
                                    <w:right w:space="0" w:sz="0" w:color="auto" w:val="none"/>
                                  </w:divBdr>
                                  <w:divsChild>
                                    <w:div w:id="1693460116">
                                      <w:marLeft w:val="0"/>
                                      <w:marRight w:val="0"/>
                                      <w:marTop w:val="0"/>
                                      <w:marBottom w:val="0"/>
                                      <w:divBdr>
                                        <w:top w:space="0" w:sz="0" w:color="auto" w:val="none"/>
                                        <w:left w:space="0" w:sz="0" w:color="auto" w:val="none"/>
                                        <w:bottom w:space="0" w:sz="0" w:color="auto" w:val="none"/>
                                        <w:right w:space="0" w:sz="0" w:color="auto" w:val="none"/>
                                      </w:divBdr>
                                      <w:divsChild>
                                        <w:div w:id="1000079689">
                                          <w:marLeft w:val="0"/>
                                          <w:marRight w:val="0"/>
                                          <w:marTop w:val="0"/>
                                          <w:marBottom w:val="0"/>
                                          <w:divBdr>
                                            <w:top w:space="0" w:sz="0" w:color="auto" w:val="none"/>
                                            <w:left w:space="0" w:sz="0" w:color="auto" w:val="none"/>
                                            <w:bottom w:space="0" w:sz="0" w:color="auto" w:val="none"/>
                                            <w:right w:space="0" w:sz="0" w:color="auto" w:val="none"/>
                                          </w:divBdr>
                                          <w:divsChild>
                                            <w:div w:id="23613297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794568216">
      <w:bodyDiv w:val="true"/>
      <w:marLeft w:val="0"/>
      <w:marRight w:val="0"/>
      <w:marTop w:val="0"/>
      <w:marBottom w:val="0"/>
      <w:divBdr>
        <w:top w:space="0" w:sz="0" w:color="auto" w:val="none"/>
        <w:left w:space="0" w:sz="0" w:color="auto" w:val="none"/>
        <w:bottom w:space="0" w:sz="0" w:color="auto" w:val="none"/>
        <w:right w:space="0" w:sz="0" w:color="auto" w:val="none"/>
      </w:divBdr>
    </w:div>
    <w:div w:id="104290544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25. listopada 2018.</izvorni_sadrzaj>
    <derivirana_varijabla naziv="DomainObject.DatumDonosenjaOdluke_1">25.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116</izvorni_sadrzaj>
    <derivirana_varijabla naziv="DomainObject.Predmet.Broj_1">116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srpnja 2014.</izvorni_sadrzaj>
    <derivirana_varijabla naziv="DomainObject.Predmet.DatumOsnivanja_1">23. srpnja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St-116/2014</izvorni_sadrzaj>
    <derivirana_varijabla naziv="DomainObject.Predmet.OznakaBroj_1">St-116/2014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TOPOLA društvo s ograničenom odgovornošću za projektiranje, nadzor i građenje u stečaju</izvorni_sadrzaj>
    <derivirana_varijabla naziv="DomainObject.Predmet.ProtustrankaFormated_1">  TOPOLA društvo s ograničenom odgovornošću za projektiranje, nadzor i građenje u stečaju</derivirana_varijabla>
  </DomainObject.Predmet.ProtustrankaFormated>
  <DomainObject.Predmet.ProtustrankaFormatedOIB>
    <izvorni_sadrzaj>  TOPOLA društvo s ograničenom odgovornošću za projektiranje, nadzor i građenje u stečaju, OIB 78168323445</izvorni_sadrzaj>
    <derivirana_varijabla naziv="DomainObject.Predmet.ProtustrankaFormatedOIB_1">  TOPOLA društvo s ograničenom odgovornošću za projektiranje, nadzor i građenje u stečaju, OIB 78168323445</derivirana_varijabla>
  </DomainObject.Predmet.ProtustrankaFormatedOIB>
  <DomainObject.Predmet.ProtustrankaFormatedWithAdress>
    <izvorni_sadrzaj> TOPOLA društvo s ograničenom odgovornošću za projektiranje, nadzor i građenje u stečaju, Imotskih iseljenika 3, 21260 Imotski</izvorni_sadrzaj>
    <derivirana_varijabla naziv="DomainObject.Predmet.ProtustrankaFormatedWithAdress_1"> TOPOLA društvo s ograničenom odgovornošću za projektiranje, nadzor i građenje u stečaju, Imotskih iseljenika 3, 21260 Imotski</derivirana_varijabla>
  </DomainObject.Predmet.ProtustrankaFormatedWithAdress>
  <DomainObject.Predmet.ProtustrankaFormatedWithAdressOIB>
    <izvorni_sadrzaj> TOPOLA društvo s ograničenom odgovornošću za projektiranje, nadzor i građenje u stečaju, OIB 78168323445, Imotskih iseljenika 3, 21260 Imotski</izvorni_sadrzaj>
    <derivirana_varijabla naziv="DomainObject.Predmet.ProtustrankaFormatedWithAdressOIB_1"> TOPOLA društvo s ograničenom odgovornošću za projektiranje, nadzor i građenje u stečaju, OIB 78168323445, Imotskih iseljenika 3, 21260 Imotski</derivirana_varijabla>
  </DomainObject.Predmet.ProtustrankaFormatedWithAdressOIB>
  <DomainObject.Predmet.ProtustrankaWithAdress>
    <izvorni_sadrzaj>TOPOLA društvo s ograničenom odgovornošću za projektiranje, nadzor i građenje u stečaju Imotskih iseljenika 3, 21260 Imotski</izvorni_sadrzaj>
    <derivirana_varijabla naziv="DomainObject.Predmet.ProtustrankaWithAdress_1">TOPOLA društvo s ograničenom odgovornošću za projektiranje, nadzor i građenje u stečaju Imotskih iseljenika 3, 21260 Imotski</derivirana_varijabla>
  </DomainObject.Predmet.ProtustrankaWithAdress>
  <DomainObject.Predmet.ProtustrankaWithAdressOIB>
    <izvorni_sadrzaj>TOPOLA društvo s ograničenom odgovornošću za projektiranje, nadzor i građenje u stečaju, OIB 78168323445, Imotskih iseljenika 3, 21260 Imotski</izvorni_sadrzaj>
    <derivirana_varijabla naziv="DomainObject.Predmet.ProtustrankaWithAdressOIB_1">TOPOLA društvo s ograničenom odgovornošću za projektiranje, nadzor i građenje u stečaju, OIB 78168323445, Imotskih iseljenika 3, 21260 Imotski</derivirana_varijabla>
  </DomainObject.Predmet.ProtustrankaWithAdressOIB>
  <DomainObject.Predmet.ProtustrankaNazivFormated>
    <izvorni_sadrzaj>TOPOLA društvo s ograničenom odgovornošću za projektiranje, nadzor i građenje u stečaju</izvorni_sadrzaj>
    <derivirana_varijabla naziv="DomainObject.Predmet.ProtustrankaNazivFormated_1">TOPOLA društvo s ograničenom odgovornošću za projektiranje, nadzor i građenje u stečaju</derivirana_varijabla>
  </DomainObject.Predmet.ProtustrankaNazivFormated>
  <DomainObject.Predmet.ProtustrankaNazivFormatedOIB>
    <izvorni_sadrzaj>TOPOLA društvo s ograničenom odgovornošću za projektiranje, nadzor i građenje u stečaju, OIB 78168323445</izvorni_sadrzaj>
    <derivirana_varijabla naziv="DomainObject.Predmet.ProtustrankaNazivFormatedOIB_1">TOPOLA društvo s ograničenom odgovornošću za projektiranje, nadzor i građenje u stečaju, OIB 78168323445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112</izvorni_sadrzaj>
    <derivirana_varijabla naziv="DomainObject.Predmet.Referada.Prostorija.Oznaka_1">112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SPLIT</izvorni_sadrzaj>
    <derivirana_varijabla naziv="DomainObject.Predmet.StrankaFormated_1">  FINA SPLIT</derivirana_varijabla>
  </DomainObject.Predmet.StrankaFormated>
  <DomainObject.Predmet.StrankaFormatedOIB>
    <izvorni_sadrzaj>  FINA SPLIT, OIB 85821130368</izvorni_sadrzaj>
    <derivirana_varijabla naziv="DomainObject.Predmet.StrankaFormatedOIB_1">  FINA SPLIT, OIB 85821130368</derivirana_varijabla>
  </DomainObject.Predmet.StrankaFormatedOIB>
  <DomainObject.Predmet.StrankaFormatedWithAdress>
    <izvorni_sadrzaj> FINA SPLIT, Mažuranićevo šetalište 24b, 21000 Split</izvorni_sadrzaj>
    <derivirana_varijabla naziv="DomainObject.Predmet.StrankaFormatedWithAdress_1"> FINA SPLIT, Mažuranićevo šetalište 24b, 21000 Split</derivirana_varijabla>
  </DomainObject.Predmet.StrankaFormatedWithAdress>
  <DomainObject.Predmet.StrankaFormatedWithAdressOIB>
    <izvorni_sadrzaj> FINA SPLIT, OIB 85821130368, Mažuranićevo šetalište 24b, 21000 Split</izvorni_sadrzaj>
    <derivirana_varijabla naziv="DomainObject.Predmet.StrankaFormatedWithAdressOIB_1"> FINA SPLIT, OIB 85821130368, Mažuranićevo šetalište 24b, 21000 Split</derivirana_varijabla>
  </DomainObject.Predmet.StrankaFormatedWithAdressOIB>
  <DomainObject.Predmet.StrankaWithAdress>
    <izvorni_sadrzaj>FINA SPLIT Mažuranićevo šetalište 24b,21000 Split</izvorni_sadrzaj>
    <derivirana_varijabla naziv="DomainObject.Predmet.StrankaWithAdress_1">FINA SPLIT Mažuranićevo šetalište 24b,21000 Split</derivirana_varijabla>
  </DomainObject.Predmet.StrankaWithAdress>
  <DomainObject.Predmet.StrankaWithAdressOIB>
    <izvorni_sadrzaj>FINA SPLIT, OIB 85821130368, Mažuranićevo šetalište 24b,21000 Split</izvorni_sadrzaj>
    <derivirana_varijabla naziv="DomainObject.Predmet.StrankaWithAdressOIB_1">FINA SPLIT, OIB 85821130368, Mažuranićevo šetalište 24b,21000 Split</derivirana_varijabla>
  </DomainObject.Predmet.StrankaWithAdressOIB>
  <DomainObject.Predmet.StrankaNazivFormated>
    <izvorni_sadrzaj>FINA SPLIT</izvorni_sadrzaj>
    <derivirana_varijabla naziv="DomainObject.Predmet.StrankaNazivFormated_1">FINA SPLIT</derivirana_varijabla>
  </DomainObject.Predmet.StrankaNazivFormated>
  <DomainObject.Predmet.StrankaNazivFormatedOIB>
    <izvorni_sadrzaj>FINA SPLIT, OIB 85821130368</izvorni_sadrzaj>
    <derivirana_varijabla naziv="DomainObject.Predmet.StrankaNazivFormatedOIB_1">FINA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Ana Bosančić</izvorni_sadrzaj>
    <derivirana_varijabla naziv="DomainObject.Predmet.Zapisnicar_1">Ana Bosančić</derivirana_varijabla>
  </DomainObject.Predmet.Zapisnicar>
  <DomainObject.Predmet.StrankaListFormated>
    <izvorni_sadrzaj>
      <item>FINA SPLIT</item>
    </izvorni_sadrzaj>
    <derivirana_varijabla naziv="DomainObject.Predmet.StrankaListFormated_1">
      <item>FINA SPLIT</item>
    </derivirana_varijabla>
  </DomainObject.Predmet.StrankaListFormated>
  <DomainObject.Predmet.StrankaListFormatedOIB>
    <izvorni_sadrzaj>
      <item>FINA SPLIT, OIB 85821130368</item>
    </izvorni_sadrzaj>
    <derivirana_varijabla naziv="DomainObject.Predmet.StrankaListFormatedOIB_1">
      <item>FINA SPLIT, OIB 85821130368</item>
    </derivirana_varijabla>
  </DomainObject.Predmet.StrankaListFormatedOIB>
  <DomainObject.Predmet.StrankaListFormatedWithAdress>
    <izvorni_sadrzaj>
      <item>FINA SPLIT, Mažuranićevo šetalište 24b, 21000 Split</item>
    </izvorni_sadrzaj>
    <derivirana_varijabla naziv="DomainObject.Predmet.StrankaListFormatedWithAdress_1">
      <item>FINA SPLIT, Mažuranićevo šetalište 24b, 21000 Split</item>
    </derivirana_varijabla>
  </DomainObject.Predmet.StrankaListFormatedWithAdress>
  <DomainObject.Predmet.StrankaListFormatedWithAdressOIB>
    <izvorni_sadrzaj>
      <item>FINA SPLIT, OIB 85821130368, Mažuranićevo šetalište 24b, 21000 Split</item>
    </izvorni_sadrzaj>
    <derivirana_varijabla naziv="DomainObject.Predmet.StrankaListFormatedWithAdressOIB_1">
      <item>FINA SPLIT, OIB 85821130368, Mažuranićevo šetalište 24b, 21000 Split</item>
    </derivirana_varijabla>
  </DomainObject.Predmet.StrankaListFormatedWithAdressOIB>
  <DomainObject.Predmet.StrankaListNazivFormated>
    <izvorni_sadrzaj>
      <item>FINA SPLIT</item>
    </izvorni_sadrzaj>
    <derivirana_varijabla naziv="DomainObject.Predmet.StrankaListNazivFormated_1">
      <item>FINA SPLIT</item>
    </derivirana_varijabla>
  </DomainObject.Predmet.StrankaListNazivFormated>
  <DomainObject.Predmet.StrankaListNazivFormatedOIB>
    <izvorni_sadrzaj>
      <item>FINA SPLIT, OIB 85821130368</item>
    </izvorni_sadrzaj>
    <derivirana_varijabla naziv="DomainObject.Predmet.StrankaListNazivFormatedOIB_1">
      <item>FINA SPLIT, OIB 85821130368</item>
    </derivirana_varijabla>
  </DomainObject.Predmet.StrankaListNazivFormatedOIB>
  <DomainObject.Predmet.ProtuStrankaListFormated>
    <izvorni_sadrzaj>
      <item>TOPOLA društvo s ograničenom odgovornošću za projektiranje, nadzor i građenje u stečaju</item>
    </izvorni_sadrzaj>
    <derivirana_varijabla naziv="DomainObject.Predmet.ProtuStrankaListFormated_1">
      <item>TOPOLA društvo s ograničenom odgovornošću za projektiranje, nadzor i građenje u stečaju</item>
    </derivirana_varijabla>
  </DomainObject.Predmet.ProtuStrankaListFormated>
  <DomainObject.Predmet.ProtuStrankaListFormatedOIB>
    <izvorni_sadrzaj>
      <item>TOPOLA društvo s ograničenom odgovornošću za projektiranje, nadzor i građenje u stečaju, OIB 78168323445</item>
    </izvorni_sadrzaj>
    <derivirana_varijabla naziv="DomainObject.Predmet.ProtuStrankaListFormatedOIB_1">
      <item>TOPOLA društvo s ograničenom odgovornošću za projektiranje, nadzor i građenje u stečaju, OIB 78168323445</item>
    </derivirana_varijabla>
  </DomainObject.Predmet.ProtuStrankaListFormatedOIB>
  <DomainObject.Predmet.ProtuStrankaListFormatedWithAdress>
    <izvorni_sadrzaj>
      <item>TOPOLA društvo s ograničenom odgovornošću za projektiranje, nadzor i građenje u stečaju, Imotskih iseljenika 3, 21260 Imotski</item>
    </izvorni_sadrzaj>
    <derivirana_varijabla naziv="DomainObject.Predmet.ProtuStrankaListFormatedWithAdress_1">
      <item>TOPOLA društvo s ograničenom odgovornošću za projektiranje, nadzor i građenje u stečaju, Imotskih iseljenika 3, 21260 Imotski</item>
    </derivirana_varijabla>
  </DomainObject.Predmet.ProtuStrankaListFormatedWithAdress>
  <DomainObject.Predmet.ProtuStrankaListFormatedWithAdressOIB>
    <izvorni_sadrzaj>
      <item>TOPOLA društvo s ograničenom odgovornošću za projektiranje, nadzor i građenje u stečaju, OIB 78168323445, Imotskih iseljenika 3, 21260 Imotski</item>
    </izvorni_sadrzaj>
    <derivirana_varijabla naziv="DomainObject.Predmet.ProtuStrankaListFormatedWithAdressOIB_1">
      <item>TOPOLA društvo s ograničenom odgovornošću za projektiranje, nadzor i građenje u stečaju, OIB 78168323445, Imotskih iseljenika 3, 21260 Imotski</item>
    </derivirana_varijabla>
  </DomainObject.Predmet.ProtuStrankaListFormatedWithAdressOIB>
  <DomainObject.Predmet.ProtuStrankaListNazivFormated>
    <izvorni_sadrzaj>
      <item>TOPOLA društvo s ograničenom odgovornošću za projektiranje, nadzor i građenje u stečaju</item>
    </izvorni_sadrzaj>
    <derivirana_varijabla naziv="DomainObject.Predmet.ProtuStrankaListNazivFormated_1">
      <item>TOPOLA društvo s ograničenom odgovornošću za projektiranje, nadzor i građenje u stečaju</item>
    </derivirana_varijabla>
  </DomainObject.Predmet.ProtuStrankaListNazivFormated>
  <DomainObject.Predmet.ProtuStrankaListNazivFormatedOIB>
    <izvorni_sadrzaj>
      <item>TOPOLA društvo s ograničenom odgovornošću za projektiranje, nadzor i građenje u stečaju, OIB 78168323445</item>
    </izvorni_sadrzaj>
    <derivirana_varijabla naziv="DomainObject.Predmet.ProtuStrankaListNazivFormatedOIB_1">
      <item>TOPOLA društvo s ograničenom odgovornošću za projektiranje, nadzor i građenje u stečaju, OIB 78168323445</item>
    </derivirana_varijabla>
  </DomainObject.Predmet.ProtuStrankaListNazivFormatedOIB>
  <DomainObject.Predmet.OstaliListFormated>
    <izvorni_sadrzaj>
      <item>Draga Grabovac</item>
      <item>Toni Babić</item>
      <item>Ivan Eterović</item>
      <item>Narodne novine d.d.</item>
      <item>Županijsko državno odvjetništvo Split</item>
      <item>Porezna uprava - Ispostava Split</item>
      <item>Porezna uprava - Ispostava Imotski</item>
      <item>Trgovački sud u Splitu - Ovršna pisarnica</item>
      <item>Trgovački sud u Splitu - stečajna pisarnicas</item>
      <item>Trgovački sud u Splitu - Ured predsjednika suda</item>
      <item>Općinski sud u Splitu, SS Imtoski - ZK odjel</item>
      <item>Trgovački sud u Splitu - E-oglasna ploča</item>
    </izvorni_sadrzaj>
    <derivirana_varijabla naziv="DomainObject.Predmet.OstaliListFormated_1">
      <item>Draga Grabovac</item>
      <item>Toni Babić</item>
      <item>Ivan Eterović</item>
      <item>Narodne novine d.d.</item>
      <item>Županijsko državno odvjetništvo Split</item>
      <item>Porezna uprava - Ispostava Split</item>
      <item>Porezna uprava - Ispostava Imotski</item>
      <item>Trgovački sud u Splitu - Ovršna pisarnica</item>
      <item>Trgovački sud u Splitu - stečajna pisarnicas</item>
      <item>Trgovački sud u Splitu - Ured predsjednika suda</item>
      <item>Općinski sud u Splitu, SS Imtoski - ZK odjel</item>
      <item>Trgovački sud u Splitu - E-oglasna ploča</item>
    </derivirana_varijabla>
  </DomainObject.Predmet.OstaliListFormated>
  <DomainObject.Predmet.OstaliListFormatedOIB>
    <izvorni_sadrzaj>
      <item>Draga Grabovac, OIB 41150027067</item>
      <item>Toni Babić, OIB 09000293534</item>
      <item>Ivan Eterović, OIB 76765128473</item>
      <item>Narodne novine d.d.</item>
      <item>Županijsko državno odvjetništvo Split</item>
      <item>Porezna uprava - Ispostava Split</item>
      <item>Porezna uprava - Ispostava Imotski</item>
      <item>Trgovački sud u Splitu - Ovršna pisarnica</item>
      <item>Trgovački sud u Splitu - stečajna pisarnicas</item>
      <item>Trgovački sud u Splitu - Ured predsjednika suda</item>
      <item>Općinski sud u Splitu, SS Imtoski - ZK odjel</item>
      <item>Trgovački sud u Splitu - E-oglasna ploča</item>
    </izvorni_sadrzaj>
    <derivirana_varijabla naziv="DomainObject.Predmet.OstaliListFormatedOIB_1">
      <item>Draga Grabovac, OIB 41150027067</item>
      <item>Toni Babić, OIB 09000293534</item>
      <item>Ivan Eterović, OIB 76765128473</item>
      <item>Narodne novine d.d.</item>
      <item>Županijsko državno odvjetništvo Split</item>
      <item>Porezna uprava - Ispostava Split</item>
      <item>Porezna uprava - Ispostava Imotski</item>
      <item>Trgovački sud u Splitu - Ovršna pisarnica</item>
      <item>Trgovački sud u Splitu - stečajna pisarnicas</item>
      <item>Trgovački sud u Splitu - Ured predsjednika suda</item>
      <item>Općinski sud u Splitu, SS Imtoski - ZK odjel</item>
      <item>Trgovački sud u Splitu - E-oglasna ploča</item>
    </derivirana_varijabla>
  </DomainObject.Predmet.OstaliListFormatedOIB>
  <DomainObject.Predmet.OstaliListFormatedWithAdress>
    <izvorni_sadrzaj>
      <item>Draga Grabovac, Glavina Donja 52a, 21260 Glavina Donja</item>
      <item>Toni Babić, Gorička 12, 21000 Split</item>
      <item>Ivan Eterović, Škrape 40, 21000 Split</item>
      <item>Narodne novine d.d., Savski gaj, XIII. put 6, 10000 Zagreb</item>
      <item>Županijsko državno odvjetništvo Split, Gundulićeva 29, 21000 Split</item>
      <item>Porezna uprava - Ispostava Split, Trg Franje Tuđmana 4, 21000 Split</item>
      <item>Porezna uprava - Ispostava Imotski, A. Starčevića 23, 21260 Imotski</item>
      <item>Trgovački sud u Splitu - Ovršna pisarnica, Sukoišanska 6, 21000 Split</item>
      <item>Trgovački sud u Splitu - stečajna pisarnicas, Sukoišanska 6, 21000 Split</item>
      <item>Trgovački sud u Splitu - Ured predsjednika suda, Sukoišanska 6, 21000 Split</item>
      <item>Općinski sud u Splitu, SS Imtoski - ZK odjel, A. Starčevića 23, 21260 Imotski</item>
      <item>Trgovački sud u Splitu - E-oglasna ploča, Sukoišanska 6, 21000 Split</item>
    </izvorni_sadrzaj>
    <derivirana_varijabla naziv="DomainObject.Predmet.OstaliListFormatedWithAdress_1">
      <item>Draga Grabovac, Glavina Donja 52a, 21260 Glavina Donja</item>
      <item>Toni Babić, Gorička 12, 21000 Split</item>
      <item>Ivan Eterović, Škrape 40, 21000 Split</item>
      <item>Narodne novine d.d., Savski gaj, XIII. put 6, 10000 Zagreb</item>
      <item>Županijsko državno odvjetništvo Split, Gundulićeva 29, 21000 Split</item>
      <item>Porezna uprava - Ispostava Split, Trg Franje Tuđmana 4, 21000 Split</item>
      <item>Porezna uprava - Ispostava Imotski, A. Starčevića 23, 21260 Imotski</item>
      <item>Trgovački sud u Splitu - Ovršna pisarnica, Sukoišanska 6, 21000 Split</item>
      <item>Trgovački sud u Splitu - stečajna pisarnicas, Sukoišanska 6, 21000 Split</item>
      <item>Trgovački sud u Splitu - Ured predsjednika suda, Sukoišanska 6, 21000 Split</item>
      <item>Općinski sud u Splitu, SS Imtoski - ZK odjel, A. Starčevića 23, 21260 Imotski</item>
      <item>Trgovački sud u Splitu - E-oglasna ploča, Sukoišanska 6, 21000 Split</item>
    </derivirana_varijabla>
  </DomainObject.Predmet.OstaliListFormatedWithAdress>
  <DomainObject.Predmet.OstaliListFormatedWithAdressOIB>
    <izvorni_sadrzaj>
      <item>Draga Grabovac, OIB 41150027067, Glavina Donja 52a, 21260 Glavina Donja</item>
      <item>Toni Babić, OIB 09000293534, Gorička 12, 21000 Split</item>
      <item>Ivan Eterović, OIB 76765128473, Škrape 40, 21000 Split</item>
      <item>Narodne novine d.d., Savski gaj, XIII. put 6, 10000 Zagreb</item>
      <item>Županijsko državno odvjetništvo Split, Gundulićeva 29, 21000 Split</item>
      <item>Porezna uprava - Ispostava Split, Trg Franje Tuđmana 4, 21000 Split</item>
      <item>Porezna uprava - Ispostava Imotski, A. Starčevića 23, 21260 Imotski</item>
      <item>Trgovački sud u Splitu - Ovršna pisarnica, Sukoišanska 6, 21000 Split</item>
      <item>Trgovački sud u Splitu - stečajna pisarnicas, Sukoišanska 6, 21000 Split</item>
      <item>Trgovački sud u Splitu - Ured predsjednika suda, Sukoišanska 6, 21000 Split</item>
      <item>Općinski sud u Splitu, SS Imtoski - ZK odjel, A. Starčevića 23, 21260 Imotski</item>
      <item>Trgovački sud u Splitu - E-oglasna ploča, Sukoišanska 6, 21000 Split</item>
    </izvorni_sadrzaj>
    <derivirana_varijabla naziv="DomainObject.Predmet.OstaliListFormatedWithAdressOIB_1">
      <item>Draga Grabovac, OIB 41150027067, Glavina Donja 52a, 21260 Glavina Donja</item>
      <item>Toni Babić, OIB 09000293534, Gorička 12, 21000 Split</item>
      <item>Ivan Eterović, OIB 76765128473, Škrape 40, 21000 Split</item>
      <item>Narodne novine d.d., Savski gaj, XIII. put 6, 10000 Zagreb</item>
      <item>Županijsko državno odvjetništvo Split, Gundulićeva 29, 21000 Split</item>
      <item>Porezna uprava - Ispostava Split, Trg Franje Tuđmana 4, 21000 Split</item>
      <item>Porezna uprava - Ispostava Imotski, A. Starčevića 23, 21260 Imotski</item>
      <item>Trgovački sud u Splitu - Ovršna pisarnica, Sukoišanska 6, 21000 Split</item>
      <item>Trgovački sud u Splitu - stečajna pisarnicas, Sukoišanska 6, 21000 Split</item>
      <item>Trgovački sud u Splitu - Ured predsjednika suda, Sukoišanska 6, 21000 Split</item>
      <item>Općinski sud u Splitu, SS Imtoski - ZK odjel, A. Starčevića 23, 21260 Imotski</item>
      <item>Trgovački sud u Splitu - E-oglasna ploča, Sukoišanska 6, 21000 Split</item>
    </derivirana_varijabla>
  </DomainObject.Predmet.OstaliListFormatedWithAdressOIB>
  <DomainObject.Predmet.OstaliListNazivFormated>
    <izvorni_sadrzaj>
      <item>Draga Grabovac</item>
      <item>Toni Babić</item>
      <item>Ivan Eterović</item>
      <item>Narodne novine d.d.</item>
      <item>Županijsko državno odvjetništvo Split</item>
      <item>Porezna uprava - Ispostava Split</item>
      <item>Porezna uprava - Ispostava Imotski</item>
      <item>Trgovački sud u Splitu - Ovršna pisarnica</item>
      <item>Trgovački sud u Splitu - stečajna pisarnicas</item>
      <item>Trgovački sud u Splitu - Ured predsjednika suda</item>
      <item>Općinski sud u Splitu, SS Imtoski - ZK odjel</item>
      <item>Trgovački sud u Splitu - E-oglasna ploča</item>
    </izvorni_sadrzaj>
    <derivirana_varijabla naziv="DomainObject.Predmet.OstaliListNazivFormated_1">
      <item>Draga Grabovac</item>
      <item>Toni Babić</item>
      <item>Ivan Eterović</item>
      <item>Narodne novine d.d.</item>
      <item>Županijsko državno odvjetništvo Split</item>
      <item>Porezna uprava - Ispostava Split</item>
      <item>Porezna uprava - Ispostava Imotski</item>
      <item>Trgovački sud u Splitu - Ovršna pisarnica</item>
      <item>Trgovački sud u Splitu - stečajna pisarnicas</item>
      <item>Trgovački sud u Splitu - Ured predsjednika suda</item>
      <item>Općinski sud u Splitu, SS Imtoski - ZK odjel</item>
      <item>Trgovački sud u Splitu - E-oglasna ploča</item>
    </derivirana_varijabla>
  </DomainObject.Predmet.OstaliListNazivFormated>
  <DomainObject.Predmet.OstaliListNazivFormatedOIB>
    <izvorni_sadrzaj>
      <item>Draga Grabovac, OIB 41150027067</item>
      <item>Toni Babić, OIB 09000293534</item>
      <item>Ivan Eterović, OIB 76765128473</item>
      <item>Narodne novine d.d.</item>
      <item>Županijsko državno odvjetništvo Split</item>
      <item>Porezna uprava - Ispostava Split</item>
      <item>Porezna uprava - Ispostava Imotski</item>
      <item>Trgovački sud u Splitu - Ovršna pisarnica</item>
      <item>Trgovački sud u Splitu - stečajna pisarnicas</item>
      <item>Trgovački sud u Splitu - Ured predsjednika suda</item>
      <item>Općinski sud u Splitu, SS Imtoski - ZK odjel</item>
      <item>Trgovački sud u Splitu - E-oglasna ploča</item>
    </izvorni_sadrzaj>
    <derivirana_varijabla naziv="DomainObject.Predmet.OstaliListNazivFormatedOIB_1">
      <item>Draga Grabovac, OIB 41150027067</item>
      <item>Toni Babić, OIB 09000293534</item>
      <item>Ivan Eterović, OIB 76765128473</item>
      <item>Narodne novine d.d.</item>
      <item>Županijsko državno odvjetništvo Split</item>
      <item>Porezna uprava - Ispostava Split</item>
      <item>Porezna uprava - Ispostava Imotski</item>
      <item>Trgovački sud u Splitu - Ovršna pisarnica</item>
      <item>Trgovački sud u Splitu - stečajna pisarnicas</item>
      <item>Trgovački sud u Splitu - Ured predsjednika suda</item>
      <item>Općinski sud u Splitu, SS Imtoski - ZK odjel</item>
      <item>Trgovački sud u Splitu - E-oglasna ploča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listopada 2018.</izvorni_sadrzaj>
    <derivirana_varijabla naziv="DomainObject.Datum_1">25. listopada 2018.</derivirana_varijabla>
  </DomainObject.Datum>
  <DomainObject.PoslovniBrojDokumenta>
    <izvorni_sadrzaj/>
    <derivirana_varijabla naziv="DomainObject.PoslovniBrojDokumenta_1"/>
  </DomainObject.PoslovniBrojDokumenta>
  <DomainObject.Predmet.StrankaIDrugi>
    <izvorni_sadrzaj>FINA SPLIT</izvorni_sadrzaj>
    <derivirana_varijabla naziv="DomainObject.Predmet.StrankaIDrugi_1">FINA SPLIT</derivirana_varijabla>
  </DomainObject.Predmet.StrankaIDrugi>
  <DomainObject.Predmet.ProtustrankaIDrugi>
    <izvorni_sadrzaj>TOPOLA društvo s ograničenom odgovornošću za projektiranje, nadzor i građenje u stečaju</izvorni_sadrzaj>
    <derivirana_varijabla naziv="DomainObject.Predmet.ProtustrankaIDrugi_1">TOPOLA društvo s ograničenom odgovornošću za projektiranje, nadzor i građenje u stečaju</derivirana_varijabla>
  </DomainObject.Predmet.ProtustrankaIDrugi>
  <DomainObject.Predmet.StrankaIDrugiAdressOIB>
    <izvorni_sadrzaj>FINA SPLIT, OIB 85821130368, Mažuranićevo šetalište 24b, 21000 Split</izvorni_sadrzaj>
    <derivirana_varijabla naziv="DomainObject.Predmet.StrankaIDrugiAdressOIB_1">FINA SPLIT, OIB 85821130368, Mažuranićevo šetalište 24b, 21000 Split</derivirana_varijabla>
  </DomainObject.Predmet.StrankaIDrugiAdressOIB>
  <DomainObject.Predmet.ProtustrankaIDrugiAdressOIB>
    <izvorni_sadrzaj>TOPOLA društvo s ograničenom odgovornošću za projektiranje, nadzor i građenje u stečaju, OIB 78168323445, Imotskih iseljenika 3, 21260 Imotski</izvorni_sadrzaj>
    <derivirana_varijabla naziv="DomainObject.Predmet.ProtustrankaIDrugiAdressOIB_1">TOPOLA društvo s ograničenom odgovornošću za projektiranje, nadzor i građenje u stečaju, OIB 78168323445, Imotskih iseljenika 3, 21260 Imotski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SPLIT</item>
      <item>TOPOLA društvo s ograničenom odgovornošću za projektiranje, nadzor i građenje u stečaju</item>
      <item>Draga Grabovac</item>
      <item>Toni Babić</item>
      <item>Ivan Eterović</item>
      <item>Narodne novine d.d.</item>
      <item>Županijsko državno odvjetništvo Split</item>
      <item>Porezna uprava - Ispostava Split</item>
      <item>Porezna uprava - Ispostava Imotski</item>
      <item>Trgovački sud u Splitu - Ovršna pisarnica</item>
      <item>Trgovački sud u Splitu - stečajna pisarnicas</item>
      <item>Trgovački sud u Splitu - Ured predsjednika suda</item>
      <item>Općinski sud u Splitu, SS Imtoski - ZK odjel</item>
      <item>Trgovački sud u Splitu - E-oglasna ploča</item>
    </izvorni_sadrzaj>
    <derivirana_varijabla naziv="DomainObject.Predmet.SudioniciListNaziv_1">
      <item>FINA SPLIT</item>
      <item>TOPOLA društvo s ograničenom odgovornošću za projektiranje, nadzor i građenje u stečaju</item>
      <item>Draga Grabovac</item>
      <item>Toni Babić</item>
      <item>Ivan Eterović</item>
      <item>Narodne novine d.d.</item>
      <item>Županijsko državno odvjetništvo Split</item>
      <item>Porezna uprava - Ispostava Split</item>
      <item>Porezna uprava - Ispostava Imotski</item>
      <item>Trgovački sud u Splitu - Ovršna pisarnica</item>
      <item>Trgovački sud u Splitu - stečajna pisarnicas</item>
      <item>Trgovački sud u Splitu - Ured predsjednika suda</item>
      <item>Općinski sud u Splitu, SS Imtoski - ZK odjel</item>
      <item>Trgovački sud u Splitu - E-oglasna ploča</item>
    </derivirana_varijabla>
  </DomainObject.Predmet.SudioniciListNaziv>
  <DomainObject.Predmet.SudioniciListAdressOIB>
    <izvorni_sadrzaj>
      <item>FINA SPLIT, OIB 85821130368, Mažuranićevo šetalište 24b,21000 Split</item>
      <item>TOPOLA društvo s ograničenom odgovornošću za projektiranje, nadzor i građenje u stečaju, OIB 78168323445, Imotskih iseljenika 3,21260 Imotski</item>
      <item>Draga Grabovac, OIB 41150027067, Glavina Donja 52a,21260 Glavina Donja</item>
      <item>Toni Babić, OIB 09000293534, Gorička 12,21000 Split</item>
      <item>Ivan Eterović, OIB 76765128473, Škrape 40,21000 Split</item>
      <item>Narodne novine d.d., Savski gaj, XIII. put 6,10000 Zagreb</item>
      <item>Županijsko državno odvjetništvo Split, Gundulićeva 29,21000 Split</item>
      <item>Porezna uprava - Ispostava Split, Trg Franje Tuđmana 4,21000 Split</item>
      <item>Porezna uprava - Ispostava Imotski, A. Starčevića 23,21260 Imotski</item>
      <item>Trgovački sud u Splitu - Ovršna pisarnica, Sukoišanska 6,21000 Split</item>
      <item>Trgovački sud u Splitu - stečajna pisarnicas, Sukoišanska 6,21000 Split</item>
      <item>Trgovački sud u Splitu - Ured predsjednika suda, Sukoišanska 6,21000 Split</item>
      <item>Općinski sud u Splitu, SS Imtoski - ZK odjel, A. Starčevića 23,21260 Imotski</item>
      <item>Trgovački sud u Splitu - E-oglasna ploča, Sukoišanska 6,21000 Split</item>
    </izvorni_sadrzaj>
    <derivirana_varijabla naziv="DomainObject.Predmet.SudioniciListAdressOIB_1">
      <item>FINA SPLIT, OIB 85821130368, Mažuranićevo šetalište 24b,21000 Split</item>
      <item>TOPOLA društvo s ograničenom odgovornošću za projektiranje, nadzor i građenje u stečaju, OIB 78168323445, Imotskih iseljenika 3,21260 Imotski</item>
      <item>Draga Grabovac, OIB 41150027067, Glavina Donja 52a,21260 Glavina Donja</item>
      <item>Toni Babić, OIB 09000293534, Gorička 12,21000 Split</item>
      <item>Ivan Eterović, OIB 76765128473, Škrape 40,21000 Split</item>
      <item>Narodne novine d.d., Savski gaj, XIII. put 6,10000 Zagreb</item>
      <item>Županijsko državno odvjetništvo Split, Gundulićeva 29,21000 Split</item>
      <item>Porezna uprava - Ispostava Split, Trg Franje Tuđmana 4,21000 Split</item>
      <item>Porezna uprava - Ispostava Imotski, A. Starčevića 23,21260 Imotski</item>
      <item>Trgovački sud u Splitu - Ovršna pisarnica, Sukoišanska 6,21000 Split</item>
      <item>Trgovački sud u Splitu - stečajna pisarnicas, Sukoišanska 6,21000 Split</item>
      <item>Trgovački sud u Splitu - Ured predsjednika suda, Sukoišanska 6,21000 Split</item>
      <item>Općinski sud u Splitu, SS Imtoski - ZK odjel, A. Starčevića 23,21260 Imotski</item>
      <item>Trgovački sud u Splitu - E-oglasna ploča, Sukoišanska 6,21000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78168323445</item>
      <item>, OIB 41150027067</item>
      <item>, OIB 09000293534</item>
      <item>, OIB 76765128473</item>
      <item>, OIB null</item>
      <item>, OIB null</item>
      <item>, OIB null</item>
      <item>, OIB null</item>
      <item>, OIB null</item>
      <item>, OIB null</item>
      <item>, OIB null</item>
      <item>, OIB null</item>
      <item>, OIB null</item>
    </izvorni_sadrzaj>
    <derivirana_varijabla naziv="DomainObject.Predmet.SudioniciListNazivOIB_1">
      <item>, OIB 85821130368</item>
      <item>, OIB 78168323445</item>
      <item>, OIB 41150027067</item>
      <item>, OIB 09000293534</item>
      <item>, OIB 76765128473</item>
      <item>, OIB null</item>
      <item>, OIB null</item>
      <item>, OIB null</item>
      <item>, OIB null</item>
      <item>, OIB null</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 Eterović, OIB 76765128473, Škrape 40 Split</item>
    </izvorni_sadrzaj>
    <derivirana_varijabla naziv="DomainObject.Predmet.StecajniUpraviteljiListAddressOIB_1">
      <item>Ivan Eterović, OIB 76765128473, Škrape 40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18. rujna 2018.</izvorni_sadrzaj>
    <derivirana_varijabla naziv="DomainObject.Predmet.DatumZadnjeOdrzaneSudskeRadnje_1">18. rujna 2018.</derivirana_varijabla>
  </DomainObject.Predmet.DatumZadnjeOdrzaneSudskeRadnje>
  <DomainObject.PredzadnjaOdlukaIzPredmeta.DatumDonosenjaOdluke>
    <izvorni_sadrzaj>24. svibnja 2018.</izvorni_sadrzaj>
    <derivirana_varijabla naziv="DomainObject.PredzadnjaOdlukaIzPredmeta.DatumDonosenjaOdluke_1">24. svibnja 2018.</derivirana_varijabla>
  </DomainObject.PredzadnjaOdlukaIzPredmeta.DatumDonosenjaOdluke>
  <DomainObject.PredzadnjaOdlukaIzPredmeta.Oznaka>
    <izvorni_sadrzaj>St-116/2014-82</izvorni_sadrzaj>
    <derivirana_varijabla naziv="DomainObject.PredzadnjaOdlukaIzPredmeta.Oznaka_1">St-116/2014-82</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06CFF04-B8FA-4F46-BEA7-B2957D99596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Split</properties:Company>
  <properties:Pages>5</properties:Pages>
  <properties:Words>1690</properties:Words>
  <properties:Characters>9518</properties:Characters>
  <properties:Lines>182</properties:Lines>
  <properties:Paragraphs>74</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11172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2018-10-25T07:14:00Z</dcterms:created>
  <dc:creator>Trgovački sud Split</dc:creator>
  <cp:lastModifiedBy>Ana Golub Gruić</cp:lastModifiedBy>
  <cp:lastPrinted>2018-10-25T08:34:00Z</cp:lastPrinted>
  <dcterms:modified xmlns:xsi="http://www.w3.org/2001/XMLSchema-instance" xsi:type="dcterms:W3CDTF">2018-10-25T08:34:00Z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 namirenju (St-116-2014 Topola - rješenje o namirenju.docx)</vt:lpwstr>
  </prop:property>
  <prop:property name="CC_coloring" pid="4" fmtid="{D5CDD505-2E9C-101B-9397-08002B2CF9AE}">
    <vt:bool>false</vt:bool>
  </prop:property>
  <prop:property name="BrojStranica" pid="5" fmtid="{D5CDD505-2E9C-101B-9397-08002B2CF9AE}">
    <vt:i4>5</vt:i4>
  </prop:property>
</prop:Properties>
</file>