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096c" w14:paraId="2ec096c" w:rsidRDefault="00DF1ACF" w:rsidP="00DF1ACF" w:rsidR="00DF1ACF" w:rsidRPr="00DF1ACF">
      <w:pPr>
        <w:spacing w:lineRule="auto" w:line="240" w:after="0"/>
        <w:jc w:val="center"/>
        <w15:collapsed w:val="false"/>
        <w:rPr>
          <w:rFonts w:cs="Times New Roman" w:eastAsia="Times New Roman" w:hAnsi="Times New Roman" w:ascii="Times New Roman"/>
          <w:color w:val="333333"/>
          <w:sz w:val="24"/>
          <w:szCs w:val="24"/>
        </w:rPr>
      </w:pPr>
      <w:bookmarkStart w:name="_GoBack" w:id="0"/>
      <w:bookmarkEnd w:id="0"/>
      <w:r w:rsidRPr="00DF1ACF">
        <w:rPr>
          <w:rFonts w:cs="Times New Roman" w:eastAsia="Times New Roman" w:hAnsi="Times New Roman" w:ascii="Times New Roman"/>
          <w:color w:val="333333"/>
          <w:sz w:val="24"/>
          <w:szCs w:val="24"/>
        </w:rPr>
        <w:t> </w:t>
      </w:r>
    </w:p>
    <w:p w:rsidRDefault="00500175" w:rsidP="00500175" w:rsidR="00DF1ACF" w:rsidRPr="00DF1ACF">
      <w:pPr>
        <w:spacing w:lineRule="atLeast" w:line="324" w:after="0"/>
        <w:rPr>
          <w:rFonts w:cs="Times New Roman" w:eastAsia="Times New Roman" w:hAnsi="Times New Roman" w:ascii="Times New Roman"/>
          <w:b/>
          <w:bCs/>
          <w:color w:val="444444"/>
          <w:sz w:val="24"/>
          <w:szCs w:val="24"/>
        </w:rPr>
      </w:pPr>
      <w:r>
        <w:rPr>
          <w:rFonts w:cs="Times New Roman" w:eastAsia="Times New Roman" w:hAnsi="Times New Roman" w:ascii="Times New Roman"/>
          <w:b/>
          <w:bCs/>
          <w:color w:val="444444"/>
          <w:sz w:val="24"/>
          <w:szCs w:val="24"/>
        </w:rPr>
        <w:t xml:space="preserve">                      </w:t>
      </w:r>
      <w:r>
        <w:rPr>
          <w:noProof/>
        </w:rPr>
        <w:drawing>
          <wp:inline distR="0" distL="0" distB="0" distT="0">
            <wp:extent cy="726440" cx="54356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43560"/>
                    </a:xfrm>
                    <a:prstGeom prst="rect">
                      <a:avLst/>
                    </a:prstGeom>
                    <a:noFill/>
                    <a:ln>
                      <a:noFill/>
                    </a:ln>
                  </pic:spPr>
                </pic:pic>
              </a:graphicData>
            </a:graphic>
          </wp:inline>
        </w:drawing>
      </w:r>
      <w:r w:rsidR="00DF1ACF" w:rsidRPr="00DF1ACF">
        <w:rPr>
          <w:rFonts w:cs="Times New Roman" w:eastAsia="Times New Roman" w:hAnsi="Times New Roman" w:ascii="Times New Roman"/>
          <w:b/>
          <w:bCs/>
          <w:noProof/>
          <w:color w:val="444444"/>
          <w:sz w:val="24"/>
          <w:szCs w:val="24"/>
        </w:rPr>
        <w:drawing>
          <wp:inline distR="0" distL="0" distB="0" distT="0">
            <wp:extent cy="7620" cx="7620"/>
            <wp:effectExtent b="0" r="0" t="0" l="0"/>
            <wp:docPr descr="https://mail.google.com/mail/u/0/images/cleardot.gif" name="Slika 5" id="5"/>
            <wp:cNvGraphicFramePr>
              <a:graphicFrameLocks noChangeAspect="true"/>
            </wp:cNvGraphicFramePr>
            <a:graphic>
              <a:graphicData uri="http://schemas.openxmlformats.org/drawingml/2006/picture">
                <pic:pic>
                  <pic:nvPicPr>
                    <pic:cNvPr descr="https://mail.google.com/mail/u/0/images/cleardot.gif" name="Picture 5" id="0"/>
                    <pic:cNvPicPr>
                      <a:picLocks noChangeArrowheads="true" noChangeAspect="true"/>
                    </pic:cNvPicPr>
                  </pic:nvPicPr>
                  <pic:blipFill>
                    <a:blip r:embed="rId11"/>
                    <a:srcRect/>
                    <a:stretch>
                      <a:fillRect/>
                    </a:stretch>
                  </pic:blipFill>
                  <pic:spPr bwMode="auto">
                    <a:xfrm>
                      <a:off y="0" x="0"/>
                      <a:ext cy="7620" cx="7620"/>
                    </a:xfrm>
                    <a:prstGeom prst="rect">
                      <a:avLst/>
                    </a:prstGeom>
                    <a:noFill/>
                    <a:ln w="9525">
                      <a:noFill/>
                      <a:miter lim="800000"/>
                      <a:headEnd/>
                      <a:tailEnd/>
                    </a:ln>
                  </pic:spPr>
                </pic:pic>
              </a:graphicData>
            </a:graphic>
          </wp:inline>
        </w:drawing>
      </w:r>
    </w:p>
    <w:p w:rsidRDefault="00DF1ACF" w:rsidP="00DF1ACF" w:rsidR="00DF1ACF" w:rsidRPr="00DF1ACF">
      <w:pPr>
        <w:spacing w:lineRule="atLeast" w:line="324" w:after="0"/>
        <w:jc w:val="center"/>
        <w:rPr>
          <w:rFonts w:cs="Times New Roman" w:eastAsia="Times New Roman" w:hAnsi="Times New Roman" w:ascii="Times New Roman"/>
          <w:b/>
          <w:bCs/>
          <w:color w:val="444444"/>
          <w:sz w:val="24"/>
          <w:szCs w:val="24"/>
        </w:rPr>
      </w:pPr>
      <w:r w:rsidRPr="00DF1ACF">
        <w:rPr>
          <w:rFonts w:cs="Times New Roman" w:eastAsia="Times New Roman" w:hAnsi="Times New Roman" w:ascii="Times New Roman"/>
          <w:b/>
          <w:bCs/>
          <w:color w:val="444444"/>
          <w:sz w:val="24"/>
          <w:szCs w:val="24"/>
        </w:rPr>
        <w:t> </w:t>
      </w:r>
      <w:r w:rsidRPr="00DF1ACF">
        <w:rPr>
          <w:rFonts w:cs="Times New Roman" w:eastAsia="Times New Roman" w:hAnsi="Times New Roman" w:ascii="Times New Roman"/>
          <w:b/>
          <w:bCs/>
          <w:noProof/>
          <w:color w:val="444444"/>
          <w:sz w:val="24"/>
          <w:szCs w:val="24"/>
        </w:rPr>
        <w:drawing>
          <wp:inline distR="0" distL="0" distB="0" distT="0">
            <wp:extent cy="7620" cx="7620"/>
            <wp:effectExtent b="0" r="0" t="0" l="0"/>
            <wp:docPr descr="https://mail.google.com/mail/u/0/images/cleardot.gif" name="Slika 6" id="6"/>
            <wp:cNvGraphicFramePr>
              <a:graphicFrameLocks noChangeAspect="true"/>
            </wp:cNvGraphicFramePr>
            <a:graphic>
              <a:graphicData uri="http://schemas.openxmlformats.org/drawingml/2006/picture">
                <pic:pic>
                  <pic:nvPicPr>
                    <pic:cNvPr descr="https://mail.google.com/mail/u/0/images/cleardot.gif" name="Picture 6" id="0"/>
                    <pic:cNvPicPr>
                      <a:picLocks noChangeArrowheads="true" noChangeAspect="true"/>
                    </pic:cNvPicPr>
                  </pic:nvPicPr>
                  <pic:blipFill>
                    <a:blip r:embed="rId11"/>
                    <a:srcRect/>
                    <a:stretch>
                      <a:fillRect/>
                    </a:stretch>
                  </pic:blipFill>
                  <pic:spPr bwMode="auto">
                    <a:xfrm>
                      <a:off y="0" x="0"/>
                      <a:ext cy="7620" cx="7620"/>
                    </a:xfrm>
                    <a:prstGeom prst="rect">
                      <a:avLst/>
                    </a:prstGeom>
                    <a:noFill/>
                    <a:ln w="9525">
                      <a:noFill/>
                      <a:miter lim="800000"/>
                      <a:headEnd/>
                      <a:tailEnd/>
                    </a:ln>
                  </pic:spPr>
                </pic:pic>
              </a:graphicData>
            </a:graphic>
          </wp:inline>
        </w:drawing>
      </w:r>
    </w:p>
    <w:tbl>
      <w:tblPr>
        <w:tblW w:type="dxa" w:w="11279"/>
        <w:tblInd w:type="dxa" w:w="284"/>
        <w:tblLayout w:type="fixed"/>
        <w:tblCellMar>
          <w:left w:type="dxa" w:w="0"/>
          <w:right w:type="dxa" w:w="0"/>
        </w:tblCellMar>
        <w:tblLook w:val="04A0" w:noVBand="1" w:noHBand="0" w:lastColumn="0" w:firstColumn="1" w:lastRow="0" w:firstRow="1"/>
      </w:tblPr>
      <w:tblGrid>
        <w:gridCol w:w="5061"/>
        <w:gridCol w:w="3727"/>
        <w:gridCol w:w="1981"/>
        <w:gridCol w:w="510"/>
      </w:tblGrid>
      <w:tr w:rsidTr="005D6B82" w:rsidR="00DF1ACF" w:rsidRPr="00DF1ACF">
        <w:trPr>
          <w:trHeight w:val="1200"/>
        </w:trPr>
        <w:tc>
          <w:tcPr>
            <w:tcW w:type="dxa" w:w="8788"/>
            <w:gridSpan w:val="2"/>
            <w:shd w:fill="FFFFFF" w:color="auto" w:val="clear"/>
            <w:hideMark/>
          </w:tcPr>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REPUBLIKA HRVATSKA</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TRGOVAČKI SUD U OSIJEKU</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STALNA SLUŽBA U SLAVONSKOM BRODU          </w:t>
            </w:r>
            <w:r w:rsidR="00500175">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3 St-907/2013-</w:t>
            </w:r>
            <w:r w:rsidR="00872F6B">
              <w:rPr>
                <w:rFonts w:cs="Times New Roman" w:eastAsia="Times New Roman" w:hAnsi="Times New Roman" w:ascii="Times New Roman"/>
                <w:color w:val="222222"/>
                <w:sz w:val="24"/>
                <w:szCs w:val="24"/>
              </w:rPr>
              <w:t>146</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Trg pobjede 13</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35000 Slavonski Brod</w:t>
            </w:r>
          </w:p>
          <w:p w:rsidRDefault="00DF1ACF" w:rsidP="00500175" w:rsidR="00500175">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500175" w:rsidP="00500175" w:rsidR="00500175">
            <w:pPr>
              <w:spacing w:lineRule="auto" w:line="240" w:after="0"/>
              <w:jc w:val="center"/>
              <w:rPr>
                <w:rFonts w:cs="Times New Roman" w:eastAsia="Times New Roman" w:hAnsi="Times New Roman" w:ascii="Times New Roman"/>
                <w:b/>
                <w:color w:val="222222"/>
                <w:sz w:val="24"/>
                <w:szCs w:val="24"/>
              </w:rPr>
            </w:pPr>
          </w:p>
          <w:p w:rsidRDefault="00500175" w:rsidP="00500175" w:rsidR="00500175">
            <w:pPr>
              <w:spacing w:lineRule="auto" w:line="240" w:after="0"/>
              <w:jc w:val="center"/>
              <w:rPr>
                <w:rFonts w:cs="Times New Roman" w:eastAsia="Times New Roman" w:hAnsi="Times New Roman" w:ascii="Times New Roman"/>
                <w:b/>
                <w:color w:val="222222"/>
                <w:sz w:val="24"/>
                <w:szCs w:val="24"/>
              </w:rPr>
            </w:pPr>
            <w:r>
              <w:rPr>
                <w:rFonts w:cs="Times New Roman" w:eastAsia="Times New Roman" w:hAnsi="Times New Roman" w:ascii="Times New Roman"/>
                <w:b/>
                <w:color w:val="222222"/>
                <w:sz w:val="24"/>
                <w:szCs w:val="24"/>
              </w:rPr>
              <w:t>R E P U B L I K A  H R V A T S K A</w:t>
            </w:r>
          </w:p>
          <w:p w:rsidRDefault="00481182" w:rsidP="00500175" w:rsidR="00481182">
            <w:pPr>
              <w:spacing w:lineRule="auto" w:line="240" w:after="0"/>
              <w:jc w:val="center"/>
              <w:rPr>
                <w:rFonts w:cs="Times New Roman" w:eastAsia="Times New Roman" w:hAnsi="Times New Roman" w:ascii="Times New Roman"/>
                <w:b/>
                <w:color w:val="222222"/>
                <w:sz w:val="24"/>
                <w:szCs w:val="24"/>
              </w:rPr>
            </w:pPr>
          </w:p>
          <w:p w:rsidRDefault="00DF1ACF" w:rsidP="00500175" w:rsidR="00DF1ACF" w:rsidRPr="00500175">
            <w:pPr>
              <w:spacing w:lineRule="auto" w:line="240" w:after="0"/>
              <w:jc w:val="center"/>
              <w:rPr>
                <w:rFonts w:cs="Times New Roman" w:eastAsia="Times New Roman" w:hAnsi="Times New Roman" w:ascii="Times New Roman"/>
                <w:b/>
                <w:color w:val="222222"/>
                <w:sz w:val="24"/>
                <w:szCs w:val="24"/>
              </w:rPr>
            </w:pPr>
            <w:r w:rsidRPr="00500175">
              <w:rPr>
                <w:rFonts w:cs="Times New Roman" w:eastAsia="Times New Roman" w:hAnsi="Times New Roman" w:ascii="Times New Roman"/>
                <w:b/>
                <w:color w:val="222222"/>
                <w:sz w:val="24"/>
                <w:szCs w:val="24"/>
              </w:rPr>
              <w:t>R J E Š E NJ E </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p>
          <w:p w:rsidRDefault="00DF1ACF" w:rsidP="00703FF7" w:rsid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TRGOVAČKI SUD U OSIJEKU STALNA SLUŽBA U SLAVONSKOM BRODU, po stečajnoj sutkinji Danieli Martini Maoduš, u postupku stečaja nad stečajnim dužnikom IDEAL d.o.o. Požega, Novi Štitnjak 22A, Požega, OIB: </w:t>
            </w:r>
            <w:hyperlink r:id="rId12" w:history="true" w:tgtFrame="_blank">
              <w:r w:rsidRPr="00DF1ACF">
                <w:rPr>
                  <w:rFonts w:cs="Times New Roman" w:eastAsia="Times New Roman" w:hAnsi="Times New Roman" w:ascii="Times New Roman"/>
                  <w:color w:val="222222"/>
                  <w:sz w:val="24"/>
                  <w:szCs w:val="24"/>
                </w:rPr>
                <w:t>15023528049</w:t>
              </w:r>
            </w:hyperlink>
            <w:r w:rsidRPr="00DF1ACF">
              <w:rPr>
                <w:rFonts w:cs="Times New Roman" w:eastAsia="Times New Roman" w:hAnsi="Times New Roman" w:ascii="Times New Roman"/>
                <w:color w:val="222222"/>
                <w:sz w:val="24"/>
                <w:szCs w:val="24"/>
              </w:rPr>
              <w:t xml:space="preserve">, zastupano po stečajnoj upraviteljici Almi Opačak, </w:t>
            </w:r>
            <w:r w:rsidR="008E0103">
              <w:rPr>
                <w:rFonts w:cs="Times New Roman" w:eastAsia="Times New Roman" w:hAnsi="Times New Roman" w:ascii="Times New Roman"/>
                <w:color w:val="222222"/>
                <w:sz w:val="24"/>
                <w:szCs w:val="24"/>
              </w:rPr>
              <w:t>2. svibnja 20</w:t>
            </w:r>
            <w:r w:rsidR="001C7CEF">
              <w:rPr>
                <w:rFonts w:cs="Times New Roman" w:eastAsia="Times New Roman" w:hAnsi="Times New Roman" w:ascii="Times New Roman"/>
                <w:color w:val="222222"/>
                <w:sz w:val="24"/>
                <w:szCs w:val="24"/>
              </w:rPr>
              <w:t>1</w:t>
            </w:r>
            <w:r w:rsidR="008E0103">
              <w:rPr>
                <w:rFonts w:cs="Times New Roman" w:eastAsia="Times New Roman" w:hAnsi="Times New Roman" w:ascii="Times New Roman"/>
                <w:color w:val="222222"/>
                <w:sz w:val="24"/>
                <w:szCs w:val="24"/>
              </w:rPr>
              <w:t>8.</w:t>
            </w:r>
          </w:p>
          <w:p w:rsidRDefault="00500175" w:rsidP="00703FF7" w:rsidR="00500175">
            <w:pPr>
              <w:spacing w:lineRule="auto" w:line="240" w:after="0"/>
              <w:ind w:firstLine="708"/>
              <w:jc w:val="both"/>
              <w:rPr>
                <w:rFonts w:cs="Times New Roman" w:eastAsia="Times New Roman" w:hAnsi="Times New Roman" w:ascii="Times New Roman"/>
                <w:color w:val="222222"/>
                <w:sz w:val="24"/>
                <w:szCs w:val="24"/>
              </w:rPr>
            </w:pPr>
          </w:p>
          <w:p w:rsidRDefault="00500175" w:rsidP="00500175" w:rsidR="00500175" w:rsidRPr="00DF1ACF">
            <w:pPr>
              <w:spacing w:lineRule="auto" w:line="240" w:after="0"/>
              <w:ind w:firstLine="708"/>
              <w:jc w:val="center"/>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r i j e š i o   j e</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6C4460" w:rsidR="006C4460" w:rsidRPr="006C4460">
            <w:pPr>
              <w:spacing w:lineRule="atLeast" w:line="202" w:after="0"/>
              <w:jc w:val="both"/>
              <w:rPr>
                <w:rFonts w:cs="Times New Roman" w:eastAsia="Times New Roman" w:hAnsi="Times New Roman" w:ascii="Times New Roman"/>
                <w:color w:val="222222"/>
                <w:sz w:val="24"/>
                <w:szCs w:val="24"/>
              </w:rPr>
            </w:pPr>
            <w:r w:rsidRPr="006C4460">
              <w:rPr>
                <w:rFonts w:cs="Times New Roman" w:eastAsia="Times New Roman" w:hAnsi="Times New Roman" w:ascii="Times New Roman"/>
                <w:color w:val="222222"/>
                <w:sz w:val="24"/>
                <w:szCs w:val="24"/>
              </w:rPr>
              <w:t xml:space="preserve">Odbija se </w:t>
            </w:r>
            <w:r w:rsidR="006C4460">
              <w:rPr>
                <w:rFonts w:cs="Times New Roman" w:eastAsia="Times New Roman" w:hAnsi="Times New Roman" w:ascii="Times New Roman"/>
                <w:color w:val="222222"/>
                <w:sz w:val="24"/>
                <w:szCs w:val="24"/>
              </w:rPr>
              <w:t xml:space="preserve">stečajni vjerovnik </w:t>
            </w:r>
            <w:r w:rsidRPr="006C4460">
              <w:rPr>
                <w:rFonts w:cs="Times New Roman" w:eastAsia="Times New Roman" w:hAnsi="Times New Roman" w:ascii="Times New Roman"/>
                <w:color w:val="222222"/>
                <w:sz w:val="24"/>
                <w:szCs w:val="24"/>
              </w:rPr>
              <w:t>HILDING ANDERS d.o.o., Prelog,</w:t>
            </w:r>
            <w:r w:rsidR="00500175" w:rsidRPr="006C4460">
              <w:rPr>
                <w:rFonts w:cs="Times New Roman" w:eastAsia="Times New Roman" w:hAnsi="Times New Roman" w:ascii="Times New Roman"/>
                <w:color w:val="222222"/>
                <w:sz w:val="24"/>
                <w:szCs w:val="24"/>
              </w:rPr>
              <w:t xml:space="preserve"> kao pravni slijednik HESPO  d.o.</w:t>
            </w:r>
            <w:r w:rsidRPr="006C4460">
              <w:rPr>
                <w:rFonts w:cs="Times New Roman" w:eastAsia="Times New Roman" w:hAnsi="Times New Roman" w:ascii="Times New Roman"/>
                <w:color w:val="222222"/>
                <w:sz w:val="24"/>
                <w:szCs w:val="24"/>
              </w:rPr>
              <w:t>o.</w:t>
            </w:r>
            <w:r w:rsidR="00500175" w:rsidRPr="006C4460">
              <w:rPr>
                <w:rFonts w:cs="Times New Roman" w:eastAsia="Times New Roman" w:hAnsi="Times New Roman" w:ascii="Times New Roman"/>
                <w:color w:val="222222"/>
                <w:sz w:val="24"/>
                <w:szCs w:val="24"/>
              </w:rPr>
              <w:t>,</w:t>
            </w:r>
            <w:r w:rsidRPr="006C4460">
              <w:rPr>
                <w:rFonts w:cs="Times New Roman" w:eastAsia="Times New Roman" w:hAnsi="Times New Roman" w:ascii="Times New Roman"/>
                <w:color w:val="222222"/>
                <w:sz w:val="24"/>
                <w:szCs w:val="24"/>
              </w:rPr>
              <w:t xml:space="preserve"> Prelog, zastupan po  odvjetnicima iz OD Golubić i pa</w:t>
            </w:r>
            <w:r w:rsidR="006C4460" w:rsidRPr="006C4460">
              <w:rPr>
                <w:rFonts w:cs="Times New Roman" w:eastAsia="Times New Roman" w:hAnsi="Times New Roman" w:ascii="Times New Roman"/>
                <w:color w:val="222222"/>
                <w:sz w:val="24"/>
                <w:szCs w:val="24"/>
              </w:rPr>
              <w:t>rtneri, Zagreb, Amruševa 13,  s</w:t>
            </w:r>
            <w:r w:rsidRPr="006C4460">
              <w:rPr>
                <w:rFonts w:cs="Times New Roman" w:eastAsia="Times New Roman" w:hAnsi="Times New Roman" w:ascii="Times New Roman"/>
                <w:color w:val="222222"/>
                <w:sz w:val="24"/>
                <w:szCs w:val="24"/>
              </w:rPr>
              <w:t xml:space="preserve"> prigovorom </w:t>
            </w:r>
            <w:r w:rsidR="006C4460" w:rsidRPr="006C4460">
              <w:rPr>
                <w:rFonts w:cs="Times New Roman" w:eastAsia="Times New Roman" w:hAnsi="Times New Roman" w:ascii="Times New Roman"/>
                <w:color w:val="222222"/>
                <w:sz w:val="24"/>
                <w:szCs w:val="24"/>
              </w:rPr>
              <w:t>na završni diobni popis.</w:t>
            </w:r>
          </w:p>
          <w:p w:rsidRDefault="006C4460" w:rsidP="006C4460" w:rsidR="006C4460">
            <w:pPr>
              <w:spacing w:lineRule="atLeast" w:line="202" w:after="0"/>
              <w:jc w:val="both"/>
              <w:rPr>
                <w:rFonts w:cs="Times New Roman" w:eastAsia="Times New Roman" w:hAnsi="Times New Roman" w:ascii="Times New Roman"/>
                <w:color w:val="222222"/>
                <w:sz w:val="24"/>
                <w:szCs w:val="24"/>
              </w:rPr>
            </w:pPr>
          </w:p>
          <w:p w:rsidRDefault="00DF1ACF" w:rsidP="00703FF7" w:rsidR="00DF1ACF" w:rsidRPr="00DF1ACF">
            <w:pPr>
              <w:spacing w:lineRule="atLeast" w:line="202" w:after="0"/>
              <w:ind w:left="682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00175" w:rsidR="00DF1ACF" w:rsidRPr="00DF1ACF">
            <w:pPr>
              <w:spacing w:lineRule="auto" w:line="240" w:after="0"/>
              <w:ind w:firstLine="708"/>
              <w:jc w:val="center"/>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Obrazloženje</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6C4460" w:rsidR="006C4460">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U ovoj pravnoj stvari </w:t>
            </w:r>
            <w:r w:rsidR="006C4460">
              <w:rPr>
                <w:rFonts w:cs="Times New Roman" w:eastAsia="Times New Roman" w:hAnsi="Times New Roman" w:ascii="Times New Roman"/>
                <w:color w:val="222222"/>
                <w:sz w:val="24"/>
                <w:szCs w:val="24"/>
              </w:rPr>
              <w:t>prodana je imovina stečajnog dužnika te je steč. upraviteljica dostavila ovom sudu prijedlog završne diobe i završni račun, a sud je dana 13. veljače 2018. godine donio rješenje broj: 3/St-907/2013-132 kojim je utvrdio da je ispitan i potvrđen završni račun dostavljen ovom sudu dana 12. veljače 2018. te da se daje suglasnost na završni diobni popis prema kojem se vjerovnik I. višeg isplatnog reda Republika Hrvatska namiruje u 100%-tnom iznosu, a vjerovnici II. višeg isplatnog reda namiruju se u 7,80%-tnom iznosu.</w:t>
            </w:r>
          </w:p>
          <w:p w:rsidRDefault="006C4460" w:rsidP="006C4460" w:rsidR="006C4460">
            <w:pPr>
              <w:spacing w:lineRule="auto" w:line="240" w:after="0"/>
              <w:ind w:firstLine="708"/>
              <w:jc w:val="both"/>
              <w:rPr>
                <w:rFonts w:cs="Times New Roman" w:eastAsia="Times New Roman" w:hAnsi="Times New Roman" w:ascii="Times New Roman"/>
                <w:color w:val="222222"/>
                <w:sz w:val="24"/>
                <w:szCs w:val="24"/>
              </w:rPr>
            </w:pPr>
          </w:p>
          <w:p w:rsidRDefault="006C4460" w:rsidP="006C4460" w:rsidR="006C4460">
            <w:pPr>
              <w:spacing w:lineRule="auto" w:line="240" w:after="0"/>
              <w:ind w:firstLine="708"/>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Na ovo rješenje suda steč. vjerovnik </w:t>
            </w:r>
            <w:r w:rsidRPr="006C4460">
              <w:rPr>
                <w:rFonts w:cs="Times New Roman" w:eastAsia="Times New Roman" w:hAnsi="Times New Roman" w:ascii="Times New Roman"/>
                <w:color w:val="222222"/>
                <w:sz w:val="24"/>
                <w:szCs w:val="24"/>
              </w:rPr>
              <w:t>HILDING ANDERS d.o.o., Prelog</w:t>
            </w:r>
            <w:r>
              <w:rPr>
                <w:rFonts w:cs="Times New Roman" w:eastAsia="Times New Roman" w:hAnsi="Times New Roman" w:ascii="Times New Roman"/>
                <w:color w:val="222222"/>
                <w:sz w:val="24"/>
                <w:szCs w:val="24"/>
              </w:rPr>
              <w:t xml:space="preserve"> uložio je žalbu, odnosno uložio je prigovor na završni diobni popis navodeći da s</w:t>
            </w:r>
            <w:r w:rsidR="00D623E8">
              <w:rPr>
                <w:rFonts w:cs="Times New Roman" w:eastAsia="Times New Roman" w:hAnsi="Times New Roman" w:ascii="Times New Roman"/>
                <w:color w:val="222222"/>
                <w:sz w:val="24"/>
                <w:szCs w:val="24"/>
              </w:rPr>
              <w:t xml:space="preserve">matra da je steč. upraviteljica uskratila naplatu istom vjerovniku iz raspoloživog iznosa stečajne mase jer je navela da se isti vjerovnik ima namiriti u 0,00%. Proizlazi iz spisa da je taj steč. vjerovnik imao i status razlučnog vjerovnika te da je namiren prodajom stvari pod razlučnom pravom iz kupoprodajne cijene u iznosu od </w:t>
            </w:r>
            <w:r w:rsidR="00E72F75">
              <w:rPr>
                <w:rFonts w:cs="Times New Roman" w:eastAsia="Times New Roman" w:hAnsi="Times New Roman" w:ascii="Times New Roman"/>
                <w:color w:val="222222"/>
                <w:sz w:val="24"/>
                <w:szCs w:val="24"/>
              </w:rPr>
              <w:t>132.503,97 kn (kako proizlazi iz pravomoćnog rješenja o namirenju), a da nije namiren iz predmeta razlučnog prava za iznos od 110.476,57 kn, a da smatra da bi trebao sudjelovati u namirenju kao vjerovnik II. višeg isplatnog reda na način da mu se završnim diobnim popisom prizna za taj nenamireni iznos namirenje u jednakom postotnom iznosu kao i drugim vjerovnicima II. višeg isplatnog reda.</w:t>
            </w:r>
          </w:p>
          <w:p w:rsidRDefault="00E72F75" w:rsidP="006C4460" w:rsidR="00E72F75">
            <w:pPr>
              <w:spacing w:lineRule="auto" w:line="240" w:after="0"/>
              <w:ind w:firstLine="708"/>
              <w:jc w:val="both"/>
              <w:rPr>
                <w:rFonts w:cs="Times New Roman" w:eastAsia="Times New Roman" w:hAnsi="Times New Roman" w:ascii="Times New Roman"/>
                <w:color w:val="222222"/>
                <w:sz w:val="24"/>
                <w:szCs w:val="24"/>
              </w:rPr>
            </w:pPr>
          </w:p>
          <w:p w:rsidRDefault="00E72F75" w:rsidP="006C4460" w:rsidR="00E72F75">
            <w:pPr>
              <w:spacing w:lineRule="auto" w:line="240" w:after="0"/>
              <w:ind w:firstLine="708"/>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lastRenderedPageBreak/>
              <w:t xml:space="preserve">Iz obrazloženja završnog diobnog popisa proizlazi da je taj razlučni vjerovnik koji je istovremeno i steč. vjerovnik II. višeg isplatnog reda namiren iz predmeta razlučnog prava u znatno višem iznosu od 7,80% s kojim iznosom prema završnom diobnom popisu treba namiriti tražbine vjerovnika II. višeg isplatnog reda. Iz toga razloga je steč. upraviteljica smatrala da treba izostaviti toga steč. vjerovnika iz završnog diobnog popisa na način da je naznačila da se istom neće ništa isplatiti po završnom diobnom popisu. </w:t>
            </w:r>
          </w:p>
          <w:p w:rsidRDefault="00E72F75" w:rsidP="006C4460" w:rsidR="00E72F75">
            <w:pPr>
              <w:spacing w:lineRule="auto" w:line="240" w:after="0"/>
              <w:ind w:firstLine="708"/>
              <w:jc w:val="both"/>
              <w:rPr>
                <w:rFonts w:cs="Times New Roman" w:eastAsia="Times New Roman" w:hAnsi="Times New Roman" w:ascii="Times New Roman"/>
                <w:color w:val="222222"/>
                <w:sz w:val="24"/>
                <w:szCs w:val="24"/>
              </w:rPr>
            </w:pPr>
          </w:p>
          <w:p w:rsidRDefault="00E72F75" w:rsidP="006C4460" w:rsidR="00E72F75">
            <w:pPr>
              <w:spacing w:lineRule="auto" w:line="240" w:after="0"/>
              <w:ind w:firstLine="708"/>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Razlučno pravo je pravo na prioritetno namirenje prije ostalih steč. vjerovnika na stvari pod razlučnim pravom i ne daje pravo razlučnom vjerovniku koji je istovremeno i steč. vjerovnik da se namiri posebno po razlučnom pravu, a posebno kao vjerovnik višeg isplatnog reda.</w:t>
            </w:r>
          </w:p>
          <w:p w:rsidRDefault="00E72F75" w:rsidP="006C4460" w:rsidR="00E72F75">
            <w:pPr>
              <w:spacing w:lineRule="auto" w:line="240" w:after="0"/>
              <w:ind w:firstLine="708"/>
              <w:jc w:val="both"/>
              <w:rPr>
                <w:rFonts w:cs="Times New Roman" w:eastAsia="Times New Roman" w:hAnsi="Times New Roman" w:ascii="Times New Roman"/>
                <w:color w:val="222222"/>
                <w:sz w:val="24"/>
                <w:szCs w:val="24"/>
              </w:rPr>
            </w:pPr>
          </w:p>
          <w:p w:rsidRDefault="00E72F75" w:rsidP="006C4460" w:rsidR="00E72F75">
            <w:pPr>
              <w:spacing w:lineRule="auto" w:line="240" w:after="0"/>
              <w:ind w:firstLine="708"/>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Samo u slučaju ako bi se utvrdilo da je nakon namirenja iz predmeta razlučnog prava, razlučni vjerovnik  djelomično namiren u manjem iznosu od iznosa od kojeg se mogu namiriti ostali  vjerovnici, odnosno višeg isplatnog reda, istom treba priznati pravo da se za razliku između iznosa namirenja i iznosa do kojeg se namiruju i ostali razlučni vjerovnici namiri prema završnom diobnom popisu, a što nije slučaj s stečajnim vjerovnikom Hilding Anders d.o.o. </w:t>
            </w:r>
          </w:p>
          <w:p w:rsidRDefault="00D27EBA" w:rsidP="006C4460" w:rsidR="00D27EBA">
            <w:pPr>
              <w:spacing w:lineRule="auto" w:line="240" w:after="0"/>
              <w:ind w:firstLine="708"/>
              <w:jc w:val="both"/>
              <w:rPr>
                <w:rFonts w:cs="Times New Roman" w:eastAsia="Times New Roman" w:hAnsi="Times New Roman" w:ascii="Times New Roman"/>
                <w:color w:val="222222"/>
                <w:sz w:val="24"/>
                <w:szCs w:val="24"/>
              </w:rPr>
            </w:pPr>
          </w:p>
          <w:p w:rsidRDefault="00D27EBA" w:rsidP="00D27EBA" w:rsidR="00D27EBA">
            <w:pPr>
              <w:jc w:val="both"/>
            </w:pPr>
            <w:r>
              <w:rPr>
                <w:rFonts w:cs="Times New Roman" w:eastAsia="Times New Roman" w:hAnsi="Times New Roman" w:ascii="Times New Roman"/>
                <w:color w:val="222222"/>
                <w:sz w:val="24"/>
                <w:szCs w:val="24"/>
              </w:rPr>
              <w:t xml:space="preserve">Da se je Hilding Anders d.o.o. namirivao samo kao stečajni vjerovnik sa svojom tražbinom od 223.345,57 kn, bio bi namiren zajedno s ostalim vjerovnicima II. višeg isplatnog reda prema postotku od 7,80 % u iznosu od 17.420,95 kn, a kako je utvrđeno da je on već namiren s znatno većim iznosom od 112.869,00 kn, odlučeno je kao u izreci te je prigovor na završni diobni popis odbijen po čl. 70. st. 2., 84., 190. i 193. st. 3. i 4. </w:t>
            </w:r>
            <w:r w:rsidRPr="00D27EBA">
              <w:rPr>
                <w:rFonts w:cs="Times New Roman" w:hAnsi="Times New Roman" w:ascii="Times New Roman"/>
                <w:sz w:val="24"/>
                <w:szCs w:val="24"/>
              </w:rPr>
              <w:t>Stečaj</w:t>
            </w:r>
            <w:r>
              <w:rPr>
                <w:rFonts w:cs="Times New Roman" w:hAnsi="Times New Roman" w:ascii="Times New Roman"/>
                <w:sz w:val="24"/>
                <w:szCs w:val="24"/>
              </w:rPr>
              <w:t>noga</w:t>
            </w:r>
            <w:r w:rsidRPr="00D27EBA">
              <w:rPr>
                <w:rFonts w:cs="Times New Roman" w:hAnsi="Times New Roman" w:ascii="Times New Roman"/>
                <w:sz w:val="24"/>
                <w:szCs w:val="24"/>
              </w:rPr>
              <w:t xml:space="preserve"> zakon</w:t>
            </w:r>
            <w:r>
              <w:rPr>
                <w:rFonts w:cs="Times New Roman" w:hAnsi="Times New Roman" w:ascii="Times New Roman"/>
                <w:sz w:val="24"/>
                <w:szCs w:val="24"/>
              </w:rPr>
              <w:t>a</w:t>
            </w:r>
            <w:r w:rsidRPr="00D27EBA">
              <w:rPr>
                <w:rFonts w:cs="Times New Roman" w:hAnsi="Times New Roman" w:ascii="Times New Roman"/>
                <w:sz w:val="24"/>
                <w:szCs w:val="24"/>
              </w:rPr>
              <w:t xml:space="preserve"> (NN 44/96, 161/98, 29/99, 129/00, 123/03, 197/03, 187/04, 82/06, 116/10, 25/12 i 133/12)</w:t>
            </w:r>
            <w:r>
              <w:rPr>
                <w:rFonts w:cs="Times New Roman" w:hAnsi="Times New Roman" w:ascii="Times New Roman"/>
                <w:sz w:val="24"/>
                <w:szCs w:val="24"/>
              </w:rPr>
              <w:t>.</w:t>
            </w:r>
          </w:p>
          <w:p w:rsidRDefault="005D6B82" w:rsidP="005D6B82"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w:t>
            </w:r>
            <w:r w:rsidR="00DF1ACF" w:rsidRPr="00DF1ACF">
              <w:rPr>
                <w:rFonts w:cs="Times New Roman" w:eastAsia="Times New Roman" w:hAnsi="Times New Roman" w:ascii="Times New Roman"/>
                <w:color w:val="222222"/>
                <w:sz w:val="24"/>
                <w:szCs w:val="24"/>
              </w:rPr>
              <w:t>                                                    </w:t>
            </w:r>
          </w:p>
          <w:p w:rsidRDefault="00DF1ACF" w:rsidP="005D6B82"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U Slavonskom Brodu  </w:t>
            </w:r>
            <w:r w:rsidR="00D27EBA">
              <w:rPr>
                <w:rFonts w:cs="Times New Roman" w:eastAsia="Times New Roman" w:hAnsi="Times New Roman" w:ascii="Times New Roman"/>
                <w:color w:val="222222"/>
                <w:sz w:val="24"/>
                <w:szCs w:val="24"/>
              </w:rPr>
              <w:t>2. svibnja 2018.</w:t>
            </w:r>
            <w:r w:rsidRPr="00DF1ACF">
              <w:rPr>
                <w:rFonts w:cs="Times New Roman" w:eastAsia="Times New Roman" w:hAnsi="Times New Roman" w:ascii="Times New Roman"/>
                <w:color w:val="222222"/>
                <w:sz w:val="24"/>
                <w:szCs w:val="24"/>
              </w:rPr>
              <w:t xml:space="preserve">     </w:t>
            </w:r>
          </w:p>
          <w:p w:rsidRDefault="00DF1ACF" w:rsidP="005D6B82"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   </w:t>
            </w:r>
          </w:p>
          <w:p w:rsidRDefault="00DF1ACF" w:rsidP="005D6B82"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                                                                                       </w:t>
            </w:r>
            <w:r w:rsidR="005E5E18">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xml:space="preserve"> Stečajna sutkinja:</w:t>
            </w:r>
          </w:p>
          <w:p w:rsidRDefault="00DF1ACF" w:rsidP="005D6B82" w:rsidR="00DF1ACF" w:rsidRPr="00DF1ACF">
            <w:pPr>
              <w:spacing w:lineRule="auto" w:line="240" w:after="0"/>
              <w:ind w:left="682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D6B82"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                                                                                     </w:t>
            </w:r>
            <w:r w:rsidR="005E5E18">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Daniela Martini Maoduš</w:t>
            </w:r>
          </w:p>
          <w:p w:rsidRDefault="00DF1ACF" w:rsidP="00703FF7" w:rsidR="00DF1ACF" w:rsidRPr="00481182">
            <w:pPr>
              <w:spacing w:lineRule="auto" w:line="240" w:after="0"/>
              <w:jc w:val="both"/>
              <w:rPr>
                <w:rFonts w:cs="Times New Roman" w:eastAsia="Times New Roman" w:hAnsi="Times New Roman" w:ascii="Times New Roman"/>
                <w:sz w:val="16"/>
                <w:szCs w:val="16"/>
              </w:rPr>
            </w:pPr>
          </w:p>
          <w:p w:rsidRDefault="00481182" w:rsidP="00481182" w:rsidR="00481182" w:rsidRPr="005D6B82">
            <w:pPr>
              <w:spacing w:lineRule="auto" w:line="240"/>
              <w:rPr>
                <w:rFonts w:cs="Times New Roman" w:hAnsi="Times New Roman" w:ascii="Times New Roman"/>
                <w:sz w:val="20"/>
                <w:szCs w:val="20"/>
              </w:rPr>
            </w:pPr>
            <w:r w:rsidRPr="005D6B82">
              <w:rPr>
                <w:rFonts w:cs="Times New Roman" w:hAnsi="Times New Roman" w:ascii="Times New Roman"/>
                <w:sz w:val="20"/>
                <w:szCs w:val="20"/>
              </w:rPr>
              <w:t>NAPUTAK O PRAVNOM  LIJEKU:</w:t>
            </w:r>
          </w:p>
          <w:p w:rsidRDefault="00481182" w:rsidP="00481182" w:rsidR="00481182" w:rsidRPr="005D6B82">
            <w:pPr>
              <w:spacing w:lineRule="auto" w:line="240"/>
              <w:rPr>
                <w:rFonts w:cs="Times New Roman" w:hAnsi="Times New Roman" w:ascii="Times New Roman"/>
                <w:sz w:val="20"/>
                <w:szCs w:val="20"/>
              </w:rPr>
            </w:pPr>
            <w:r w:rsidRPr="005D6B82">
              <w:rPr>
                <w:rFonts w:cs="Times New Roman" w:hAnsi="Times New Roman" w:ascii="Times New Roman"/>
                <w:sz w:val="20"/>
                <w:szCs w:val="20"/>
              </w:rPr>
              <w:t xml:space="preserve">Protiv ovog rješenja može  se izjaviti žalba u roku od 8 </w:t>
            </w:r>
            <w:r w:rsidR="005D6B82" w:rsidRPr="005D6B82">
              <w:rPr>
                <w:rFonts w:cs="Times New Roman" w:hAnsi="Times New Roman" w:ascii="Times New Roman"/>
                <w:sz w:val="20"/>
                <w:szCs w:val="20"/>
              </w:rPr>
              <w:t xml:space="preserve">dana od dana dostave rješenja, </w:t>
            </w:r>
            <w:r w:rsidRPr="005D6B82">
              <w:rPr>
                <w:rFonts w:cs="Times New Roman" w:hAnsi="Times New Roman" w:ascii="Times New Roman"/>
                <w:sz w:val="20"/>
                <w:szCs w:val="20"/>
              </w:rPr>
              <w:t>a dostava se smatra obavljenom istekom 8 dana od dana objave rješenja na mrežnoj stanici e-Oglasna ploča sudova.</w:t>
            </w:r>
            <w:r w:rsidR="005D6B82" w:rsidRPr="005D6B82">
              <w:rPr>
                <w:rFonts w:cs="Times New Roman" w:hAnsi="Times New Roman" w:ascii="Times New Roman"/>
                <w:sz w:val="20"/>
                <w:szCs w:val="20"/>
              </w:rPr>
              <w:t xml:space="preserve"> </w:t>
            </w:r>
            <w:r w:rsidRPr="005D6B82">
              <w:rPr>
                <w:rFonts w:cs="Times New Roman" w:hAnsi="Times New Roman" w:ascii="Times New Roman"/>
                <w:sz w:val="20"/>
                <w:szCs w:val="20"/>
              </w:rPr>
              <w:t>Žalba se upućuje Trgovačkom sudu u Osijeku Stalna služba u Slav.Brodu u tri primjerka, a o žalbi odlučuje Visoki trgovački sud RH Zagreb.</w:t>
            </w:r>
            <w:r w:rsidR="00D27EBA">
              <w:rPr>
                <w:rFonts w:cs="Times New Roman" w:hAnsi="Times New Roman" w:ascii="Times New Roman"/>
                <w:sz w:val="20"/>
                <w:szCs w:val="20"/>
              </w:rPr>
              <w:t xml:space="preserve"> Pravo žalbe ima stečajni vjerovnik Hilding Anders d.o.o.</w:t>
            </w:r>
          </w:p>
          <w:p w:rsidRDefault="00DF1ACF" w:rsidP="00703FF7" w:rsidR="00DF1ACF">
            <w:pPr>
              <w:spacing w:lineRule="auto" w:line="240" w:after="0"/>
              <w:jc w:val="both"/>
              <w:rPr>
                <w:rFonts w:cs="Times New Roman" w:eastAsia="Times New Roman" w:hAnsi="Times New Roman" w:ascii="Times New Roman"/>
                <w:color w:val="222222"/>
                <w:sz w:val="24"/>
                <w:szCs w:val="24"/>
              </w:rPr>
            </w:pPr>
          </w:p>
          <w:p w:rsidRDefault="00481182" w:rsidP="00703FF7" w:rsidR="00481182">
            <w:pPr>
              <w:spacing w:lineRule="auto" w:line="240" w:after="0"/>
              <w:jc w:val="both"/>
              <w:rPr>
                <w:rFonts w:cs="Times New Roman" w:eastAsia="Times New Roman" w:hAnsi="Times New Roman" w:ascii="Times New Roman"/>
                <w:color w:val="222222"/>
                <w:sz w:val="24"/>
                <w:szCs w:val="24"/>
              </w:rPr>
            </w:pPr>
          </w:p>
          <w:p w:rsidRDefault="00481182" w:rsidP="00703FF7" w:rsidR="00481182" w:rsidRPr="00DF1ACF">
            <w:pPr>
              <w:spacing w:lineRule="auto" w:line="240" w:after="0"/>
              <w:jc w:val="both"/>
              <w:rPr>
                <w:rFonts w:cs="Times New Roman" w:eastAsia="Times New Roman" w:hAnsi="Times New Roman" w:ascii="Times New Roman"/>
                <w:color w:val="222222"/>
                <w:sz w:val="24"/>
                <w:szCs w:val="24"/>
              </w:rPr>
            </w:pP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p>
          <w:p w:rsidRDefault="00DF1ACF" w:rsidP="00703FF7" w:rsidR="000B5EC1">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Dostaviti: -pun. Golubić i partneri</w:t>
            </w:r>
            <w:r w:rsidR="00D27EBA">
              <w:rPr>
                <w:rFonts w:cs="Times New Roman" w:eastAsia="Times New Roman" w:hAnsi="Times New Roman" w:ascii="Times New Roman"/>
                <w:color w:val="222222"/>
                <w:sz w:val="24"/>
                <w:szCs w:val="24"/>
              </w:rPr>
              <w:t xml:space="preserve"> (pun.) i steč. upraviteljici-</w:t>
            </w:r>
            <w:r w:rsidR="000B5EC1">
              <w:rPr>
                <w:rFonts w:cs="Times New Roman" w:eastAsia="Times New Roman" w:hAnsi="Times New Roman" w:ascii="Times New Roman"/>
                <w:color w:val="222222"/>
                <w:sz w:val="24"/>
                <w:szCs w:val="24"/>
              </w:rPr>
              <w:t>na eOglasna ploča suda</w:t>
            </w:r>
          </w:p>
          <w:p w:rsidRDefault="000B5EC1" w:rsidP="00D27EBA"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kalendar 17 dana</w:t>
            </w:r>
          </w:p>
        </w:tc>
        <w:tc>
          <w:tcPr>
            <w:tcW w:type="dxa" w:w="1981"/>
            <w:shd w:fill="FFFFFF" w:color="auto" w:val="clear"/>
            <w:hideMark/>
          </w:tcPr>
          <w:p w:rsidRDefault="00DF1ACF" w:rsidP="00703FF7" w:rsidR="00DF1ACF" w:rsidRPr="00DF1ACF">
            <w:pPr>
              <w:spacing w:lineRule="auto" w:line="240" w:after="0"/>
              <w:ind w:hanging="1272" w:left="1272"/>
              <w:rPr>
                <w:rFonts w:cs="Times New Roman" w:eastAsia="Times New Roman" w:hAnsi="Times New Roman" w:ascii="Times New Roman"/>
                <w:sz w:val="24"/>
                <w:szCs w:val="24"/>
              </w:rPr>
            </w:pPr>
          </w:p>
        </w:tc>
        <w:tc>
          <w:tcPr>
            <w:tcW w:type="dxa" w:w="510"/>
            <w:shd w:fill="FFFFFF" w:color="auto" w:val="clear"/>
            <w:hideMark/>
          </w:tcPr>
          <w:p w:rsidRDefault="00DF1ACF" w:rsidP="00703FF7" w:rsidR="00DF1ACF" w:rsidRPr="00DF1ACF">
            <w:pPr>
              <w:spacing w:lineRule="auto" w:line="240" w:after="96"/>
              <w:jc w:val="center"/>
              <w:rPr>
                <w:rFonts w:cs="Times New Roman" w:eastAsia="Times New Roman" w:hAnsi="Times New Roman" w:ascii="Times New Roman"/>
                <w:color w:val="1155CC"/>
                <w:sz w:val="24"/>
                <w:szCs w:val="24"/>
              </w:rPr>
            </w:pPr>
          </w:p>
        </w:tc>
      </w:tr>
      <w:tr w:rsidTr="005D6B82" w:rsidR="00DF1ACF" w:rsidRPr="00DF1ACF">
        <w:trPr>
          <w:gridAfter w:val="1"/>
          <w:wAfter w:type="dxa" w:w="510"/>
        </w:trPr>
        <w:tc>
          <w:tcPr>
            <w:tcW w:type="dxa" w:w="5061"/>
            <w:vAlign w:val="center"/>
            <w:hideMark/>
          </w:tcPr>
          <w:p w:rsidRDefault="00DF1ACF" w:rsidP="00703FF7" w:rsidR="00DF1ACF" w:rsidRPr="00DF1ACF">
            <w:pPr>
              <w:spacing w:lineRule="auto" w:line="240" w:afterAutospacing="true" w:after="100" w:beforeAutospacing="true" w:before="100"/>
              <w:outlineLvl w:val="1"/>
              <w:rPr>
                <w:rFonts w:cs="Times New Roman" w:eastAsia="Times New Roman" w:hAnsi="Times New Roman" w:ascii="Times New Roman"/>
                <w:b/>
                <w:bCs/>
                <w:color w:val="FFFFFF"/>
                <w:sz w:val="24"/>
                <w:szCs w:val="24"/>
              </w:rPr>
            </w:pPr>
            <w:r w:rsidRPr="00DF1ACF">
              <w:rPr>
                <w:rFonts w:cs="Times New Roman" w:eastAsia="Times New Roman" w:hAnsi="Times New Roman" w:ascii="Times New Roman"/>
                <w:b/>
                <w:bCs/>
                <w:color w:val="FFFFFF"/>
                <w:sz w:val="24"/>
                <w:szCs w:val="24"/>
              </w:rPr>
              <w:lastRenderedPageBreak/>
              <w:t>Nova poruka:</w:t>
            </w:r>
          </w:p>
          <w:p w:rsidRDefault="00DF1ACF" w:rsidP="00703FF7" w:rsidR="00DF1ACF" w:rsidRPr="00DF1ACF">
            <w:pPr>
              <w:spacing w:lineRule="auto" w:line="240" w:afterAutospacing="true" w:after="100" w:beforeAutospacing="true" w:before="100"/>
              <w:outlineLvl w:val="1"/>
              <w:rPr>
                <w:rFonts w:cs="Times New Roman" w:eastAsia="Times New Roman" w:hAnsi="Times New Roman" w:ascii="Times New Roman"/>
                <w:b/>
                <w:bCs/>
                <w:color w:val="FFFFFF"/>
                <w:sz w:val="24"/>
                <w:szCs w:val="24"/>
              </w:rPr>
            </w:pPr>
            <w:r w:rsidRPr="00DF1ACF">
              <w:rPr>
                <w:rFonts w:cs="Times New Roman" w:eastAsia="Times New Roman" w:hAnsi="Times New Roman" w:ascii="Times New Roman"/>
                <w:b/>
                <w:bCs/>
                <w:color w:val="FFFFFF"/>
                <w:sz w:val="24"/>
                <w:szCs w:val="24"/>
              </w:rPr>
              <w:t>Nova poruka</w:t>
            </w:r>
          </w:p>
        </w:tc>
        <w:tc>
          <w:tcPr>
            <w:tcW w:type="dxa" w:w="5708"/>
            <w:gridSpan w:val="2"/>
            <w:noWrap/>
            <w:vAlign w:val="center"/>
            <w:hideMark/>
          </w:tcPr>
          <w:p w:rsidRDefault="00DF1ACF" w:rsidP="00703FF7" w:rsidR="00DF1ACF" w:rsidRPr="00DF1ACF">
            <w:pPr>
              <w:spacing w:lineRule="auto" w:line="240" w:after="0"/>
              <w:jc w:val="right"/>
              <w:rPr>
                <w:rFonts w:cs="Times New Roman" w:eastAsia="Times New Roman" w:hAnsi="Times New Roman" w:ascii="Times New Roman"/>
                <w:sz w:val="24"/>
                <w:szCs w:val="24"/>
              </w:rPr>
            </w:pPr>
            <w:r w:rsidRPr="00DF1ACF">
              <w:rPr>
                <w:rFonts w:cs="Times New Roman" w:eastAsia="Times New Roman" w:hAnsi="Times New Roman" w:ascii="Times New Roman"/>
                <w:noProof/>
                <w:sz w:val="24"/>
                <w:szCs w:val="24"/>
              </w:rPr>
              <w:drawing>
                <wp:inline distR="0" distL="0" distB="0" distT="0">
                  <wp:extent cy="7620" cx="7620"/>
                  <wp:effectExtent b="0" r="0" t="0" l="0"/>
                  <wp:docPr descr="Minimiziraj" name=":lp" id="17"/>
                  <wp:cNvGraphicFramePr>
                    <a:graphicFrameLocks noChangeAspect="true"/>
                  </wp:cNvGraphicFramePr>
                  <a:graphic>
                    <a:graphicData uri="http://schemas.openxmlformats.org/drawingml/2006/picture">
                      <pic:pic>
                        <pic:nvPicPr>
                          <pic:cNvPr descr="Minimiziraj" name=":lp" id="0"/>
                          <pic:cNvPicPr>
                            <a:picLocks noChangeArrowheads="true" noChangeAspect="true"/>
                          </pic:cNvPicPr>
                        </pic:nvPicPr>
                        <pic:blipFill>
                          <a:blip r:embed="rId11"/>
                          <a:srcRect/>
                          <a:stretch>
                            <a:fillRect/>
                          </a:stretch>
                        </pic:blipFill>
                        <pic:spPr bwMode="auto">
                          <a:xfrm>
                            <a:off y="0" x="0"/>
                            <a:ext cy="7620" cx="7620"/>
                          </a:xfrm>
                          <a:prstGeom prst="rect">
                            <a:avLst/>
                          </a:prstGeom>
                          <a:noFill/>
                          <a:ln w="9525">
                            <a:noFill/>
                            <a:miter lim="800000"/>
                            <a:headEnd/>
                            <a:tailEnd/>
                          </a:ln>
                        </pic:spPr>
                      </pic:pic>
                    </a:graphicData>
                  </a:graphic>
                </wp:inline>
              </w:drawing>
            </w:r>
            <w:r w:rsidRPr="00DF1ACF">
              <w:rPr>
                <w:rFonts w:cs="Times New Roman" w:eastAsia="Times New Roman" w:hAnsi="Times New Roman" w:ascii="Times New Roman"/>
                <w:noProof/>
                <w:sz w:val="24"/>
                <w:szCs w:val="24"/>
              </w:rPr>
              <w:drawing>
                <wp:inline distR="0" distL="0" distB="0" distT="0">
                  <wp:extent cy="7620" cx="7620"/>
                  <wp:effectExtent b="0" r="0" t="0" l="0"/>
                  <wp:docPr descr="Povećaj prozor" name=":lo" id="18"/>
                  <wp:cNvGraphicFramePr>
                    <a:graphicFrameLocks noChangeAspect="true"/>
                  </wp:cNvGraphicFramePr>
                  <a:graphic>
                    <a:graphicData uri="http://schemas.openxmlformats.org/drawingml/2006/picture">
                      <pic:pic>
                        <pic:nvPicPr>
                          <pic:cNvPr descr="Povećaj prozor" name=":lo" id="0"/>
                          <pic:cNvPicPr>
                            <a:picLocks noChangeArrowheads="true" noChangeAspect="true"/>
                          </pic:cNvPicPr>
                        </pic:nvPicPr>
                        <pic:blipFill>
                          <a:blip r:embed="rId11"/>
                          <a:srcRect/>
                          <a:stretch>
                            <a:fillRect/>
                          </a:stretch>
                        </pic:blipFill>
                        <pic:spPr bwMode="auto">
                          <a:xfrm>
                            <a:off y="0" x="0"/>
                            <a:ext cy="7620" cx="7620"/>
                          </a:xfrm>
                          <a:prstGeom prst="rect">
                            <a:avLst/>
                          </a:prstGeom>
                          <a:noFill/>
                          <a:ln w="9525">
                            <a:noFill/>
                            <a:miter lim="800000"/>
                            <a:headEnd/>
                            <a:tailEnd/>
                          </a:ln>
                        </pic:spPr>
                      </pic:pic>
                    </a:graphicData>
                  </a:graphic>
                </wp:inline>
              </w:drawing>
            </w:r>
            <w:r w:rsidRPr="00DF1ACF">
              <w:rPr>
                <w:rFonts w:cs="Times New Roman" w:eastAsia="Times New Roman" w:hAnsi="Times New Roman" w:ascii="Times New Roman"/>
                <w:noProof/>
                <w:sz w:val="24"/>
                <w:szCs w:val="24"/>
              </w:rPr>
              <w:drawing>
                <wp:inline distR="0" distL="0" distB="0" distT="0">
                  <wp:extent cy="7620" cx="7620"/>
                  <wp:effectExtent b="0" r="0" t="0" l="0"/>
                  <wp:docPr descr="Zatvori" name=":ln" id="19"/>
                  <wp:cNvGraphicFramePr>
                    <a:graphicFrameLocks noChangeAspect="true"/>
                  </wp:cNvGraphicFramePr>
                  <a:graphic>
                    <a:graphicData uri="http://schemas.openxmlformats.org/drawingml/2006/picture">
                      <pic:pic>
                        <pic:nvPicPr>
                          <pic:cNvPr descr="Zatvori" name=":ln" id="0"/>
                          <pic:cNvPicPr>
                            <a:picLocks noChangeArrowheads="true" noChangeAspect="true"/>
                          </pic:cNvPicPr>
                        </pic:nvPicPr>
                        <pic:blipFill>
                          <a:blip r:embed="rId11"/>
                          <a:srcRect/>
                          <a:stretch>
                            <a:fillRect/>
                          </a:stretch>
                        </pic:blipFill>
                        <pic:spPr bwMode="auto">
                          <a:xfrm>
                            <a:off y="0" x="0"/>
                            <a:ext cy="7620" cx="7620"/>
                          </a:xfrm>
                          <a:prstGeom prst="rect">
                            <a:avLst/>
                          </a:prstGeom>
                          <a:noFill/>
                          <a:ln w="9525">
                            <a:noFill/>
                            <a:miter lim="800000"/>
                            <a:headEnd/>
                            <a:tailEnd/>
                          </a:ln>
                        </pic:spPr>
                      </pic:pic>
                    </a:graphicData>
                  </a:graphic>
                </wp:inline>
              </w:drawing>
            </w:r>
          </w:p>
        </w:tc>
      </w:tr>
    </w:tbl>
    <w:p w:rsidRDefault="00DF1ACF" w:rsidP="00D27EBA" w:rsidR="00DF1ACF" w:rsidRPr="00DF1ACF">
      <w:pPr>
        <w:rPr>
          <w:rFonts w:cs="Times New Roman" w:hAnsi="Times New Roman" w:ascii="Times New Roman"/>
          <w:sz w:val="24"/>
          <w:szCs w:val="24"/>
        </w:rPr>
      </w:pPr>
    </w:p>
    <w:sectPr w:rsidR="00DF1ACF" w:rsidRPr="00DF1ACF">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0739" w:rsidP="00435EEA" w:rsidR="00BE0739">
      <w:pPr>
        <w:spacing w:lineRule="auto" w:line="240" w:after="0"/>
      </w:pPr>
      <w:r>
        <w:separator/>
      </w:r>
    </w:p>
  </w:endnote>
  <w:endnote w:id="0" w:type="continuationSeparator">
    <w:p w:rsidRDefault="00BE0739" w:rsidP="00435EEA" w:rsidR="00BE073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2334919"/>
      <w:docPartObj>
        <w:docPartGallery w:val="Page Numbers (Bottom of Page)"/>
        <w:docPartUnique/>
      </w:docPartObj>
    </w:sdtPr>
    <w:sdtEndPr/>
    <w:sdtContent>
      <w:p w:rsidRDefault="00435EEA" w:rsidR="00435EEA">
        <w:pPr>
          <w:pStyle w:val="Podnoje"/>
          <w:jc w:val="center"/>
        </w:pPr>
        <w:r>
          <w:fldChar w:fldCharType="begin"/>
        </w:r>
        <w:r>
          <w:instrText>PAGE   \* MERGEFORMAT</w:instrText>
        </w:r>
        <w:r>
          <w:fldChar w:fldCharType="separate"/>
        </w:r>
        <w:r w:rsidR="001C7CEF">
          <w:rPr>
            <w:noProof/>
          </w:rPr>
          <w:t>1</w:t>
        </w:r>
        <w:r>
          <w:fldChar w:fldCharType="end"/>
        </w:r>
      </w:p>
    </w:sdtContent>
  </w:sdt>
  <w:p w:rsidRDefault="00435EEA" w:rsidR="00435E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0739" w:rsidP="00435EEA" w:rsidR="00BE0739">
      <w:pPr>
        <w:spacing w:lineRule="auto" w:line="240" w:after="0"/>
      </w:pPr>
      <w:r>
        <w:separator/>
      </w:r>
    </w:p>
  </w:footnote>
  <w:footnote w:id="0" w:type="continuationSeparator">
    <w:p w:rsidRDefault="00BE0739" w:rsidP="00435EEA" w:rsidR="00BE0739">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42ED0"/>
    <w:multiLevelType w:val="hybridMultilevel"/>
    <w:tmpl w:val="BB146F06"/>
    <w:lvl w:tplc="E6027B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1ACF"/>
    <w:rsid w:val="000844D8"/>
    <w:rsid w:val="000B5EC1"/>
    <w:rsid w:val="001934F5"/>
    <w:rsid w:val="0019378F"/>
    <w:rsid w:val="001C7A90"/>
    <w:rsid w:val="001C7CEF"/>
    <w:rsid w:val="001E79D7"/>
    <w:rsid w:val="002728CF"/>
    <w:rsid w:val="00274102"/>
    <w:rsid w:val="00435EEA"/>
    <w:rsid w:val="00481182"/>
    <w:rsid w:val="00500175"/>
    <w:rsid w:val="00580ACF"/>
    <w:rsid w:val="005D6B82"/>
    <w:rsid w:val="005E5E18"/>
    <w:rsid w:val="006C4460"/>
    <w:rsid w:val="00725915"/>
    <w:rsid w:val="00872F6B"/>
    <w:rsid w:val="0087395B"/>
    <w:rsid w:val="008E0103"/>
    <w:rsid w:val="008E7DD5"/>
    <w:rsid w:val="009171BC"/>
    <w:rsid w:val="009E0C01"/>
    <w:rsid w:val="00A17961"/>
    <w:rsid w:val="00A40399"/>
    <w:rsid w:val="00BE0739"/>
    <w:rsid w:val="00D27EBA"/>
    <w:rsid w:val="00D623E8"/>
    <w:rsid w:val="00D75240"/>
    <w:rsid w:val="00DF1ACF"/>
    <w:rsid w:val="00E50D3E"/>
    <w:rsid w:val="00E72F75"/>
    <w:rsid w:val="00E82274"/>
    <w:rsid w:val="00F25CFE"/>
    <w:rsid w:val="00F55D37"/>
    <w:rsid w:val="00FD4E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1ACF"/>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A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1ACF"/>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435EE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35EEA"/>
    <w:rPr>
      <w:rFonts w:eastAsiaTheme="minorEastAsia"/>
      <w:lang w:eastAsia="hr-HR"/>
    </w:rPr>
  </w:style>
  <w:style w:styleId="Podnoje" w:type="paragraph">
    <w:name w:val="footer"/>
    <w:basedOn w:val="Normal"/>
    <w:link w:val="PodnojeChar"/>
    <w:uiPriority w:val="99"/>
    <w:unhideWhenUsed/>
    <w:rsid w:val="00435EE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35EEA"/>
    <w:rPr>
      <w:rFonts w:eastAsiaTheme="minorEastAsia"/>
      <w:lang w:eastAsia="hr-HR"/>
    </w:rPr>
  </w:style>
  <w:style w:styleId="Odlomakpopisa" w:type="paragraph">
    <w:name w:val="List Paragraph"/>
    <w:basedOn w:val="Normal"/>
    <w:uiPriority w:val="34"/>
    <w:qFormat/>
    <w:rsid w:val="006C4460"/>
    <w:pPr>
      <w:ind w:left="720"/>
      <w:contextualSpacing/>
    </w:pPr>
  </w:style>
  <w:style w:styleId="Tekstrezerviranogmjesta" w:type="character">
    <w:name w:val="Placeholder Text"/>
    <w:basedOn w:val="Zadanifontodlomka"/>
    <w:uiPriority w:val="99"/>
    <w:semiHidden/>
    <w:rsid w:val="00E50D3E"/>
    <w:rPr>
      <w:color w:val="808080"/>
      <w:bdr w:space="0" w:sz="0" w:color="auto" w:val="none"/>
      <w:shd w:fill="auto" w:color="auto" w:val="clear"/>
    </w:rPr>
  </w:style>
  <w:style w:customStyle="true" w:styleId="eSPISCCParagraphDefaultFont" w:type="character">
    <w:name w:val="eSPIS_CC_Paragraph Default Font"/>
    <w:basedOn w:val="Zadanifontodlomka"/>
    <w:rsid w:val="00E50D3E"/>
    <w:rPr>
      <w:rFonts w:cs="Times New Roman" w:eastAsia="Times New Roman" w:hAnsi="Times New Roman" w:ascii="Times New Roman"/>
      <w:color w:val="333333"/>
      <w:sz w:val="24"/>
      <w:szCs w:val="24"/>
      <w:bdr w:space="0" w:sz="0" w:color="auto" w:val="none"/>
      <w:shd w:fill="auto" w:color="auto" w:val="clear"/>
      <w:lang w:val="hr-HR"/>
    </w:rPr>
  </w:style>
  <w:style w:customStyle="true" w:styleId="PozadinaSvijetloZuta" w:type="character">
    <w:name w:val="Pozadina_SvijetloZuta"/>
    <w:basedOn w:val="Zadanifontodlomka"/>
    <w:rsid w:val="00E50D3E"/>
    <w:rPr>
      <w:rFonts w:cs="Times New Roman" w:eastAsia="Times New Roman" w:hAnsi="Times New Roman" w:ascii="Times New Roman"/>
      <w:color w:val="333333"/>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0D3E"/>
    <w:rPr>
      <w:rFonts w:cs="Times New Roman" w:eastAsia="Times New Roman" w:hAnsi="Times New Roman" w:ascii="Times New Roman"/>
      <w:color w:val="333333"/>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0D3E"/>
    <w:rPr>
      <w:rFonts w:cs="Times New Roman" w:eastAsia="Times New Roman" w:hAnsi="Times New Roman" w:ascii="Times New Roman"/>
      <w:color w:val="333333"/>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1ACF"/>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A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F1ACF"/>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435EE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35EEA"/>
    <w:rPr>
      <w:rFonts w:eastAsiaTheme="minorEastAsia"/>
      <w:lang w:eastAsia="hr-HR"/>
    </w:rPr>
  </w:style>
  <w:style w:styleId="Podnoje" w:type="paragraph">
    <w:name w:val="footer"/>
    <w:basedOn w:val="Normal"/>
    <w:link w:val="PodnojeChar"/>
    <w:uiPriority w:val="99"/>
    <w:unhideWhenUsed/>
    <w:rsid w:val="00435EE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35EEA"/>
    <w:rPr>
      <w:rFonts w:eastAsiaTheme="minorEastAsia"/>
      <w:lang w:eastAsia="hr-HR"/>
    </w:rPr>
  </w:style>
  <w:style w:styleId="Odlomakpopisa" w:type="paragraph">
    <w:name w:val="List Paragraph"/>
    <w:basedOn w:val="Normal"/>
    <w:uiPriority w:val="34"/>
    <w:qFormat/>
    <w:rsid w:val="006C4460"/>
    <w:pPr>
      <w:ind w:left="720"/>
      <w:contextualSpacing/>
    </w:pPr>
  </w:style>
  <w:style w:styleId="Tekstrezerviranogmjesta" w:type="character">
    <w:name w:val="Placeholder Text"/>
    <w:basedOn w:val="Zadanifontodlomka"/>
    <w:uiPriority w:val="99"/>
    <w:semiHidden/>
    <w:rsid w:val="00E50D3E"/>
    <w:rPr>
      <w:color w:val="808080"/>
      <w:bdr w:color="auto" w:space="0" w:sz="0" w:val="none"/>
      <w:shd w:color="auto" w:fill="auto" w:val="clear"/>
    </w:rPr>
  </w:style>
  <w:style w:customStyle="1" w:styleId="eSPISCCParagraphDefaultFont" w:type="character">
    <w:name w:val="eSPIS_CC_Paragraph Default Font"/>
    <w:basedOn w:val="Zadanifontodlomka"/>
    <w:rsid w:val="00E50D3E"/>
    <w:rPr>
      <w:rFonts w:ascii="Times New Roman" w:cs="Times New Roman" w:eastAsia="Times New Roman" w:hAnsi="Times New Roman"/>
      <w:color w:val="333333"/>
      <w:sz w:val="24"/>
      <w:szCs w:val="24"/>
      <w:bdr w:color="auto" w:space="0" w:sz="0" w:val="none"/>
      <w:shd w:color="auto" w:fill="auto" w:val="clear"/>
      <w:lang w:val="hr-HR"/>
    </w:rPr>
  </w:style>
  <w:style w:customStyle="1" w:styleId="PozadinaSvijetloZuta" w:type="character">
    <w:name w:val="Pozadina_SvijetloZuta"/>
    <w:basedOn w:val="Zadanifontodlomka"/>
    <w:rsid w:val="00E50D3E"/>
    <w:rPr>
      <w:rFonts w:ascii="Times New Roman" w:cs="Times New Roman" w:eastAsia="Times New Roman" w:hAnsi="Times New Roman"/>
      <w:color w:val="333333"/>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0D3E"/>
    <w:rPr>
      <w:rFonts w:ascii="Times New Roman" w:cs="Times New Roman" w:eastAsia="Times New Roman" w:hAnsi="Times New Roman"/>
      <w:color w:val="333333"/>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0D3E"/>
    <w:rPr>
      <w:rFonts w:ascii="Times New Roman" w:cs="Times New Roman" w:eastAsia="Times New Roman" w:hAnsi="Times New Roman"/>
      <w:color w:val="333333"/>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tel:(502)%20352-804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kod Dubi, A III I IV kod suca</izvorni_sadrzaj>
    <derivirana_varijabla naziv="DomainObject.Predmet.PrimjedbaSuca_1">I,II   dio kod Dubi, A III I IV kod suca</derivirana_varijabla>
  </DomainObject.Predmet.PrimjedbaSuca>
  <DomainObject.Predmet.ProtustrankaFormated>
    <izvorni_sadrzaj>  IDEAL d. o. o. , POŽEGA</izvorni_sadrzaj>
    <derivirana_varijabla naziv="DomainObject.Predmet.ProtustrankaFormated_1">  IDEAL d. o. o. , POŽEGA</derivirana_varijabla>
  </DomainObject.Predmet.ProtustrankaFormated>
  <DomainObject.Predmet.ProtustrankaFormatedOIB>
    <izvorni_sadrzaj>  IDEAL d. o. o. , POŽEGA, OIB 15023528049</izvorni_sadrzaj>
    <derivirana_varijabla naziv="DomainObject.Predmet.ProtustrankaFormatedOIB_1">  IDEAL d. o. o. , POŽEGA, OIB 15023528049</derivirana_varijabla>
  </DomainObject.Predmet.ProtustrankaFormatedOIB>
  <DomainObject.Predmet.ProtustrankaFormatedWithAdress>
    <izvorni_sadrzaj> IDEAL d. o. o. , POŽEGA, Novi Štitnjak 22/A, Požega</izvorni_sadrzaj>
    <derivirana_varijabla naziv="DomainObject.Predmet.ProtustrankaFormatedWithAdress_1"> IDEAL d. o. o. , POŽEGA, Novi Štitnjak 22/A, Požega</derivirana_varijabla>
  </DomainObject.Predmet.ProtustrankaFormatedWithAdress>
  <DomainObject.Predmet.ProtustrankaFormatedWithAdressOIB>
    <izvorni_sadrzaj> IDEAL d. o. o. , POŽEGA, OIB 15023528049, Novi Štitnjak 22/A, Požega</izvorni_sadrzaj>
    <derivirana_varijabla naziv="DomainObject.Predmet.ProtustrankaFormatedWithAdressOIB_1"> IDEAL d. o. o. , POŽEGA, OIB 15023528049, Novi Štitnjak 22/A, Požega</derivirana_varijabla>
  </DomainObject.Predmet.ProtustrankaFormatedWithAdressOIB>
  <DomainObject.Predmet.ProtustrankaWithAdress>
    <izvorni_sadrzaj>IDEAL d. o. o. , POŽEGA Novi Štitnjak 22/A, Požega</izvorni_sadrzaj>
    <derivirana_varijabla naziv="DomainObject.Predmet.ProtustrankaWithAdress_1">IDEAL d. o. o. , POŽEGA Novi Štitnjak 22/A, Požega</derivirana_varijabla>
  </DomainObject.Predmet.ProtustrankaWithAdress>
  <DomainObject.Predmet.ProtustrankaWithAdressOIB>
    <izvorni_sadrzaj>IDEAL d. o. o. , POŽEGA, OIB 15023528049, Novi Štitnjak 22/A, Požega</izvorni_sadrzaj>
    <derivirana_varijabla naziv="DomainObject.Predmet.ProtustrankaWithAdressOIB_1">IDEAL d. o. o. , POŽEGA, OIB 15023528049, Novi Štitnjak 22/A, Požega</derivirana_varijabla>
  </DomainObject.Predmet.ProtustrankaWithAdressOIB>
  <DomainObject.Predmet.ProtustrankaNazivFormated>
    <izvorni_sadrzaj>IDEAL d. o. o. , POŽEGA</izvorni_sadrzaj>
    <derivirana_varijabla naziv="DomainObject.Predmet.ProtustrankaNazivFormated_1">IDEAL d. o. o. , POŽEGA</derivirana_varijabla>
  </DomainObject.Predmet.ProtustrankaNazivFormated>
  <DomainObject.Predmet.ProtustrankaNazivFormatedOIB>
    <izvorni_sadrzaj>IDEAL d. o. o. , POŽEGA, OIB 15023528049</izvorni_sadrzaj>
    <derivirana_varijabla naziv="DomainObject.Predmet.ProtustrankaNazivFormatedOIB_1">IDEAL d. o. o. , POŽEGA, OIB 15023528049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TRG F.TUĐMANA 2, 32100 Vinkovci</izvorni_sadrzaj>
    <derivirana_varijabla naziv="DomainObject.Predmet.StrankaFormatedWithAdress_1"> FINA- REGIONALNI CENTAR OSIJEK, TRG F.TUĐMANA 2, 32100 Vinkovci</derivirana_varijabla>
  </DomainObject.Predmet.StrankaFormatedWithAdress>
  <DomainObject.Predmet.StrankaFormatedWithAdressOIB>
    <izvorni_sadrzaj> FINA- REGIONALNI CENTAR OSIJEK, TRG F.TUĐMANA 2, 32100 Vinkovci</izvorni_sadrzaj>
    <derivirana_varijabla naziv="DomainObject.Predmet.StrankaFormatedWithAdressOIB_1"> FINA- REGIONALNI CENTAR OSIJEK, TRG F.TUĐMANA 2, 32100 Vinkovci</derivirana_varijabla>
  </DomainObject.Predmet.StrankaFormatedWithAdressOIB>
  <DomainObject.Predmet.StrankaWithAdress>
    <izvorni_sadrzaj>FINA- REGIONALNI CENTAR OSIJEK TRG F.TUĐMANA 2,32100 Vinkovci</izvorni_sadrzaj>
    <derivirana_varijabla naziv="DomainObject.Predmet.StrankaWithAdress_1">FINA- REGIONALNI CENTAR OSIJEK TRG F.TUĐMANA 2,32100 Vinkovci</derivirana_varijabla>
  </DomainObject.Predmet.StrankaWithAdress>
  <DomainObject.Predmet.StrankaWithAdressOIB>
    <izvorni_sadrzaj>FINA- REGIONALNI CENTAR OSIJEK, TRG F.TUĐMANA 2,32100 Vinkovci</izvorni_sadrzaj>
    <derivirana_varijabla naziv="DomainObject.Predmet.StrankaWithAdressOIB_1">FINA- REGIONALNI CENTAR OSIJEK, TRG F.TUĐMANA 2,32100 Vinkovci</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TRG F.TUĐMANA 2, 32100 Vinkovci</item>
    </izvorni_sadrzaj>
    <derivirana_varijabla naziv="DomainObject.Predmet.StrankaListFormatedWithAdress_1">
      <item>FINA- REGIONALNI CENTAR OSIJEK, TRG F.TUĐMANA 2, 32100 Vinkovci</item>
    </derivirana_varijabla>
  </DomainObject.Predmet.StrankaListFormatedWithAdress>
  <DomainObject.Predmet.StrankaListFormatedWithAdressOIB>
    <izvorni_sadrzaj>
      <item>FINA- REGIONALNI CENTAR OSIJEK, TRG F.TUĐMANA 2, 32100 Vinkovci</item>
    </izvorni_sadrzaj>
    <derivirana_varijabla naziv="DomainObject.Predmet.StrankaListFormatedWithAdressOIB_1">
      <item>FINA- REGIONALNI CENTAR OSIJEK, TRG F.TUĐMANA 2, 32100 Vinkovci</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IDEAL d. o. o. , POŽEGA</item>
    </izvorni_sadrzaj>
    <derivirana_varijabla naziv="DomainObject.Predmet.ProtuStrankaListFormated_1">
      <item>IDEAL d. o. o. , POŽEGA</item>
    </derivirana_varijabla>
  </DomainObject.Predmet.ProtuStrankaListFormated>
  <DomainObject.Predmet.ProtuStrankaListFormatedOIB>
    <izvorni_sadrzaj>
      <item>IDEAL d. o. o. , POŽEGA, OIB 15023528049</item>
    </izvorni_sadrzaj>
    <derivirana_varijabla naziv="DomainObject.Predmet.ProtuStrankaListFormatedOIB_1">
      <item>IDEAL d. o. o. , POŽEGA, OIB 15023528049</item>
    </derivirana_varijabla>
  </DomainObject.Predmet.ProtuStrankaListFormatedOIB>
  <DomainObject.Predmet.ProtuStrankaListFormatedWithAdress>
    <izvorni_sadrzaj>
      <item>IDEAL d. o. o. , POŽEGA, Novi Štitnjak 22/A, Požega</item>
    </izvorni_sadrzaj>
    <derivirana_varijabla naziv="DomainObject.Predmet.ProtuStrankaListFormatedWithAdress_1">
      <item>IDEAL d. o. o. , POŽEGA, Novi Štitnjak 22/A, Požega</item>
    </derivirana_varijabla>
  </DomainObject.Predmet.ProtuStrankaListFormatedWithAdress>
  <DomainObject.Predmet.ProtuStrankaListFormatedWithAdressOIB>
    <izvorni_sadrzaj>
      <item>IDEAL d. o. o. , POŽEGA, OIB 15023528049, Novi Štitnjak 22/A, Požega</item>
    </izvorni_sadrzaj>
    <derivirana_varijabla naziv="DomainObject.Predmet.ProtuStrankaListFormatedWithAdressOIB_1">
      <item>IDEAL d. o. o. , POŽEGA, OIB 15023528049, Novi Štitnjak 22/A, Požega</item>
    </derivirana_varijabla>
  </DomainObject.Predmet.ProtuStrankaListFormatedWithAdressOIB>
  <DomainObject.Predmet.ProtuStrankaListNazivFormated>
    <izvorni_sadrzaj>
      <item>IDEAL d. o. o. , POŽEGA</item>
    </izvorni_sadrzaj>
    <derivirana_varijabla naziv="DomainObject.Predmet.ProtuStrankaListNazivFormated_1">
      <item>IDEAL d. o. o. , POŽEGA</item>
    </derivirana_varijabla>
  </DomainObject.Predmet.ProtuStrankaListNazivFormated>
  <DomainObject.Predmet.ProtuStrankaListNazivFormatedOIB>
    <izvorni_sadrzaj>
      <item>IDEAL d. o. o. , POŽEGA, OIB 15023528049</item>
    </izvorni_sadrzaj>
    <derivirana_varijabla naziv="DomainObject.Predmet.ProtuStrankaListNazivFormatedOIB_1">
      <item>IDEAL d. o. o. , POŽEGA, OIB 15023528049</item>
    </derivirana_varijabla>
  </DomainObject.Predmet.ProtuStrankaListNazivFormatedOIB>
  <DomainObject.Predmet.OstaliList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Formated>
  <DomainObject.Predmet.OstaliList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FormatedOIB>
  <DomainObject.Predmet.OstaliListFormatedWithAdress>
    <izvorni_sadrzaj>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izvorni_sadrzaj>
    <derivirana_varijabla naziv="DomainObject.Predmet.OstaliListFormatedWithAdress_1">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derivirana_varijabla>
  </DomainObject.Predmet.OstaliListFormatedWithAdress>
  <DomainObject.Predmet.OstaliListFormatedWithAdressOIB>
    <izvorni_sadrzaj>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izvorni_sadrzaj>
    <derivirana_varijabla naziv="DomainObject.Predmet.OstaliListFormatedWithAdressOIB_1">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derivirana_varijabla>
  </DomainObject.Predmet.OstaliListFormatedWithAdressOIB>
  <DomainObject.Predmet.OstaliListNaziv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Naziv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NazivFormated>
  <DomainObject.Predmet.OstaliListNaziv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Naziv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IDEAL d. o. o. , POŽEGA</izvorni_sadrzaj>
    <derivirana_varijabla naziv="DomainObject.Predmet.ProtustrankaIDrugi_1">IDEAL d. o. o. , POŽEGA</derivirana_varijabla>
  </DomainObject.Predmet.ProtustrankaIDrugi>
  <DomainObject.Predmet.StrankaIDrugiAdressOIB>
    <izvorni_sadrzaj>FINA- REGIONALNI CENTAR OSIJEK, TRG F.TUĐMANA 2, 32100 Vinkovci</izvorni_sadrzaj>
    <derivirana_varijabla naziv="DomainObject.Predmet.StrankaIDrugiAdressOIB_1">FINA- REGIONALNI CENTAR OSIJEK, TRG F.TUĐMANA 2, 32100 Vinkovci</derivirana_varijabla>
  </DomainObject.Predmet.StrankaIDrugiAdressOIB>
  <DomainObject.Predmet.ProtustrankaIDrugiAdressOIB>
    <izvorni_sadrzaj>IDEAL d. o. o. , POŽEGA, OIB 15023528049, Novi Štitnjak 22/A, Požega</izvorni_sadrzaj>
    <derivirana_varijabla naziv="DomainObject.Predmet.ProtustrankaIDrugiAdressOIB_1">IDEAL d. o. o. , POŽEGA, OIB 15023528049, Novi Štitnjak 22/A,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SudioniciListNaziv_1">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SudioniciListNaziv>
  <DomainObject.Predmet.SudioniciListAdressOIB>
    <izvorni_sadrzaj>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izvorni_sadrzaj>
    <derivirana_varijabla naziv="DomainObject.Predmet.SudioniciListAdressOIB_1">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15023528049</item>
      <item>, OIB null</item>
      <item>, OIB 36068029114</item>
      <item>, OIB 64546066176</item>
      <item>, OIB null</item>
      <item>, OIB null</item>
    </izvorni_sadrzaj>
    <derivirana_varijabla naziv="DomainObject.Predmet.SudioniciListNazivOIB_1">
      <item>, OIB null</item>
      <item>, OIB 15023528049</item>
      <item>, OIB null</item>
      <item>, OIB 36068029114</item>
      <item>, OIB 64546066176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4FEB8-3CB8-4736-AB35-71EF7FE30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734</properties:Words>
  <properties:Characters>3794</properties:Characters>
  <properties:Lines>96</properties:Lines>
  <properties:Paragraphs>26</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2017-01-30T11:41:00Z</dcterms:created>
  <dc:creator>wsadmin</dc:creator>
  <cp:lastModifiedBy>wsadmin</cp:lastModifiedBy>
  <cp:lastPrinted>2018-05-02T12:13:00Z</cp:lastPrinted>
  <dcterms:modified xmlns:xsi="http://www.w3.org/2001/XMLSchema-instance" xsi:type="dcterms:W3CDTF">2018-05-02T12:13:00Z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(ideal_rješenje.docx)</vt:lpwstr>
  </prop:property>
  <prop:property name="CC_coloring" pid="4" fmtid="{D5CDD505-2E9C-101B-9397-08002B2CF9AE}">
    <vt:bool>false</vt:bool>
  </prop:property>
  <prop:property name="BrojStranica" pid="5" fmtid="{D5CDD505-2E9C-101B-9397-08002B2CF9AE}">
    <vt:i4>2</vt:i4>
  </prop:property>
</prop:Properties>
</file>