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3e81" w14:paraId="4d53e81" w:rsidRDefault="00F42C97" w:rsidP="00F42C97" w:rsidR="00F42C97">
      <w:pPr>
        <w:pStyle w:val="Bezproreda"/>
        <w15:collapsed w:val="false"/>
      </w:pPr>
      <w:bookmarkStart w:name="_GoBack" w:id="0"/>
      <w:bookmarkEnd w:id="0"/>
      <w:r>
        <w:t>NAVA BANKA d.d. u stečaju                                                                          St-545/14</w:t>
      </w:r>
    </w:p>
    <w:p w:rsidRDefault="00F42C97" w:rsidP="00F42C97" w:rsidR="00F42C97">
      <w:pPr>
        <w:pStyle w:val="Bezproreda"/>
      </w:pPr>
      <w:r>
        <w:t>Zagreb, Zavrtnica 17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>TRGOVAČKI SUD U ZAGREBU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                                                             OBRAZAC 20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          IZVJEŠĆE STEČAJNOG UPRAVITELJA O TIJEKU STEČAJNOG POSTUPKA I STANJU</w:t>
      </w:r>
    </w:p>
    <w:p w:rsidRDefault="00F42C97" w:rsidP="00F42C97" w:rsidR="00F42C97">
      <w:pPr>
        <w:pStyle w:val="Bezproreda"/>
      </w:pPr>
      <w:r>
        <w:t xml:space="preserve">                                                           STEČAJNE MASE </w:t>
      </w:r>
    </w:p>
    <w:p w:rsidRDefault="00F42C97" w:rsidP="00F42C97" w:rsidR="00F42C97">
      <w:pPr>
        <w:pStyle w:val="Bezproreda"/>
      </w:pPr>
      <w:r>
        <w:t xml:space="preserve">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Tijek stečajnog postupka u razdoblju 1.11.2017. do 21.2.2018.g.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>S obzirom da se u predmetnom stečajnom postupku radi o stečaju nad Bankom, isti je određen specifičnošću djelatnosti stečajnog dužnika i strukturom aktive Banke, odnosno prvenstveno ročnošću kreditnog portfelja.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Zbog velikog broja komitenata, odnosno  stavaka potraživanja, a i drugih pozicija imovine Banke u samom izvješću nije  racionalno, a i svrsishodno ulaziti u svaku pojedinu stavku u postupcima unovčenja imovine, te će izvješćem biti generalno iznesene radnje po osnovnim grupama imovine zatečene u Banci.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Slijedom navedenog u cilju naplate kredita, Banka provodi redovite postupke naplate kako urednih tako i neurednih kreditnih plasmana. U cilju naplate neurednih kreditnih plasmana poduzimaju se radnje naplate temeljem instrumenata osiguranja, zadužnicama, provjerom stanja imovine dužnika i jamaca, te poduzimanjem ovršnih postupaka na imovini dužnika, jamaca i založnih dužnika.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U odnosu na zatečeni portfelj dionica u vlasništvu Banke, tijekom postupka izvršeno je unovčenje najznačajnijeg dijela dionica u vlasništvu Banke, te su preostale dionice za koje nema interesa tržišta.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>U odnosu na  nekretnine  koje je Banka u postupcima naplate potraživanja stekla u dužem periodu prije otvaranja stečaja, nakon izvršene procjene u tijeku su postupci oglašavanja prodaje radi prikupljanja najpovoljnijih pisanih ponuda.  Iz prodaje će biti izuzete  nekretnine u kojima se nalazi arhiva Banke  jer je korištenje vlastitog arhivskog prostora ekonomičnije od plaćanja usluge arhiviranja.  Unatoč dosad više oglašavanja i stalnom sniženju cijena, dosad je unovčena samo jedna nekretnina.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>Uslijed velikog broja sudskih postupaka koje vodi Banka, uz prethodno   izvješće u sudski spis je  dostavljen   izvještaj pravne službe Banke o stanju sudskih postupaka.  Kako su u međuvremenu nastupile određene promjene u strukturi sudskih postupaka koje vodi Banka, u kraćem periodu biti će u sudski spis dostavljen uređen novi pregled postupaka koje vodi Banka.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U odnosu na stanje stečajne mase, a nakon potrebnih rezervacija, provode se kontinuirane djelomične diobe, za sada radi namirenja utvrđene tražbine trećeg višeg isplatnog reda.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 w:rsidRPr="0059371B">
      <w:pPr>
        <w:pStyle w:val="Bezproreda"/>
        <w:numPr>
          <w:ilvl w:val="0"/>
          <w:numId w:val="1"/>
        </w:numPr>
        <w:rPr>
          <w:b/>
        </w:rPr>
      </w:pPr>
      <w:r w:rsidRPr="0059371B">
        <w:rPr>
          <w:b/>
        </w:rPr>
        <w:t xml:space="preserve">Stanje novčane stečajne mase na računima </w:t>
      </w:r>
      <w:r>
        <w:rPr>
          <w:b/>
        </w:rPr>
        <w:t>u periodu 1.11.2017.g. do 21.2.2018.g.</w:t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810"/>
        <w:gridCol w:w="924"/>
        <w:gridCol w:w="2112"/>
      </w:tblGrid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A/ PRILIVI NOVČANIH SREDSTAVA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naplata kredita, kamata i ostalo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6.535.596,33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Prijenos sa deviznog računa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3.766.500,00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Ostali prilivi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10.343,70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ukupno prilivi: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10.312.440,03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B/ ODLIVI NOVČANIH SREDSTAVA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bankarska provizija, naknade FINA-e i sl.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5.332,93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bruto trošak plaća radnika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378.765,78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drugi materijalni troškovi i usluge po računu dobavljača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9.970,77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isplate u djelomičnoj diobi III viši isplatni red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6.979.434,00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naknade SKDD-a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troškovi oglašavanja prodaje imovine                                                                  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31.219,32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37.817,88</w:t>
            </w:r>
          </w:p>
        </w:tc>
      </w:tr>
      <w:tr w:rsidTr="0016450B" w:rsidR="00F42C97">
        <w:trPr>
          <w:trHeight w:val="266"/>
        </w:trPr>
        <w:tc>
          <w:tcPr>
            <w:tcW w:type="dxa" w:w="6734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ostale članarine, naknade i sl.(HGK, HINA, Zgb. burza)</w:t>
            </w: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24.187,50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režijski troškovi i održavanje nekretnina u korištenju i vlasništvu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45.701,26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operativne informatičke i tehničke podrške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3.206,25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potrošnog materijala i sredstava i zaduženje blagajne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2.000,00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troškovi akontacije neto nagrade stečajnog upravitelja 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troškovi poreza i doprinosa na neto nagradu                       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36.000,00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23,988,84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sudskih pristojbi, bilježnika, odvjetnika i sl.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158.028,85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telefona i interneta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8.789,22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usluge redovnog IT održavanja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74.960,71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troškovi zakupa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ostali troškovi 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60.518,02</w:t>
            </w:r>
          </w:p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3.393,77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Ukupno odlivi: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7.883.315,10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Stanje sredstava na računu na dan 21.2.2018:</w:t>
            </w: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6.451.502,45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EUR</w:t>
            </w: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4.064.945,54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CHF</w:t>
            </w: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0,01</w:t>
            </w:r>
          </w:p>
        </w:tc>
      </w:tr>
      <w:tr w:rsidTr="0016450B" w:rsidR="00F42C97">
        <w:trPr>
          <w:trHeight w:val="266"/>
        </w:trPr>
        <w:tc>
          <w:tcPr>
            <w:tcW w:type="dxa" w:w="5810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24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USD</w:t>
            </w:r>
          </w:p>
        </w:tc>
        <w:tc>
          <w:tcPr>
            <w:tcW w:type="dxa" w:w="2112"/>
            <w:tcBorders>
              <w:top w:val="nil"/>
              <w:left w:val="nil"/>
              <w:bottom w:val="nil"/>
              <w:right w:val="nil"/>
            </w:tcBorders>
          </w:tcPr>
          <w:p w:rsidRDefault="00F42C97" w:rsidP="0016450B" w:rsidR="00F42C97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2,23</w:t>
            </w:r>
          </w:p>
        </w:tc>
      </w:tr>
    </w:tbl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  <w:rPr>
          <w:b/>
        </w:rPr>
      </w:pPr>
    </w:p>
    <w:p w:rsidRDefault="00F42C97" w:rsidP="00F42C97" w:rsidR="00F42C97">
      <w:pPr>
        <w:pStyle w:val="Bezproreda"/>
      </w:pPr>
      <w:r>
        <w:t>Ukupno ostvarene troškove  karakteriziraju  uobičajeni troškovi stečajnog postupka i to vezani uz imovinu stečajnog dužnika, te troškove provođenja stečajnog postupka radi unovčenja imovine ( režije, zakup, potrošni materijal za potrebe Banke, režije nekretnina u vlasništvu, troškovi plaća). Banka uglavnom obavlja pravne poslove putem zaposlenice Banke, te u manjem dijelu u specifičnih parnicama se koristi usluga odvjetnika. Iskazani troškovi obuhvaćaju osim usluga odvjetnika i troškove pristojbi, vještaka, kao i troškove predujmova za troškove u stečajnim ili skraćenim postupcima.</w:t>
      </w:r>
    </w:p>
    <w:p w:rsidRDefault="00F42C97" w:rsidP="00F42C97" w:rsidR="00F42C97">
      <w:pPr>
        <w:pStyle w:val="Bezproreda"/>
        <w:ind w:left="426"/>
      </w:pPr>
      <w:r w:rsidRPr="00E80C1E">
        <w:rPr>
          <w:b/>
        </w:rPr>
        <w:lastRenderedPageBreak/>
        <w:t>3.  Radnje koje će se poduzeti u narednom periodu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Osim redovnih poslova radi unovčenja potraživanja Banke, odnosno poduzimanja sudskih postupaka radi prisilne naplate, u narednom periodu korekcijom cijena i nadalje će se ustrajati na unovčenju dionica iz portfelja Banke kao i nekretnina u vlasništvu Banke. 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>Očekuje se također sazivanje sjednice Odbora vjerovnika, te prijedlog daljnje djelomične diobe.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F42C97" w:rsidP="00F42C97" w:rsidR="00F42C97">
      <w:pPr>
        <w:pStyle w:val="Bezproreda"/>
      </w:pPr>
    </w:p>
    <w:p w:rsidRDefault="00F42C97" w:rsidP="00F42C97" w:rsidR="00F42C97">
      <w:pPr>
        <w:pStyle w:val="Bezproreda"/>
      </w:pPr>
      <w:r>
        <w:t xml:space="preserve">                                                                                          Zdravko Mitak dipl. oec.</w:t>
      </w:r>
    </w:p>
    <w:p w:rsidRDefault="00CF27FC" w:rsidR="00CF27FC"/>
    <w:sectPr w:rsidR="00CF27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612BEA"/>
    <w:multiLevelType w:val="hybridMultilevel"/>
    <w:tmpl w:val="3652585E"/>
    <w:lvl w:tplc="96C0CAEE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C97"/>
    <w:rsid w:val="00890A15"/>
    <w:rsid w:val="00CF27FC"/>
    <w:rsid w:val="00EC00ED"/>
    <w:rsid w:val="00F4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C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2C9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9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C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2C9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9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4059</properties:Characters>
  <properties:Lines>198</properties:Lines>
  <properties:Paragraphs>76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2018-02-28T07:49:00Z</dcterms:created>
  <dc:creator>Zdravko</dc:creator>
  <cp:lastModifiedBy>Ivana Stampf</cp:lastModifiedBy>
  <dcterms:modified xmlns:xsi="http://www.w3.org/2001/XMLSchema-instance" xsi:type="dcterms:W3CDTF">2018-02-28T07:50:00Z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St-545/2014-193 / Podnesak - Izvješće stečajnog upravitelja (NAVA BANKA izv 2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