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8dd3" w14:paraId="ad68dd3" w:rsidRDefault="00A047D4" w:rsidR="00EC5CAD">
      <w:pPr>
        <w:jc w:val="center"/>
        <w15:collapsed w:val="false"/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EC5CAD" w:rsidR="00EC5CAD">
      <w:pPr>
        <w:jc w:val="center"/>
        <w:rPr>
          <w:rFonts w:hAnsi="Times New Roman" w:ascii="Times New Roman"/>
          <w:b/>
          <w:sz w:val="28"/>
        </w:rPr>
      </w:pPr>
    </w:p>
    <w:p w:rsidRDefault="00A047D4" w:rsidR="00EC5CAD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A047D4" w:rsidR="00EC5CAD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St-597/16</w:t>
      </w:r>
    </w:p>
    <w:p w:rsidRDefault="00A047D4" w:rsidR="00EC5CAD"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</w:p>
    <w:p w:rsidRDefault="00A047D4" w:rsidR="00EC5CAD">
      <w:r>
        <w:rPr>
          <w:rFonts w:hAnsi="Times New Roman" w:ascii="Times New Roman"/>
          <w:b/>
          <w:bCs/>
          <w:sz w:val="24"/>
          <w:szCs w:val="24"/>
          <w:lang w:val="pl-PL"/>
        </w:rPr>
        <w:t>ART ing d.o.o. u stečaju, OIB: 64831303834, Stjepana Radića 24, Čakovec</w:t>
      </w:r>
    </w:p>
    <w:p w:rsidRDefault="00EC5CAD" w:rsidR="00EC5CA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A047D4" w:rsidR="00EC5CAD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>
        <w:rPr>
          <w:rFonts w:hAnsi="Times New Roman" w:ascii="Times New Roman"/>
          <w:b/>
          <w:sz w:val="24"/>
          <w:szCs w:val="24"/>
          <w:lang w:val="pl-PL"/>
        </w:rPr>
        <w:t>TRAŽBINA VJEROVNIKA</w:t>
      </w:r>
    </w:p>
    <w:p w:rsidRDefault="00A047D4" w:rsidR="00EC5CAD">
      <w:pPr>
        <w:jc w:val="center"/>
      </w:pPr>
      <w:r>
        <w:rPr>
          <w:rFonts w:hAnsi="Times New Roman" w:ascii="Times New Roman"/>
          <w:b/>
          <w:sz w:val="24"/>
          <w:szCs w:val="24"/>
        </w:rPr>
        <w:t xml:space="preserve"> I. VIŠI ISPLATNI RED</w:t>
      </w:r>
    </w:p>
    <w:p w:rsidRDefault="00EC5CAD" w:rsidR="00EC5CA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pct" w:w="500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78"/>
        </w:tblCellMar>
        <w:tblLook w:val="00A0" w:noVBand="0" w:noHBand="0" w:lastColumn="0" w:firstColumn="1" w:lastRow="0" w:firstRow="1"/>
      </w:tblPr>
      <w:tblGrid>
        <w:gridCol w:w="1019"/>
        <w:gridCol w:w="1466"/>
        <w:gridCol w:w="1364"/>
        <w:gridCol w:w="1361"/>
        <w:gridCol w:w="1242"/>
        <w:gridCol w:w="1688"/>
        <w:gridCol w:w="1209"/>
        <w:gridCol w:w="1153"/>
        <w:gridCol w:w="1158"/>
        <w:gridCol w:w="1376"/>
        <w:gridCol w:w="1154"/>
      </w:tblGrid>
      <w:tr w:rsidR="00EC5CAD">
        <w:trPr>
          <w:jc w:val="center"/>
        </w:trPr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6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2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(kn)</w:t>
            </w:r>
          </w:p>
        </w:tc>
        <w:tc>
          <w:tcPr>
            <w:tcW w:type="dxa" w:w="11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1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 (kn)</w:t>
            </w:r>
          </w:p>
        </w:tc>
        <w:tc>
          <w:tcPr>
            <w:tcW w:type="dxa" w:w="11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1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EC5CAD">
        <w:trPr>
          <w:jc w:val="center"/>
        </w:trPr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047D4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Hrvatska, Ministarstvo financija, Porezna uprava, Područni ured sjeverna Hrvatska</w:t>
            </w:r>
          </w:p>
        </w:tc>
        <w:tc>
          <w:tcPr>
            <w:tcW w:type="dxa" w:w="13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52634238587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Čakovec, O. Keršovanija 11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61.933,26</w:t>
            </w:r>
          </w:p>
        </w:tc>
        <w:tc>
          <w:tcPr>
            <w:tcW w:type="dxa" w:w="16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Izlist stanja dugovanja PU, ovjeren od čelnika poreznog tijela – doprinosi iz i na plaće</w:t>
            </w:r>
          </w:p>
        </w:tc>
        <w:tc>
          <w:tcPr>
            <w:tcW w:type="dxa" w:w="12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61.933,26</w:t>
            </w:r>
          </w:p>
        </w:tc>
        <w:tc>
          <w:tcPr>
            <w:tcW w:type="dxa" w:w="11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Izlist stanja dugovanja PU, ovjeren od čelnika poreznog tijela – doprinosi iz i na plaće</w:t>
            </w:r>
          </w:p>
        </w:tc>
        <w:tc>
          <w:tcPr>
            <w:tcW w:type="dxa" w:w="11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1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o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ovrsi Klasa UP/I-415-02/2010-001/0038 od 11.10.2010., Rješnje o ovrsi Klasa UP/I-415-02/2010-001/00380 od 6.11.2014., Rješenje o osiguranju </w:t>
            </w:r>
            <w:r>
              <w:rPr>
                <w:rFonts w:hAnsi="Times New Roman" w:ascii="Times New Roman"/>
                <w:sz w:val="18"/>
                <w:szCs w:val="18"/>
              </w:rPr>
              <w:lastRenderedPageBreak/>
              <w:t>Općinskog suda u Čakovcu Ovr-718/11 od 19.05.2011.</w:t>
            </w:r>
          </w:p>
        </w:tc>
      </w:tr>
      <w:tr w:rsidR="00EC5CAD">
        <w:trPr>
          <w:jc w:val="center"/>
        </w:trPr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2.</w:t>
            </w:r>
          </w:p>
          <w:p w:rsidRDefault="00EC5CAD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Sandro Krička</w:t>
            </w:r>
          </w:p>
        </w:tc>
        <w:tc>
          <w:tcPr>
            <w:tcW w:type="dxa" w:w="13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44739115478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Čakovec, Stjepana Radića  24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133.230,75</w:t>
            </w:r>
          </w:p>
        </w:tc>
        <w:tc>
          <w:tcPr>
            <w:tcW w:type="dxa" w:w="16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Obračun neisplaćene plaće, godišnja zarada radnika</w:t>
            </w:r>
          </w:p>
        </w:tc>
        <w:tc>
          <w:tcPr>
            <w:tcW w:type="dxa" w:w="12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1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133.230,75</w:t>
            </w:r>
          </w:p>
        </w:tc>
        <w:tc>
          <w:tcPr>
            <w:tcW w:type="dxa" w:w="11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widowControl w:val="false"/>
              <w:suppressAutoHyphens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Obračun neisplaćene plaće nije izdan u skladu sa zakonom o radu i poreznim propisima te nije ovršna isprava, za plaće koje se navode kao potraživanjenisu prijavljeni porezi i d</w:t>
            </w:r>
            <w:r>
              <w:rPr>
                <w:rFonts w:hAnsi="Times New Roman" w:ascii="Times New Roman"/>
                <w:sz w:val="18"/>
                <w:szCs w:val="18"/>
              </w:rPr>
              <w:t>oprinosi i nema ih u poslovnim knjigama</w:t>
            </w:r>
          </w:p>
        </w:tc>
        <w:tc>
          <w:tcPr>
            <w:tcW w:type="dxa" w:w="11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R="00EC5CAD">
        <w:trPr>
          <w:jc w:val="center"/>
        </w:trPr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3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195.164,01</w:t>
            </w:r>
          </w:p>
        </w:tc>
        <w:tc>
          <w:tcPr>
            <w:tcW w:type="dxa" w:w="16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2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61.933,26</w:t>
            </w:r>
          </w:p>
        </w:tc>
        <w:tc>
          <w:tcPr>
            <w:tcW w:type="dxa" w:w="11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1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133.230,75</w:t>
            </w:r>
          </w:p>
        </w:tc>
        <w:tc>
          <w:tcPr>
            <w:tcW w:type="dxa" w:w="11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1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EC5CAD" w:rsidR="00EC5CAD">
      <w:pPr>
        <w:pStyle w:val="Bezproreda"/>
        <w:rPr>
          <w:rFonts w:hAnsi="Times New Roman" w:ascii="Times New Roman"/>
          <w:sz w:val="24"/>
        </w:rPr>
      </w:pPr>
    </w:p>
    <w:p w:rsidRDefault="00A047D4" w:rsidR="00EC5CA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br w:type="page"/>
      </w:r>
    </w:p>
    <w:p w:rsidRDefault="00A047D4" w:rsidR="00EC5CAD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TABLICA PRIJAVLJENIH TRAŽBINA VJEROVNIKA</w:t>
      </w:r>
    </w:p>
    <w:p w:rsidRDefault="00A047D4" w:rsidR="00EC5CAD">
      <w:pPr>
        <w:jc w:val="center"/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EC5CAD" w:rsidR="00EC5CAD">
      <w:pPr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W w:type="dxa" w:w="14004"/>
        <w:tblInd w:type="dxa" w:w="83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78"/>
        </w:tblCellMar>
        <w:tblLook w:val="00A0" w:noVBand="0" w:noHBand="0" w:lastColumn="0" w:firstColumn="1" w:lastRow="0" w:firstRow="1"/>
      </w:tblPr>
      <w:tblGrid>
        <w:gridCol w:w="1065"/>
        <w:gridCol w:w="1601"/>
        <w:gridCol w:w="1250"/>
        <w:gridCol w:w="1420"/>
        <w:gridCol w:w="1161"/>
        <w:gridCol w:w="1456"/>
        <w:gridCol w:w="1069"/>
        <w:gridCol w:w="1342"/>
        <w:gridCol w:w="966"/>
        <w:gridCol w:w="1246"/>
        <w:gridCol w:w="1428"/>
      </w:tblGrid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Adresa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/ sjedište vjerovnika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  <w:vAlign w:val="center"/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tražbine zasniva na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ovršnoj ispravi</w:t>
            </w: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Republika Hrvatska, Ministarstvo financija, Porezna uprava, Područni ured sjeverna Hrvatska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52634238587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Čakovec, O. Keršovanija 11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575.611,45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 xml:space="preserve">Izlist stanja dugovanja PU, ovjeren od čelnika poreznog tijela – članarina HGK, troškovi </w:t>
            </w:r>
            <w:r>
              <w:rPr>
                <w:rFonts w:hAnsi="Times New Roman" w:ascii="Times New Roman"/>
                <w:sz w:val="18"/>
                <w:szCs w:val="18"/>
              </w:rPr>
              <w:t>postupka, reprogram, kazne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575.611,45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Izlist stanja dugovanja PU, ovjeren od čelnika poreznog tijela – članarina HGK, troškovi postupka, reprogram, kazne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Tijeloteksta"/>
            </w:pPr>
            <w:r>
              <w:t>-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ovrsi Klasa UP/I-415-02/2010-001/0038 od 11.10.2010., Rješnje o ovrsi Klasa UP/I-415</w:t>
            </w:r>
            <w:r>
              <w:rPr>
                <w:rFonts w:hAnsi="Times New Roman" w:ascii="Times New Roman"/>
                <w:sz w:val="18"/>
                <w:szCs w:val="18"/>
              </w:rPr>
              <w:t>-02/2010-001/00380 od 6.11.2014., Rješenje o osiguranju Općinskog suda u Čakovcu Ovr-718/11 od 19.05.2011.</w:t>
            </w: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</w:p>
          <w:p w:rsidRDefault="00EC5CAD" w:rsidR="00EC5CA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Sandro Krička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44739115478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Čakovec, Stjepana Radića  24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67.488,20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Kratkoročne pozajmice vlasnika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67.488,20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Ne postoji vjerodostojna </w:t>
            </w:r>
            <w:r>
              <w:rPr>
                <w:rFonts w:hAnsi="Times New Roman" w:ascii="Times New Roman"/>
                <w:sz w:val="18"/>
                <w:szCs w:val="18"/>
              </w:rPr>
              <w:t>dokumentacija o postojanju tražbine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H-ABDUCO d.o.o.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13667298928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Zagreb, Slavonska avenija 6A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179.831,52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ustupu tražbine od 22.05.2014. OV-1360/14-2, Ugovor o kreditu broj 145-51004189 od 05.05.2009. OV-5178/09, ugovor o kreditu broj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145-51004189 </w:t>
            </w:r>
            <w:r>
              <w:rPr>
                <w:rFonts w:hAnsi="Times New Roman" w:ascii="Times New Roman"/>
                <w:sz w:val="18"/>
                <w:szCs w:val="18"/>
              </w:rPr>
              <w:lastRenderedPageBreak/>
              <w:t>OV-5178/09, Bjanko zadužnica od 11.05.2009. na iznos od 500.000 kn OV-5180/09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179.831,52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ustupu tražbine od 22.05.2014. OV-1360/14-2, Ugovor o kreditu broj 145-51004189 od 05.05.2009. OV-5178/09, ugovor o kreditu broj </w:t>
            </w:r>
            <w:r>
              <w:rPr>
                <w:rFonts w:hAnsi="Times New Roman" w:ascii="Times New Roman"/>
                <w:sz w:val="18"/>
                <w:szCs w:val="18"/>
              </w:rPr>
              <w:lastRenderedPageBreak/>
              <w:t>145-51004189 OV-</w:t>
            </w:r>
            <w:r>
              <w:rPr>
                <w:rFonts w:hAnsi="Times New Roman" w:ascii="Times New Roman"/>
                <w:sz w:val="18"/>
                <w:szCs w:val="18"/>
              </w:rPr>
              <w:t>5178/09, Bjanko zadužnica od 11.05.2009. na iznos od 500.000 kn OV-5180/09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ustupu tražbine od 22.05.2014. OV-1360/14-2, Ugovor o kreditu broj 145-51004189 od 05.05.2009. OV-5178/09, ugovor o kreditu broj 145-51004189 </w:t>
            </w:r>
            <w:r>
              <w:rPr>
                <w:rFonts w:hAnsi="Times New Roman" w:ascii="Times New Roman"/>
                <w:sz w:val="18"/>
                <w:szCs w:val="18"/>
              </w:rPr>
              <w:lastRenderedPageBreak/>
              <w:t>OV-5178/09, Bjanko zadu</w:t>
            </w:r>
            <w:r>
              <w:rPr>
                <w:rFonts w:hAnsi="Times New Roman" w:ascii="Times New Roman"/>
                <w:sz w:val="18"/>
                <w:szCs w:val="18"/>
              </w:rPr>
              <w:t>žnica od 11.05.2009. na iznos od 500.000 kn OV-5180/09</w:t>
            </w: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B2 KAPITAL d.o.o.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57509775367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Zagreb, Radnička 41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15.078,17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Ugovor o financijskom leasingu motornog vozila HR/010901682, Izjava o cesiji od 27.01.2017.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15.078,17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financijskom leasingu </w:t>
            </w:r>
            <w:r>
              <w:rPr>
                <w:rFonts w:hAnsi="Times New Roman" w:ascii="Times New Roman"/>
                <w:sz w:val="18"/>
                <w:szCs w:val="18"/>
              </w:rPr>
              <w:t>motornog vozila HR/010901682, Izjava o cesiji od 27.01.2017.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Bjanko zadužnica OV-3028/08 od 12.02.2008. i Bjanko zadužnica OV-3027/08 od 12.02.2008.</w:t>
            </w: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5.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HEP-Operator distribucijskog sustava d.o.o., Elektroistra Pula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46830600751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Pula, Vergerijeva 6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1.031,05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Predstečajna nagodba TSVŽ Posl br 7 Stpn-118/13-6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1.031,05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Predstečajna nagodba TSVŽ Posl br 7 Stpn-118/13-6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6.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FINANCIJSKA AGENCIJA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85821130368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Zagreb, Ulica grada Vukovara 70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2.447,34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Rješenje nagodbenog vijeća ZG09 od 26.07.2013.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2.447,34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Rješenje nagodbenog vijeća ZG09 od 26.07.2013.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Rješenje nagodbenog vijeća ZG09 od 26.07.2013.</w:t>
            </w: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</w:pPr>
            <w:r>
              <w:rPr>
                <w:rFonts w:hAnsi="Times New Roman" w:ascii="Times New Roman"/>
                <w:sz w:val="18"/>
                <w:szCs w:val="18"/>
              </w:rPr>
              <w:t>7.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CROATIA OSIGURANJE d.d.</w:t>
            </w: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26187994862</w:t>
            </w: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Zagreb, Vatroslava Jagića 33</w:t>
            </w: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3.747,43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Rješenje TSVŽ Posl br 7 Stpn-118/13-6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3.747,43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Rješenje TSVŽ Posl br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7 Stpn-118/13-6</w:t>
            </w: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</w:pPr>
            <w:r>
              <w:rPr>
                <w:rFonts w:hAnsi="Times New Roman" w:ascii="Times New Roman"/>
                <w:sz w:val="18"/>
                <w:szCs w:val="18"/>
              </w:rPr>
              <w:t>Rješenje TSVŽ Posl br 7 Stpn-118/13-6</w:t>
            </w:r>
          </w:p>
        </w:tc>
      </w:tr>
      <w:tr w:rsidR="00EC5CAD"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6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2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1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845.235,16</w:t>
            </w:r>
          </w:p>
        </w:tc>
        <w:tc>
          <w:tcPr>
            <w:tcW w:type="dxa" w:w="14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777.746,96</w:t>
            </w:r>
          </w:p>
        </w:tc>
        <w:tc>
          <w:tcPr>
            <w:tcW w:type="dxa" w:w="12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9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A047D4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67.488,20</w:t>
            </w:r>
          </w:p>
        </w:tc>
        <w:tc>
          <w:tcPr>
            <w:tcW w:type="dxa" w:w="11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78"/>
            </w:tcMar>
          </w:tcPr>
          <w:p w:rsidRDefault="00EC5CAD" w:rsidR="00EC5CAD">
            <w:pPr>
              <w:pStyle w:val="Bezproreda"/>
            </w:pPr>
          </w:p>
        </w:tc>
      </w:tr>
    </w:tbl>
    <w:p w:rsidRDefault="00A047D4" w:rsidR="00EC5CA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pict>
          <v:rect filled="f" strokecolor="#3465a4" stroked="f" o:spid="_x0000_s1028" id="shape_0" style="position:absolute;left:0;text-align:left;margin-left:.05pt;margin-top:.05pt;width:700.1pt;height:13.3pt;z-index:251656704;mso-position-horizontal-relative:text;mso-position-vertical-relative:text">
            <v:fill o:detectmouseclick="t"/>
            <v:stroke joinstyle="round"/>
            <v:textbox>
              <w:txbxContent>
                <w:p w:rsidRDefault="00EC5CAD" w:rsidR="00EC5CAD">
                  <w:pPr>
                    <w:pStyle w:val="Sadrajokvira"/>
                  </w:pPr>
                </w:p>
              </w:txbxContent>
            </v:textbox>
          </v:rect>
        </w:pict>
      </w:r>
      <w:r>
        <w:br w:type="page"/>
      </w:r>
    </w:p>
    <w:p w:rsidRDefault="00A047D4" w:rsidR="00EC5CAD">
      <w:pPr>
        <w:jc w:val="center"/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</w:p>
    <w:p w:rsidRDefault="00EC5CAD" w:rsidR="00EC5CAD">
      <w:pPr>
        <w:jc w:val="center"/>
        <w:rPr>
          <w:rFonts w:hAnsi="Times New Roman" w:ascii="Times New Roman"/>
          <w:sz w:val="24"/>
        </w:rPr>
      </w:pPr>
    </w:p>
    <w:p w:rsidRDefault="00A047D4" w:rsidR="00EC5CA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pict>
          <v:rect filled="f" strokecolor="#3465a4" stroked="f" id="_x0000_s1027" style="position:absolute;left:0;text-align:left;margin-left:.05pt;margin-top:.05pt;width:700.1pt;height:317.1pt;z-index:251657728">
            <v:fill o:detectmouseclick="t"/>
            <v:stroke joinstyle="round"/>
            <v:textbox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78"/>
                    </w:tblCellMar>
                    <w:tblLook w:val="00A0" w:noVBand="0" w:noHBand="0" w:lastColumn="0" w:firstColumn="1" w:lastRow="0" w:firstRow="1"/>
                  </w:tblPr>
                  <w:tblGrid>
                    <w:gridCol w:w="1013"/>
                    <w:gridCol w:w="1744"/>
                    <w:gridCol w:w="1465"/>
                    <w:gridCol w:w="1802"/>
                    <w:gridCol w:w="2766"/>
                    <w:gridCol w:w="1302"/>
                    <w:gridCol w:w="1627"/>
                    <w:gridCol w:w="2196"/>
                  </w:tblGrid>
                  <w:tr w:rsidR="00EC5CAD">
                    <w:trPr>
                      <w:jc w:val="center"/>
                    </w:trPr>
                    <w:tc>
                      <w:tcPr>
                        <w:tcW w:type="dxa" w:w="1019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EC5CAD" w:rsidR="00EC5CAD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175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147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181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Adresa / 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sjedište razlučnog vjerovnika</w:t>
                        </w:r>
                      </w:p>
                    </w:tc>
                    <w:tc>
                      <w:tcPr>
                        <w:tcW w:type="dxa" w:w="279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Javna knjiga u koju je razlučno pravo upisano</w:t>
                        </w:r>
                      </w:p>
                    </w:tc>
                    <w:tc>
                      <w:tcPr>
                        <w:tcW w:type="dxa" w:w="130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Iznos tražbine osigurane razlučnim pravom (kn)</w:t>
                        </w:r>
                      </w:p>
                    </w:tc>
                    <w:tc>
                      <w:tcPr>
                        <w:tcW w:type="dxa" w:w="163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Pravnu osnovu tražbine osigurane razlučnim pravom</w:t>
                        </w:r>
                      </w:p>
                    </w:tc>
                    <w:tc>
                      <w:tcPr>
                        <w:tcW w:type="dxa" w:w="2211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Dio imovine na koji se odnosi razlučno pravo</w:t>
                        </w:r>
                      </w:p>
                    </w:tc>
                  </w:tr>
                  <w:tr w:rsidR="00EC5CAD">
                    <w:trPr>
                      <w:jc w:val="center"/>
                    </w:trPr>
                    <w:tc>
                      <w:tcPr>
                        <w:tcW w:type="dxa" w:w="1019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type="dxa" w:w="175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H-ABDUCO d.o.o.</w:t>
                        </w:r>
                      </w:p>
                    </w:tc>
                    <w:tc>
                      <w:tcPr>
                        <w:tcW w:type="dxa" w:w="147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13667298928</w:t>
                        </w:r>
                      </w:p>
                    </w:tc>
                    <w:tc>
                      <w:tcPr>
                        <w:tcW w:type="dxa" w:w="181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Zagreb, Slavonska avenija 6A</w:t>
                        </w:r>
                      </w:p>
                    </w:tc>
                    <w:tc>
                      <w:tcPr>
                        <w:tcW w:type="dxa" w:w="279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Zemljišna knjiga Općinskog suda u Čakovcu, ZK odjel Čakovec, zk.ul.br. 6758 E, k.o. Čakovec, etažno vlasništvo s posebnim omjerima na k.č. 1134/26/1/2, upisane u AI i opisane kao stambeno-poslovna zgrada, dvor površine 633 čhv 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– 90. suvlasnički dio: 17/220 ETAŽNO VLASNIŠTVO (E-90) 1. stan D1 u prizemlju od 38,55 m2</w:t>
                        </w:r>
                      </w:p>
                    </w:tc>
                    <w:tc>
                      <w:tcPr>
                        <w:tcW w:type="dxa" w:w="130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179.831,52</w:t>
                        </w:r>
                      </w:p>
                    </w:tc>
                    <w:tc>
                      <w:tcPr>
                        <w:tcW w:type="dxa" w:w="163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Ugovor o kreditu broj 145-51004189 sa sporazumom o osiguranju novčane tražbine od 05.05.2009.</w:t>
                        </w:r>
                      </w:p>
                    </w:tc>
                    <w:tc>
                      <w:tcPr>
                        <w:tcW w:type="dxa" w:w="2211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Nekretnina upisana u zemljišnu knjigu Općinskog suda u 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Čakovcu, ZK odjel Čakovec, zk.ul.br. 6758 E, k.o. Čakovec, etažno vlasništvo s posebnim omjerima na k.č. 1134/26/1/2, 90. suvlasnički dio: 17/220 ETAŽNO VLASNIŠTVO (E-90) 1. stan D1 u prizemlju od 38,55 m2</w:t>
                        </w:r>
                      </w:p>
                    </w:tc>
                  </w:tr>
                  <w:tr w:rsidR="00EC5CAD">
                    <w:trPr>
                      <w:jc w:val="center"/>
                    </w:trPr>
                    <w:tc>
                      <w:tcPr>
                        <w:tcW w:type="dxa" w:w="1019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  <w:p w:rsidRDefault="00A047D4" w:rsidR="00EC5CAD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2.</w:t>
                        </w:r>
                      </w:p>
                    </w:tc>
                    <w:tc>
                      <w:tcPr>
                        <w:tcW w:type="dxa" w:w="175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Republika Hrvatska, Ministarstvo financija, P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orezna uprava, Područni ured sjeverna Hrvatska</w:t>
                        </w:r>
                      </w:p>
                    </w:tc>
                    <w:tc>
                      <w:tcPr>
                        <w:tcW w:type="dxa" w:w="147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52634238587</w:t>
                        </w:r>
                      </w:p>
                    </w:tc>
                    <w:tc>
                      <w:tcPr>
                        <w:tcW w:type="dxa" w:w="181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Čakovec, O. Keršovanija 11</w:t>
                        </w:r>
                      </w:p>
                    </w:tc>
                    <w:tc>
                      <w:tcPr>
                        <w:tcW w:type="dxa" w:w="279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Zemljišna knjiga Općinskog suda u Čakovcu, ZK odjel Čakovec, zk.ul.br. 6758 E, k.o. Čakovec, etažno vlasništvo s posebnim omjerima na k.č. 1134/26/1/2, upisane u AI i 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opisane kao stambeno-poslovna zgrada, dvor površine 633 čhv – 90. suvlasnički dio: 17/220 ETAŽNO VLASNIŠTVO (E-90) 1. stan D1 u prizemlju od 38,55 m2</w:t>
                        </w:r>
                      </w:p>
                    </w:tc>
                    <w:tc>
                      <w:tcPr>
                        <w:tcW w:type="dxa" w:w="130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637.544,71</w:t>
                        </w:r>
                      </w:p>
                    </w:tc>
                    <w:tc>
                      <w:tcPr>
                        <w:tcW w:type="dxa" w:w="163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Rješenje o osiguranju Općinskog suda u Čakovcu br. Ov-718/11 od 19.05.2011.</w:t>
                        </w:r>
                      </w:p>
                    </w:tc>
                    <w:tc>
                      <w:tcPr>
                        <w:tcW w:type="dxa" w:w="2211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A047D4" w:rsidR="00EC5CAD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Nekretnina upisana 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u zemljišnu knjigu Općinskog suda u Čakovcu, ZK odjel Čakovec, zk.ul.br. 6758 E, k.o. Čakovec, etažno vlasništvo s posebnim omjerima na k.č. 1134/26/1/2, 90. suvlasnički dio: 17/220 ETAŽNO VLASNIŠTVO (E-90) 1. stan D1 u prizemlju od 38,55 m2</w:t>
                        </w:r>
                      </w:p>
                    </w:tc>
                  </w:tr>
                </w:tbl>
                <w:p w:rsidRDefault="00EC5CAD" w:rsidR="00EC5CAD">
                  <w:pPr>
                    <w:pStyle w:val="Sadrajokvira"/>
                  </w:pPr>
                </w:p>
              </w:txbxContent>
            </v:textbox>
          </v:rect>
        </w:pict>
      </w:r>
    </w:p>
    <w:p w:rsidRDefault="00A047D4" w:rsidR="00EC5CAD">
      <w:pPr>
        <w:jc w:val="center"/>
        <w:rPr>
          <w:rFonts w:hAnsi="Times New Roman" w:ascii="Times New Roman"/>
          <w:b/>
          <w:sz w:val="24"/>
        </w:rPr>
      </w:pPr>
      <w:r>
        <w:br w:type="page"/>
      </w:r>
    </w:p>
    <w:p w:rsidRDefault="00A047D4" w:rsidR="00EC5CAD">
      <w:pPr>
        <w:jc w:val="center"/>
      </w:pPr>
      <w:r>
        <w:rPr>
          <w:rFonts w:hAnsi="Times New Roman" w:ascii="Times New Roman"/>
          <w:b/>
          <w:sz w:val="24"/>
        </w:rPr>
        <w:lastRenderedPageBreak/>
        <w:t xml:space="preserve">III. </w:t>
      </w:r>
      <w:r>
        <w:rPr>
          <w:rFonts w:hAnsi="Times New Roman" w:ascii="Times New Roman"/>
          <w:b/>
          <w:sz w:val="24"/>
        </w:rPr>
        <w:t>TABLICA IZLUČNIH PRAVA</w:t>
      </w:r>
    </w:p>
    <w:p w:rsidRDefault="00EC5CAD" w:rsidR="00EC5CAD">
      <w:pPr>
        <w:jc w:val="center"/>
        <w:rPr>
          <w:rFonts w:hAnsi="Times New Roman" w:ascii="Times New Roman"/>
          <w:sz w:val="24"/>
        </w:rPr>
      </w:pPr>
    </w:p>
    <w:p w:rsidRDefault="00A047D4" w:rsidR="00EC5CA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pict>
          <v:rect filled="f" strokecolor="#3465a4" stroked="f" id="_x0000_s1026" style="position:absolute;left:0;text-align:left;margin-left:0;margin-top:.05pt;width:693.05pt;height:57.85pt;z-index:251658752;mso-position-horizontal:center">
            <v:fill o:detectmouseclick="t"/>
            <v:stroke joinstyle="round"/>
            <v:textbox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78"/>
                    </w:tblCellMar>
                    <w:tblLook w:val="00A0" w:noVBand="0" w:noHBand="0" w:lastColumn="0" w:firstColumn="1" w:lastRow="0" w:firstRow="1"/>
                  </w:tblPr>
                  <w:tblGrid>
                    <w:gridCol w:w="2058"/>
                    <w:gridCol w:w="3160"/>
                    <w:gridCol w:w="2354"/>
                    <w:gridCol w:w="2506"/>
                    <w:gridCol w:w="1851"/>
                    <w:gridCol w:w="1845"/>
                  </w:tblGrid>
                  <w:tr w:rsidR="00EC5CAD">
                    <w:trPr>
                      <w:jc w:val="center"/>
                    </w:trPr>
                    <w:tc>
                      <w:tcPr>
                        <w:tcW w:type="dxa" w:w="20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EC5CAD" w:rsidR="00EC5CAD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77_1559579906" w:id="1"/>
                        <w:bookmarkEnd w:id="1"/>
                      </w:p>
                    </w:tc>
                    <w:tc>
                      <w:tcPr>
                        <w:tcW w:type="dxa" w:w="3183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bookmarkStart w:name="__UnoMark__1779_1559579906" w:id="2"/>
                        <w:bookmarkStart w:name="__UnoMark__1778_1559579906" w:id="3"/>
                        <w:bookmarkEnd w:id="2"/>
                        <w:bookmarkEnd w:id="3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236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bookmarkStart w:name="__UnoMark__1781_1559579906" w:id="4"/>
                        <w:bookmarkStart w:name="__UnoMark__1780_1559579906" w:id="5"/>
                        <w:bookmarkEnd w:id="4"/>
                        <w:bookmarkEnd w:id="5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252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bookmarkStart w:name="__UnoMark__1783_1559579906" w:id="6"/>
                        <w:bookmarkStart w:name="__UnoMark__1782_1559579906" w:id="7"/>
                        <w:bookmarkEnd w:id="6"/>
                        <w:bookmarkEnd w:id="7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186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bookmarkStart w:name="__UnoMark__1785_1559579906" w:id="8"/>
                        <w:bookmarkStart w:name="__UnoMark__1784_1559579906" w:id="9"/>
                        <w:bookmarkEnd w:id="8"/>
                        <w:bookmarkEnd w:id="9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type="dxa" w:w="185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  <w:vAlign w:val="center"/>
                      </w:tcPr>
                      <w:p w:rsidRDefault="00A047D4" w:rsidR="00EC5CAD">
                        <w:pPr>
                          <w:pStyle w:val="Bezproreda"/>
                          <w:jc w:val="center"/>
                        </w:pPr>
                        <w:bookmarkStart w:name="__UnoMark__1787_1559579906" w:id="10"/>
                        <w:bookmarkStart w:name="__UnoMark__1786_1559579906" w:id="11"/>
                        <w:bookmarkEnd w:id="10"/>
                        <w:bookmarkEnd w:id="11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R="00EC5CAD">
                    <w:trPr>
                      <w:jc w:val="center"/>
                    </w:trPr>
                    <w:tc>
                      <w:tcPr>
                        <w:tcW w:type="dxa" w:w="20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89_1559579906" w:id="12"/>
                        <w:bookmarkEnd w:id="12"/>
                      </w:p>
                    </w:tc>
                    <w:tc>
                      <w:tcPr>
                        <w:tcW w:type="dxa" w:w="3183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0_1559579906" w:id="13"/>
                        <w:bookmarkStart w:name="__UnoMark__1791_1559579906" w:id="14"/>
                        <w:bookmarkEnd w:id="13"/>
                        <w:bookmarkEnd w:id="14"/>
                      </w:p>
                    </w:tc>
                    <w:tc>
                      <w:tcPr>
                        <w:tcW w:type="dxa" w:w="236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2_1559579906" w:id="15"/>
                        <w:bookmarkStart w:name="__UnoMark__1793_1559579906" w:id="16"/>
                        <w:bookmarkEnd w:id="15"/>
                        <w:bookmarkEnd w:id="16"/>
                      </w:p>
                    </w:tc>
                    <w:tc>
                      <w:tcPr>
                        <w:tcW w:type="dxa" w:w="252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4_1559579906" w:id="17"/>
                        <w:bookmarkStart w:name="__UnoMark__1795_1559579906" w:id="18"/>
                        <w:bookmarkEnd w:id="17"/>
                        <w:bookmarkEnd w:id="18"/>
                      </w:p>
                    </w:tc>
                    <w:tc>
                      <w:tcPr>
                        <w:tcW w:type="dxa" w:w="186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6_1559579906" w:id="19"/>
                        <w:bookmarkStart w:name="__UnoMark__1797_1559579906" w:id="20"/>
                        <w:bookmarkEnd w:id="19"/>
                        <w:bookmarkEnd w:id="20"/>
                      </w:p>
                    </w:tc>
                    <w:tc>
                      <w:tcPr>
                        <w:tcW w:type="dxa" w:w="185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78"/>
                        </w:tcMar>
                      </w:tcPr>
                      <w:p w:rsidRDefault="00EC5CAD" w:rsidR="00EC5CAD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8_1559579906" w:id="21"/>
                        <w:bookmarkStart w:name="__UnoMark__1799_1559579906" w:id="22"/>
                        <w:bookmarkEnd w:id="21"/>
                        <w:bookmarkEnd w:id="22"/>
                      </w:p>
                    </w:tc>
                  </w:tr>
                </w:tbl>
                <w:p w:rsidRDefault="00EC5CAD" w:rsidR="00EC5CAD">
                  <w:pPr>
                    <w:pStyle w:val="Sadrajokvira"/>
                  </w:pPr>
                </w:p>
              </w:txbxContent>
            </v:textbox>
          </v:rect>
        </w:pict>
      </w:r>
    </w:p>
    <w:p w:rsidRDefault="00A047D4" w:rsidR="00EC5C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Stečajni upravitelj nema saznanja </w:t>
      </w:r>
      <w:r>
        <w:rPr>
          <w:rFonts w:hAnsi="Times New Roman" w:ascii="Times New Roman"/>
          <w:sz w:val="24"/>
        </w:rPr>
        <w:t>o postojanju izlučnih prava.</w:t>
      </w:r>
    </w:p>
    <w:p w:rsidRDefault="00EC5CAD" w:rsidR="00EC5CAD">
      <w:pPr>
        <w:rPr>
          <w:rFonts w:hAnsi="Times New Roman" w:ascii="Times New Roman"/>
          <w:sz w:val="24"/>
        </w:rPr>
      </w:pPr>
    </w:p>
    <w:p w:rsidRDefault="00EC5CAD" w:rsidR="00EC5CAD">
      <w:pPr>
        <w:rPr>
          <w:rFonts w:hAnsi="Times New Roman" w:ascii="Times New Roman"/>
          <w:sz w:val="24"/>
        </w:rPr>
      </w:pPr>
    </w:p>
    <w:p w:rsidRDefault="00A047D4" w:rsidR="00EC5CAD"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A047D4" w:rsidR="00EC5CAD">
      <w:r>
        <w:rPr>
          <w:rFonts w:hAnsi="Times New Roman" w:ascii="Times New Roman"/>
          <w:sz w:val="24"/>
        </w:rPr>
        <w:t>Čakovec, 17.02.2017.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Vesna Baranašić Horvat, mag.oec.</w:t>
      </w:r>
    </w:p>
    <w:p w:rsidRDefault="00EC5CAD" w:rsidR="00EC5CAD"/>
    <w:sectPr w:rsidR="00EC5CAD"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D4" w:rsidR="00000000">
      <w:pPr>
        <w:spacing w:after="0"/>
      </w:pPr>
      <w:r>
        <w:separator/>
      </w:r>
    </w:p>
  </w:endnote>
  <w:endnote w:id="0" w:type="continuationSeparator">
    <w:p w:rsidRDefault="00A047D4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D4" w:rsidR="00EC5CAD">
      <w:r>
        <w:separator/>
      </w:r>
    </w:p>
  </w:footnote>
  <w:footnote w:id="0" w:type="continuationSeparator">
    <w:p w:rsidRDefault="00A047D4" w:rsidR="00EC5CAD">
      <w:r>
        <w:continuationSeparator/>
      </w:r>
    </w:p>
  </w:footnote>
  <w:footnote w:id="1">
    <w:p w:rsidRDefault="00A047D4" w:rsidR="00EC5CAD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 xml:space="preserve">Za radnike i prijašnje radnike </w:t>
      </w:r>
      <w:r>
        <w:rPr>
          <w:rFonts w:hAnsi="Times New Roman" w:ascii="Times New Roman"/>
        </w:rPr>
        <w:t>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CAD"/>
    <w:rsid w:val="00A047D4"/>
    <w:rsid w:val="00EC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Cs w:val="22"/>
        <w:lang w:bidi="ar-SA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1" w:type="paragraph">
    <w:name w:val="Stil naslova 1"/>
    <w:basedOn w:val="Stilnaslova"/>
    <w:qFormat/>
  </w:style>
  <w:style w:customStyle="true" w:styleId="Stilnaslova2" w:type="paragraph">
    <w:name w:val="Stil naslova 2"/>
    <w:basedOn w:val="Stilnaslova"/>
    <w:qFormat/>
  </w:style>
  <w:style w:customStyle="true" w:styleId="Stilnaslova3" w:type="paragraph">
    <w:name w:val="Stil naslova 3"/>
    <w:basedOn w:val="Stilnaslova"/>
    <w:qFormat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rPr>
      <w:vertAlign w:val="superscript"/>
    </w:rPr>
  </w:style>
  <w:style w:customStyle="true" w:styleId="Sidrozavrnebiljeke" w:type="character">
    <w:name w:val="Sidro završne bilješke"/>
    <w:rPr>
      <w:vertAlign w:val="superscript"/>
    </w:rPr>
  </w:style>
  <w:style w:customStyle="true" w:styleId="Znakovizavrnebiljeke" w:type="character">
    <w:name w:val="Znakovi završne bilješke"/>
    <w:qFormat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customStyle="true" w:styleId="Opiselementa" w:type="paragraph">
    <w:name w:val="Opis elementa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Fusnota" w:type="paragraph">
    <w:name w:val="Fusnota"/>
    <w:basedOn w:val="Normal"/>
  </w:style>
  <w:style w:customStyle="true" w:styleId="Sadrajokvira" w:type="paragraph">
    <w:name w:val="Sadržaj okvira"/>
    <w:basedOn w:val="Normal"/>
    <w:qFormat/>
  </w:style>
  <w:style w:customStyle="true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</w:style>
  <w:style w:styleId="Zaglavlje" w:type="paragraph">
    <w:name w:val="header"/>
    <w:basedOn w:val="Normal"/>
  </w:style>
  <w:style w:styleId="Tekstrezerviranogmjesta" w:type="character">
    <w:name w:val="Placeholder Text"/>
    <w:basedOn w:val="Zadanifontodlomka"/>
    <w:uiPriority w:val="99"/>
    <w:semiHidden/>
    <w:rsid w:val="00A04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7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7D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7D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7D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Cs w:val="22"/>
        <w:lang w:bidi="ar-SA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naslova1" w:type="paragraph">
    <w:name w:val="Stil naslova 1"/>
    <w:basedOn w:val="Stilnaslova"/>
    <w:qFormat/>
  </w:style>
  <w:style w:customStyle="1" w:styleId="Stilnaslova2" w:type="paragraph">
    <w:name w:val="Stil naslova 2"/>
    <w:basedOn w:val="Stilnaslova"/>
    <w:qFormat/>
  </w:style>
  <w:style w:customStyle="1" w:styleId="Stilnaslova3" w:type="paragraph">
    <w:name w:val="Stil naslova 3"/>
    <w:basedOn w:val="Stilnaslova"/>
    <w:qFormat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rPr>
      <w:vertAlign w:val="superscript"/>
    </w:rPr>
  </w:style>
  <w:style w:customStyle="1" w:styleId="Sidrozavrnebiljeke" w:type="character">
    <w:name w:val="Sidro završne bilješke"/>
    <w:rPr>
      <w:vertAlign w:val="superscript"/>
    </w:rPr>
  </w:style>
  <w:style w:customStyle="1" w:styleId="Znakovizavrnebiljeke" w:type="character">
    <w:name w:val="Znakovi završne bilješke"/>
    <w:qFormat/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customStyle="1" w:styleId="Opiselementa" w:type="paragraph">
    <w:name w:val="Opis elementa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Fusnota" w:type="paragraph">
    <w:name w:val="Fusnota"/>
    <w:basedOn w:val="Normal"/>
  </w:style>
  <w:style w:customStyle="1" w:styleId="Sadrajokvira" w:type="paragraph">
    <w:name w:val="Sadržaj okvira"/>
    <w:basedOn w:val="Normal"/>
    <w:qFormat/>
  </w:style>
  <w:style w:customStyle="1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styleId="Zaglavlje" w:type="paragraph">
    <w:name w:val="header"/>
    <w:basedOn w:val="Normal"/>
  </w:style>
  <w:style w:styleId="Tekstrezerviranogmjesta" w:type="character">
    <w:name w:val="Placeholder Text"/>
    <w:basedOn w:val="Zadanifontodlomka"/>
    <w:uiPriority w:val="99"/>
    <w:semiHidden/>
    <w:rsid w:val="00A04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7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7D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7D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7D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St-597/2016-24</izvorni_sadrzaj>
    <derivirana_varijabla naziv="DomainObject.Oznaka_1">St-597/2016-24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653</properties:Words>
  <properties:Characters>4183</properties:Characters>
  <properties:Lines>437</properties:Lines>
  <properties:Paragraphs>142</properties:Paragraphs>
  <properties:TotalTime>136</properties:TotalTime>
  <properties:ScaleCrop>false</properties:ScaleCrop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dc:language>hr-HR</dc:language>
  <cp:lastModifiedBy>Tihana Martinez</cp:lastModifiedBy>
  <dcterms:modified xmlns:xsi="http://www.w3.org/2001/XMLSchema-instance" xsi:type="dcterms:W3CDTF">2017-02-23T12:38:00Z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St-597/2016-24 / Podnesak - Tablica prijavljenih i osporenih tražbina</vt:lpwstr>
  </prop:property>
  <prop:property name="CC_coloring" pid="11" fmtid="{D5CDD505-2E9C-101B-9397-08002B2CF9AE}">
    <vt:bool>false</vt:bool>
  </prop:property>
  <prop:property name="BrojStranica" pid="12" fmtid="{D5CDD505-2E9C-101B-9397-08002B2CF9AE}">
    <vt:i4>6</vt:i4>
  </prop:property>
</prop:Properties>
</file>