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131d9" w14:paraId="87131d9" w:rsidRDefault="00CF6D87" w:rsidP="00CF6D87" w:rsidR="00CF6D87">
      <w:pPr>
        <w15:collapsed w:val="false"/>
        <w:rPr>
          <w:rFonts w:cs="Times New Roman" w:eastAsia="Times New Roman"/>
          <w:noProof/>
          <w:szCs w:val="24"/>
          <w:lang w:eastAsia="hr-HR"/>
        </w:rPr>
      </w:pPr>
      <w:bookmarkStart w:name="_GoBack" w:id="0"/>
      <w:bookmarkEnd w:id="0"/>
      <w:r>
        <w:rPr>
          <w:rFonts w:cs="Times New Roman" w:eastAsia="Times New Roman"/>
          <w:noProof/>
          <w:szCs w:val="24"/>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CF6D87" w:rsidP="00CF6D87" w:rsidR="00CF6D87">
      <w:pPr>
        <w:rPr>
          <w:rFonts w:cs="Times New Roman" w:eastAsia="Times New Roman"/>
          <w:noProof/>
          <w:szCs w:val="24"/>
          <w:lang w:eastAsia="hr-HR"/>
        </w:rPr>
      </w:pPr>
      <w:r>
        <w:rPr>
          <w:rFonts w:cs="Times New Roman" w:eastAsia="Times New Roman"/>
          <w:noProof/>
          <w:szCs w:val="24"/>
          <w:lang w:eastAsia="hr-HR"/>
        </w:rPr>
        <w:t>REPUBLIKA HRVATSKA</w:t>
      </w:r>
    </w:p>
    <w:p w:rsidRDefault="00CF6D87" w:rsidP="00CF6D87" w:rsidR="00CF6D87">
      <w:pPr>
        <w:rPr>
          <w:rFonts w:cs="Times New Roman" w:eastAsia="Times New Roman"/>
          <w:noProof/>
          <w:szCs w:val="24"/>
          <w:lang w:eastAsia="hr-HR"/>
        </w:rPr>
      </w:pPr>
      <w:r>
        <w:rPr>
          <w:rFonts w:cs="Times New Roman" w:eastAsia="Times New Roman"/>
          <w:noProof/>
          <w:szCs w:val="24"/>
          <w:lang w:eastAsia="hr-HR"/>
        </w:rPr>
        <w:t>TRGOVAČKI SUD U ZAGREBU</w:t>
      </w:r>
    </w:p>
    <w:p w:rsidRDefault="00CF6D87" w:rsidP="00CF6D87" w:rsidR="00CF6D87">
      <w:pPr>
        <w:rPr>
          <w:rFonts w:cs="Times New Roman" w:eastAsia="Times New Roman"/>
          <w:noProof/>
          <w:szCs w:val="24"/>
          <w:lang w:eastAsia="hr-HR"/>
        </w:rPr>
      </w:pPr>
      <w:r>
        <w:rPr>
          <w:rFonts w:cs="Times New Roman" w:eastAsia="Times New Roman"/>
          <w:noProof/>
          <w:szCs w:val="24"/>
          <w:lang w:eastAsia="hr-HR"/>
        </w:rPr>
        <w:t xml:space="preserve">Zagreb, Amruševa 2/II                                                         </w:t>
      </w:r>
      <w:r>
        <w:rPr>
          <w:rFonts w:cs="Times New Roman" w:eastAsia="Times New Roman"/>
          <w:noProof/>
          <w:szCs w:val="24"/>
          <w:lang w:eastAsia="hr-HR"/>
        </w:rPr>
        <w:tab/>
      </w:r>
      <w:r>
        <w:rPr>
          <w:rFonts w:cs="Times New Roman" w:eastAsia="Times New Roman"/>
          <w:noProof/>
          <w:szCs w:val="24"/>
          <w:lang w:eastAsia="hr-HR"/>
        </w:rPr>
        <w:tab/>
      </w:r>
    </w:p>
    <w:p w:rsidRDefault="00CF6D87" w:rsidP="00CF6D87" w:rsidR="00CF6D87">
      <w:pPr>
        <w:rPr>
          <w:rFonts w:cs="Times New Roman" w:eastAsia="Times New Roman"/>
          <w:noProof/>
          <w:szCs w:val="24"/>
          <w:lang w:eastAsia="hr-HR"/>
        </w:rPr>
      </w:pPr>
    </w:p>
    <w:p w:rsidRDefault="00CF6D87" w:rsidP="00CF6D87" w:rsidR="00CF6D87">
      <w:pPr>
        <w:rPr>
          <w:rFonts w:cs="Times New Roman" w:eastAsia="Times New Roman"/>
          <w:noProof/>
          <w:szCs w:val="24"/>
          <w:lang w:eastAsia="hr-HR"/>
        </w:rPr>
      </w:pPr>
    </w:p>
    <w:p w:rsidRDefault="00CF6D87" w:rsidP="00CF6D87" w:rsidR="00CF6D87">
      <w:pPr>
        <w:jc w:val="center"/>
        <w:rPr>
          <w:rFonts w:cs="Times New Roman" w:eastAsia="Times New Roman"/>
          <w:noProof/>
          <w:szCs w:val="24"/>
          <w:lang w:eastAsia="hr-HR"/>
        </w:rPr>
      </w:pPr>
      <w:r>
        <w:rPr>
          <w:rFonts w:cs="Times New Roman" w:eastAsia="Times New Roman"/>
          <w:noProof/>
          <w:szCs w:val="24"/>
          <w:lang w:eastAsia="hr-HR"/>
        </w:rPr>
        <w:t>R E P U B L I K A    H R V A T S K A</w:t>
      </w:r>
    </w:p>
    <w:p w:rsidRDefault="00CF6D87" w:rsidP="00CF6D87" w:rsidR="00CF6D87">
      <w:pPr>
        <w:jc w:val="center"/>
        <w:rPr>
          <w:rFonts w:cs="Times New Roman" w:eastAsia="Times New Roman"/>
          <w:noProof/>
          <w:szCs w:val="24"/>
          <w:lang w:eastAsia="hr-HR"/>
        </w:rPr>
      </w:pPr>
    </w:p>
    <w:p w:rsidRDefault="00CF6D87" w:rsidP="00CF6D87" w:rsidR="00CF6D87">
      <w:pPr>
        <w:jc w:val="center"/>
        <w:rPr>
          <w:rFonts w:cs="Times New Roman" w:eastAsia="Times New Roman"/>
          <w:noProof/>
          <w:szCs w:val="24"/>
          <w:lang w:eastAsia="hr-HR"/>
        </w:rPr>
      </w:pPr>
      <w:r>
        <w:rPr>
          <w:rFonts w:cs="Times New Roman" w:eastAsia="Times New Roman"/>
          <w:noProof/>
          <w:szCs w:val="24"/>
          <w:lang w:eastAsia="hr-HR"/>
        </w:rPr>
        <w:t>R J E Š E N J E</w:t>
      </w:r>
    </w:p>
    <w:p w:rsidRDefault="00CF6D87" w:rsidP="00CF6D87" w:rsidR="00CF6D87">
      <w:pPr>
        <w:jc w:val="both"/>
        <w:rPr>
          <w:rFonts w:cs="Times New Roman" w:eastAsia="Times New Roman"/>
          <w:b/>
          <w:noProof/>
          <w:szCs w:val="24"/>
          <w:lang w:eastAsia="hr-HR"/>
        </w:rPr>
      </w:pPr>
    </w:p>
    <w:p w:rsidRDefault="00CF6D87" w:rsidP="00CF6D87" w:rsidR="00CF6D87">
      <w:pPr>
        <w:ind w:firstLine="708"/>
        <w:jc w:val="both"/>
        <w:rPr>
          <w:rFonts w:cs="Times New Roman" w:eastAsia="Times New Roman"/>
          <w:noProof/>
          <w:szCs w:val="24"/>
          <w:lang w:eastAsia="hr-HR"/>
        </w:rPr>
      </w:pPr>
      <w:r>
        <w:rPr>
          <w:rFonts w:cs="Times New Roman" w:eastAsia="Times New Roman"/>
          <w:szCs w:val="24"/>
          <w:lang w:eastAsia="hr-HR"/>
        </w:rPr>
        <w:t> </w:t>
      </w:r>
      <w:r>
        <w:rPr>
          <w:rFonts w:cs="Times New Roman" w:eastAsia="Times New Roman"/>
          <w:noProof/>
          <w:szCs w:val="24"/>
          <w:lang w:eastAsia="hr-HR"/>
        </w:rPr>
        <w:t xml:space="preserve">TRGOVAČKI SUD U ZAGREBU po stečajnom sucu Mirjani Chour Hršak, postupajući po prijedlogu predlagatelja Financijske agencije, RC Zagreb, Podružnica Karlovac, Ul. Pavla Vitezovića 1, OIB: 85821130368, za otvaranje stečajnog postupka nad dužnikom </w:t>
      </w:r>
      <w:r w:rsidRPr="00DC2099">
        <w:rPr>
          <w:rFonts w:cs="Times New Roman"/>
        </w:rPr>
        <w:t>BLANKA LUX d.o.o. Karlovac, Trg Josipa Broza 4, OIB: 16268606537, MBS</w:t>
      </w:r>
      <w:r>
        <w:rPr>
          <w:rFonts w:cs="Times New Roman"/>
        </w:rPr>
        <w:t>: 080791974</w:t>
      </w:r>
      <w:r>
        <w:rPr>
          <w:rFonts w:cs="Times New Roman" w:eastAsia="Times New Roman"/>
          <w:noProof/>
          <w:szCs w:val="24"/>
          <w:lang w:eastAsia="hr-HR"/>
        </w:rPr>
        <w:t>,dana 09. srpnja 2018. godine</w:t>
      </w:r>
    </w:p>
    <w:p w:rsidRDefault="00CF6D87" w:rsidP="00CF6D87" w:rsidR="00CF6D87">
      <w:pPr>
        <w:overflowPunct w:val="false"/>
        <w:jc w:val="center"/>
        <w:rPr>
          <w:rFonts w:cs="Times New Roman" w:eastAsia="Times New Roman"/>
          <w:bCs/>
          <w:szCs w:val="24"/>
          <w:lang w:eastAsia="hr-HR"/>
        </w:rPr>
      </w:pPr>
    </w:p>
    <w:p w:rsidRDefault="00CF6D87" w:rsidP="00CF6D87" w:rsidR="00CF6D87">
      <w:pPr>
        <w:overflowPunct w:val="false"/>
        <w:jc w:val="center"/>
        <w:rPr>
          <w:rFonts w:cs="Times New Roman" w:eastAsia="Times New Roman"/>
          <w:szCs w:val="24"/>
          <w:lang w:eastAsia="hr-HR"/>
        </w:rPr>
      </w:pPr>
      <w:r>
        <w:rPr>
          <w:rFonts w:cs="Times New Roman" w:eastAsia="Times New Roman"/>
          <w:bCs/>
          <w:szCs w:val="24"/>
          <w:lang w:eastAsia="hr-HR"/>
        </w:rPr>
        <w:t>r i j e š i o   j e</w:t>
      </w:r>
    </w:p>
    <w:p w:rsidRDefault="00CF6D87" w:rsidP="00CF6D87" w:rsidR="00CF6D87">
      <w:pPr>
        <w:overflowPunct w:val="false"/>
        <w:jc w:val="center"/>
        <w:rPr>
          <w:rFonts w:cs="Times New Roman" w:eastAsia="Times New Roman"/>
          <w:szCs w:val="24"/>
          <w:lang w:eastAsia="hr-HR"/>
        </w:rPr>
      </w:pPr>
      <w:r>
        <w:rPr>
          <w:rFonts w:cs="Times New Roman" w:eastAsia="Times New Roman"/>
          <w:b/>
          <w:bCs/>
          <w:szCs w:val="24"/>
          <w:lang w:eastAsia="hr-HR"/>
        </w:rPr>
        <w:t> </w:t>
      </w:r>
    </w:p>
    <w:p w:rsidRDefault="00CF6D87" w:rsidP="00CF6D87" w:rsidR="00CF6D87">
      <w:pPr>
        <w:ind w:hanging="705" w:left="705"/>
        <w:jc w:val="both"/>
        <w:rPr>
          <w:rFonts w:cs="Times New Roman" w:eastAsia="Times New Roman"/>
          <w:noProof/>
          <w:szCs w:val="24"/>
          <w:lang w:eastAsia="hr-HR"/>
        </w:rPr>
      </w:pPr>
      <w:r>
        <w:rPr>
          <w:rFonts w:cs="Times New Roman" w:eastAsia="Times New Roman"/>
          <w:szCs w:val="24"/>
          <w:lang w:eastAsia="hr-HR"/>
        </w:rPr>
        <w:t>I</w:t>
      </w:r>
      <w:r>
        <w:rPr>
          <w:rFonts w:cs="Times New Roman" w:eastAsia="Times New Roman"/>
          <w:szCs w:val="24"/>
          <w:lang w:eastAsia="hr-HR"/>
        </w:rPr>
        <w:tab/>
        <w:t xml:space="preserve">Otvara se </w:t>
      </w:r>
      <w:r>
        <w:rPr>
          <w:rFonts w:cs="Times New Roman" w:eastAsia="Times New Roman"/>
          <w:noProof/>
          <w:szCs w:val="24"/>
          <w:lang w:eastAsia="hr-HR"/>
        </w:rPr>
        <w:t xml:space="preserve">stečajni postupak nad dužnikom </w:t>
      </w:r>
      <w:r w:rsidRPr="00DC2099">
        <w:rPr>
          <w:rFonts w:cs="Times New Roman"/>
        </w:rPr>
        <w:t>BLANKA LUX d.o.o. Karlovac, Trg Josipa Broza 4, OIB: 16268606537, MBS</w:t>
      </w:r>
      <w:r>
        <w:rPr>
          <w:rFonts w:cs="Times New Roman"/>
        </w:rPr>
        <w:t>: 080791974</w:t>
      </w:r>
      <w:r>
        <w:rPr>
          <w:rFonts w:cs="Times New Roman" w:eastAsia="Times New Roman"/>
          <w:noProof/>
          <w:szCs w:val="24"/>
          <w:lang w:eastAsia="hr-HR"/>
        </w:rPr>
        <w:t>.</w:t>
      </w:r>
    </w:p>
    <w:p w:rsidRDefault="00CF6D87" w:rsidP="00CF6D87" w:rsidR="00CF6D87">
      <w:pPr>
        <w:ind w:hanging="705" w:left="705"/>
        <w:jc w:val="both"/>
        <w:rPr>
          <w:rFonts w:cs="Times New Roman" w:eastAsia="Times New Roman"/>
          <w:noProof/>
          <w:szCs w:val="24"/>
          <w:lang w:eastAsia="hr-HR"/>
        </w:rPr>
      </w:pPr>
    </w:p>
    <w:p w:rsidRDefault="00CF6D87" w:rsidP="00CF6D87" w:rsidR="00CF6D87">
      <w:pPr>
        <w:ind w:hanging="705" w:left="705"/>
        <w:jc w:val="both"/>
        <w:rPr>
          <w:rFonts w:cs="Times New Roman" w:eastAsia="Times New Roman"/>
          <w:noProof/>
          <w:szCs w:val="24"/>
          <w:lang w:eastAsia="hr-HR"/>
        </w:rPr>
      </w:pPr>
      <w:r>
        <w:rPr>
          <w:rFonts w:cs="Times New Roman" w:eastAsia="Times New Roman"/>
          <w:noProof/>
          <w:szCs w:val="24"/>
          <w:lang w:eastAsia="hr-HR"/>
        </w:rPr>
        <w:t>II</w:t>
      </w:r>
      <w:r>
        <w:rPr>
          <w:rFonts w:cs="Times New Roman" w:eastAsia="Times New Roman"/>
          <w:noProof/>
          <w:szCs w:val="24"/>
          <w:lang w:eastAsia="hr-HR"/>
        </w:rPr>
        <w:tab/>
        <w:t>Za stečajnog upravitelja imenuje se Miroslav Borš, Zagreb, Plemićeva 2, OIB: 69665623244.</w:t>
      </w:r>
    </w:p>
    <w:p w:rsidRDefault="00CF6D87" w:rsidP="00CF6D87" w:rsidR="00CF6D87">
      <w:pPr>
        <w:jc w:val="both"/>
        <w:rPr>
          <w:rFonts w:cs="Times New Roman" w:eastAsia="Times New Roman"/>
          <w:noProof/>
          <w:szCs w:val="24"/>
          <w:lang w:eastAsia="hr-HR"/>
        </w:rPr>
      </w:pPr>
    </w:p>
    <w:p w:rsidRDefault="00CF6D87" w:rsidP="00CF6D87" w:rsidR="00CF6D87">
      <w:pPr>
        <w:ind w:hanging="705" w:left="705"/>
        <w:jc w:val="both"/>
        <w:rPr>
          <w:rFonts w:cs="Times New Roman" w:eastAsia="Times New Roman"/>
          <w:noProof/>
          <w:szCs w:val="24"/>
          <w:lang w:eastAsia="hr-HR"/>
        </w:rPr>
      </w:pPr>
      <w:r>
        <w:rPr>
          <w:rFonts w:cs="Times New Roman" w:eastAsia="Times New Roman"/>
          <w:noProof/>
          <w:szCs w:val="24"/>
          <w:lang w:eastAsia="hr-HR"/>
        </w:rPr>
        <w:t>III</w:t>
      </w:r>
      <w:r>
        <w:rPr>
          <w:rFonts w:cs="Times New Roman" w:eastAsia="Times New Roman"/>
          <w:noProof/>
          <w:szCs w:val="24"/>
          <w:lang w:eastAsia="hr-HR"/>
        </w:rPr>
        <w:tab/>
        <w:t>Zaključuje</w:t>
      </w:r>
      <w:r>
        <w:rPr>
          <w:rFonts w:cs="Times New Roman" w:eastAsia="Times New Roman"/>
          <w:szCs w:val="24"/>
          <w:lang w:eastAsia="hr-HR"/>
        </w:rPr>
        <w:t xml:space="preserve"> se </w:t>
      </w:r>
      <w:r>
        <w:rPr>
          <w:rFonts w:cs="Times New Roman" w:eastAsia="Times New Roman"/>
          <w:noProof/>
          <w:szCs w:val="24"/>
          <w:lang w:eastAsia="hr-HR"/>
        </w:rPr>
        <w:t xml:space="preserve">stečajni postupak nad dužnikom </w:t>
      </w:r>
      <w:r w:rsidR="00F571CB" w:rsidRPr="00DC2099">
        <w:rPr>
          <w:rFonts w:cs="Times New Roman"/>
        </w:rPr>
        <w:t>BLANKA LUX d.o.o. Karlovac, Trg Josipa Broza 4, OIB: 16268606537, MBS</w:t>
      </w:r>
      <w:r w:rsidR="00F571CB">
        <w:rPr>
          <w:rFonts w:cs="Times New Roman"/>
        </w:rPr>
        <w:t>: 080791974</w:t>
      </w:r>
      <w:r>
        <w:rPr>
          <w:rFonts w:cs="Times New Roman" w:eastAsia="Times New Roman"/>
          <w:noProof/>
          <w:szCs w:val="24"/>
          <w:lang w:eastAsia="hr-HR"/>
        </w:rPr>
        <w:t>.</w:t>
      </w:r>
    </w:p>
    <w:p w:rsidRDefault="00CF6D87" w:rsidP="00CF6D87" w:rsidR="00CF6D87">
      <w:pPr>
        <w:ind w:hanging="705" w:left="705"/>
        <w:jc w:val="both"/>
        <w:rPr>
          <w:rFonts w:cs="Times New Roman" w:eastAsia="Times New Roman"/>
          <w:noProof/>
          <w:szCs w:val="24"/>
          <w:lang w:eastAsia="hr-HR"/>
        </w:rPr>
      </w:pPr>
    </w:p>
    <w:p w:rsidRDefault="00CF6D87" w:rsidP="00CF6D87" w:rsidR="00CF6D87">
      <w:pPr>
        <w:ind w:hanging="705" w:left="705"/>
        <w:jc w:val="both"/>
        <w:rPr>
          <w:rFonts w:cs="Times New Roman" w:eastAsia="Times New Roman"/>
          <w:noProof/>
          <w:szCs w:val="24"/>
          <w:lang w:eastAsia="hr-HR"/>
        </w:rPr>
      </w:pPr>
      <w:r>
        <w:rPr>
          <w:rFonts w:cs="Times New Roman" w:eastAsia="Times New Roman"/>
          <w:noProof/>
          <w:szCs w:val="24"/>
          <w:lang w:eastAsia="hr-HR"/>
        </w:rPr>
        <w:t>IV</w:t>
      </w:r>
      <w:r>
        <w:rPr>
          <w:rFonts w:cs="Times New Roman" w:eastAsia="Times New Roman"/>
          <w:noProof/>
          <w:szCs w:val="24"/>
          <w:lang w:eastAsia="hr-HR"/>
        </w:rPr>
        <w:tab/>
        <w:t>Ovlašćuje se stečajni upravitelj zastupati stečajnu masu, te pokrenuti i voditi u ime stečajne mase postupke radi prikupljanja imovine koja ulazi u stečajnu masu.</w:t>
      </w:r>
    </w:p>
    <w:p w:rsidRDefault="00CF6D87" w:rsidP="00CF6D87" w:rsidR="00CF6D87">
      <w:pPr>
        <w:ind w:hanging="705" w:left="705"/>
        <w:jc w:val="both"/>
        <w:rPr>
          <w:rFonts w:cs="Times New Roman" w:eastAsia="Times New Roman"/>
          <w:noProof/>
          <w:szCs w:val="24"/>
          <w:lang w:eastAsia="hr-HR"/>
        </w:rPr>
      </w:pPr>
    </w:p>
    <w:p w:rsidRDefault="00CF6D87" w:rsidP="00CF6D87" w:rsidR="00CF6D87">
      <w:pPr>
        <w:ind w:hanging="705" w:left="705"/>
        <w:jc w:val="both"/>
        <w:rPr>
          <w:rFonts w:cs="Times New Roman" w:eastAsia="Times New Roman"/>
          <w:noProof/>
          <w:szCs w:val="24"/>
          <w:lang w:eastAsia="hr-HR"/>
        </w:rPr>
      </w:pPr>
      <w:r>
        <w:rPr>
          <w:rFonts w:cs="Times New Roman" w:eastAsia="Times New Roman"/>
          <w:noProof/>
          <w:szCs w:val="24"/>
          <w:lang w:eastAsia="hr-HR"/>
        </w:rPr>
        <w:t>V</w:t>
      </w:r>
      <w:r>
        <w:rPr>
          <w:rFonts w:cs="Times New Roman" w:eastAsia="Times New Roman"/>
          <w:noProof/>
          <w:szCs w:val="24"/>
          <w:lang w:eastAsia="hr-HR"/>
        </w:rPr>
        <w:tab/>
        <w:t xml:space="preserve">Ovo rješenje objavljuje se na e-oglasna ploča suda i dostavlja Sudskom registru ovog Suda radi brisanja dužnika iz  registra. </w:t>
      </w:r>
    </w:p>
    <w:p w:rsidRDefault="00CF6D87" w:rsidP="00CF6D87" w:rsidR="00CF6D87">
      <w:pPr>
        <w:overflowPunct w:val="false"/>
        <w:ind w:left="1005"/>
        <w:jc w:val="both"/>
        <w:rPr>
          <w:rFonts w:cs="Times New Roman" w:eastAsia="Times New Roman"/>
          <w:szCs w:val="24"/>
          <w:lang w:eastAsia="hr-HR"/>
        </w:rPr>
      </w:pPr>
    </w:p>
    <w:p w:rsidRDefault="00CF6D87" w:rsidP="00CF6D87" w:rsidR="00CF6D87">
      <w:pPr>
        <w:overflowPunct w:val="false"/>
        <w:ind w:hanging="1005" w:left="1005"/>
        <w:jc w:val="center"/>
        <w:rPr>
          <w:rFonts w:cs="Times New Roman" w:eastAsia="Times New Roman"/>
          <w:szCs w:val="24"/>
          <w:lang w:eastAsia="hr-HR"/>
        </w:rPr>
      </w:pPr>
      <w:r>
        <w:rPr>
          <w:rFonts w:cs="Times New Roman" w:eastAsia="Times New Roman"/>
          <w:szCs w:val="24"/>
          <w:lang w:eastAsia="hr-HR"/>
        </w:rPr>
        <w:t>Obrazloženje</w:t>
      </w:r>
    </w:p>
    <w:p w:rsidRDefault="00CF6D87" w:rsidP="00CF6D87" w:rsidR="00CF6D87">
      <w:pPr>
        <w:overflowPunct w:val="false"/>
        <w:jc w:val="both"/>
        <w:rPr>
          <w:rFonts w:cs="Times New Roman" w:eastAsia="Times New Roman"/>
          <w:noProof/>
          <w:szCs w:val="24"/>
          <w:lang w:eastAsia="hr-HR"/>
        </w:rPr>
      </w:pPr>
      <w:r>
        <w:rPr>
          <w:rFonts w:cs="Times New Roman" w:eastAsia="Times New Roman"/>
          <w:szCs w:val="24"/>
          <w:lang w:eastAsia="hr-HR"/>
        </w:rPr>
        <w:t> </w:t>
      </w:r>
    </w:p>
    <w:p w:rsidRDefault="00CF6D87" w:rsidP="00CF6D87" w:rsidR="00CF6D87">
      <w:pPr>
        <w:tabs>
          <w:tab w:pos="709" w:val="left"/>
        </w:tabs>
        <w:jc w:val="both"/>
        <w:rPr>
          <w:rFonts w:cs="Times New Roman" w:eastAsia="Times New Roman"/>
          <w:szCs w:val="24"/>
          <w:lang w:eastAsia="hr-HR"/>
        </w:rPr>
      </w:pPr>
      <w:r>
        <w:rPr>
          <w:rFonts w:cs="Times New Roman" w:eastAsia="Times New Roman"/>
          <w:szCs w:val="24"/>
          <w:lang w:eastAsia="hr-HR"/>
        </w:rPr>
        <w:tab/>
        <w:t xml:space="preserve">Financijska agencija je podnijela prijedlog za otvaranje stečajnog postupka nad dužnikom </w:t>
      </w:r>
      <w:r w:rsidR="00F571CB" w:rsidRPr="00DC2099">
        <w:rPr>
          <w:rFonts w:cs="Times New Roman"/>
        </w:rPr>
        <w:t>BLANKA LUX d.o.o. Karlovac, Trg Josipa Broza 4, OIB: 16268606537, MBS</w:t>
      </w:r>
      <w:r w:rsidR="00F571CB">
        <w:rPr>
          <w:rFonts w:cs="Times New Roman"/>
        </w:rPr>
        <w:t>: 080791974</w:t>
      </w:r>
      <w:r>
        <w:t>,</w:t>
      </w:r>
      <w:r>
        <w:rPr>
          <w:rFonts w:cs="Times New Roman" w:eastAsia="Times New Roman"/>
          <w:szCs w:val="24"/>
          <w:lang w:eastAsia="hr-HR"/>
        </w:rPr>
        <w:t xml:space="preserve"> temeljem čl. 444. st. 2. Stečajnog zakona (NN 71/15), a</w:t>
      </w:r>
      <w:r w:rsidR="00F571CB">
        <w:rPr>
          <w:rFonts w:cs="Times New Roman" w:eastAsia="Times New Roman"/>
          <w:szCs w:val="24"/>
          <w:lang w:eastAsia="hr-HR"/>
        </w:rPr>
        <w:t xml:space="preserve"> koji je zaprimljen na sudu 11. ožujka </w:t>
      </w:r>
      <w:r>
        <w:rPr>
          <w:rFonts w:cs="Times New Roman" w:eastAsia="Times New Roman"/>
          <w:szCs w:val="24"/>
          <w:lang w:eastAsia="hr-HR"/>
        </w:rPr>
        <w:t xml:space="preserve">2016. godine  u kojem se navodi da stečajni dužnik u očevidniku redoslijeda osnova za plaćanje ima evidentirane neizvršene osnove za plaćanje u neprekinutom razdoblju od </w:t>
      </w:r>
      <w:r w:rsidR="00F571CB">
        <w:rPr>
          <w:rFonts w:cs="Times New Roman" w:eastAsia="Times New Roman"/>
          <w:szCs w:val="24"/>
          <w:lang w:eastAsia="hr-HR"/>
        </w:rPr>
        <w:t>285</w:t>
      </w:r>
      <w:r>
        <w:rPr>
          <w:rFonts w:cs="Times New Roman" w:eastAsia="Times New Roman"/>
          <w:szCs w:val="24"/>
          <w:lang w:eastAsia="hr-HR"/>
        </w:rPr>
        <w:t xml:space="preserve"> dan te da ima 1 zaposlenog.   </w:t>
      </w:r>
    </w:p>
    <w:p w:rsidRDefault="00CF6D87" w:rsidP="00CF6D87" w:rsidR="00CF6D87">
      <w:pPr>
        <w:tabs>
          <w:tab w:pos="1440" w:val="left"/>
        </w:tabs>
        <w:jc w:val="both"/>
        <w:rPr>
          <w:rFonts w:cs="Times New Roman" w:eastAsia="Times New Roman"/>
          <w:szCs w:val="24"/>
          <w:lang w:eastAsia="hr-HR"/>
        </w:rPr>
      </w:pPr>
      <w:r>
        <w:rPr>
          <w:rFonts w:cs="Times New Roman" w:eastAsia="Times New Roman"/>
          <w:szCs w:val="24"/>
          <w:lang w:eastAsia="hr-HR"/>
        </w:rPr>
        <w:t xml:space="preserve">           Na temelju prijedloga je rješenjem od 19. veljače 2017. godine pokrenut prethodni postupak radi utvrđivanja uvjeta za otvaranje stečajnog postupka te naloženo zakonskom zastupniku da dostavi sudu popis imovine (prokazni popis imovine).</w:t>
      </w:r>
    </w:p>
    <w:p w:rsidRDefault="00CF6D87" w:rsidP="00CF6D87" w:rsidR="00CF6D87">
      <w:pPr>
        <w:ind w:firstLine="708"/>
        <w:jc w:val="both"/>
        <w:rPr>
          <w:rFonts w:cs="Times New Roman" w:eastAsia="Times New Roman"/>
          <w:szCs w:val="24"/>
          <w:lang w:eastAsia="hr-HR"/>
        </w:rPr>
      </w:pPr>
    </w:p>
    <w:p w:rsidRDefault="00CF6D87" w:rsidP="00CF6D87" w:rsidR="00CF6D87">
      <w:pPr>
        <w:ind w:firstLine="708"/>
        <w:jc w:val="both"/>
        <w:rPr>
          <w:rFonts w:cs="Times New Roman" w:eastAsia="Times New Roman"/>
          <w:szCs w:val="24"/>
          <w:lang w:eastAsia="hr-HR"/>
        </w:rPr>
      </w:pPr>
    </w:p>
    <w:p w:rsidRDefault="00CF6D87" w:rsidP="00CF6D87" w:rsidR="00CF6D87">
      <w:pPr>
        <w:ind w:firstLine="708"/>
        <w:jc w:val="both"/>
        <w:rPr>
          <w:rFonts w:cs="Times New Roman" w:eastAsia="Times New Roman"/>
          <w:szCs w:val="24"/>
          <w:lang w:eastAsia="hr-HR"/>
        </w:rPr>
      </w:pPr>
    </w:p>
    <w:p w:rsidRDefault="00CF6D87" w:rsidP="00CF6D87" w:rsidR="00CF6D87">
      <w:pPr>
        <w:ind w:firstLine="708"/>
        <w:jc w:val="both"/>
        <w:rPr>
          <w:rFonts w:cs="Times New Roman" w:eastAsia="Times New Roman"/>
          <w:szCs w:val="24"/>
          <w:lang w:eastAsia="hr-HR"/>
        </w:rPr>
      </w:pPr>
      <w:r>
        <w:rPr>
          <w:rFonts w:cs="Times New Roman" w:eastAsia="Times New Roman"/>
          <w:szCs w:val="24"/>
          <w:lang w:eastAsia="hr-HR"/>
        </w:rPr>
        <w:t>Rješenjem suda od 12. travnja 2018. godine koje je objavljeno na e-Oglasnoj ploči suda 12. travnja 2018. godine pozvani su vjerovnici koji imaju pravni interes da se stečajni postupak provede na uplatu predujma. Nitko od vjerovnika nije uplatio zatraženi iznos.</w:t>
      </w:r>
    </w:p>
    <w:p w:rsidRDefault="00CF6D87" w:rsidP="00CF6D87" w:rsidR="00CF6D87">
      <w:pPr>
        <w:ind w:firstLine="708"/>
        <w:jc w:val="both"/>
        <w:rPr>
          <w:rFonts w:cs="Times New Roman" w:eastAsia="Times New Roman"/>
          <w:szCs w:val="24"/>
          <w:lang w:eastAsia="hr-HR"/>
        </w:rPr>
      </w:pPr>
      <w:r>
        <w:rPr>
          <w:rFonts w:cs="Times New Roman" w:eastAsia="Times New Roman"/>
          <w:szCs w:val="24"/>
          <w:lang w:eastAsia="hr-HR"/>
        </w:rPr>
        <w:t xml:space="preserve">Istim rješenjem vjerovnici su upozoreni da ukoliko ne postupe u skladu sa točkom 1 stečajni sudac će nakon proteka roka donijeti rješenje o otvaranju i zaključenju stečajnog postupka. </w:t>
      </w:r>
    </w:p>
    <w:p w:rsidRDefault="00CF6D87" w:rsidP="00CF6D87" w:rsidR="00CF6D87">
      <w:pPr>
        <w:ind w:firstLine="708"/>
        <w:jc w:val="both"/>
        <w:rPr>
          <w:rFonts w:cs="Times New Roman" w:eastAsia="Times New Roman"/>
          <w:szCs w:val="24"/>
          <w:lang w:eastAsia="hr-HR"/>
        </w:rPr>
      </w:pPr>
      <w:r>
        <w:rPr>
          <w:rFonts w:cs="Times New Roman" w:eastAsia="Times New Roman"/>
          <w:szCs w:val="24"/>
          <w:lang w:eastAsia="hr-HR"/>
        </w:rPr>
        <w:t xml:space="preserve">Prema potvrdi FINA-e žiro račun dužnika na 01. rujna 2015. godine blokiran je </w:t>
      </w:r>
      <w:r w:rsidR="00713097">
        <w:rPr>
          <w:rFonts w:cs="Times New Roman" w:eastAsia="Times New Roman"/>
          <w:szCs w:val="24"/>
          <w:lang w:eastAsia="hr-HR"/>
        </w:rPr>
        <w:t>285</w:t>
      </w:r>
      <w:r>
        <w:rPr>
          <w:rFonts w:cs="Times New Roman" w:eastAsia="Times New Roman"/>
          <w:szCs w:val="24"/>
          <w:lang w:eastAsia="hr-HR"/>
        </w:rPr>
        <w:t xml:space="preserve"> dan, a nepodmirene obveze iznose </w:t>
      </w:r>
      <w:r w:rsidR="00713097">
        <w:rPr>
          <w:rFonts w:cs="Times New Roman" w:eastAsia="Times New Roman"/>
          <w:szCs w:val="24"/>
          <w:lang w:eastAsia="hr-HR"/>
        </w:rPr>
        <w:t>11.193,60</w:t>
      </w:r>
      <w:r>
        <w:rPr>
          <w:rFonts w:cs="Times New Roman" w:eastAsia="Times New Roman"/>
          <w:szCs w:val="24"/>
          <w:lang w:eastAsia="hr-HR"/>
        </w:rPr>
        <w:t xml:space="preserve"> kuna.</w:t>
      </w:r>
    </w:p>
    <w:p w:rsidRDefault="00CF6D87" w:rsidP="00CF6D87" w:rsidR="00CF6D87">
      <w:pPr>
        <w:ind w:firstLine="708"/>
        <w:jc w:val="both"/>
        <w:rPr>
          <w:rFonts w:cs="Times New Roman" w:eastAsia="Times New Roman"/>
          <w:szCs w:val="24"/>
          <w:lang w:eastAsia="hr-HR"/>
        </w:rPr>
      </w:pPr>
      <w:r>
        <w:rPr>
          <w:rFonts w:cs="Times New Roman" w:eastAsia="Times New Roman"/>
          <w:szCs w:val="24"/>
          <w:lang w:eastAsia="hr-HR"/>
        </w:rPr>
        <w:t xml:space="preserve">Prema odredbi čl. 132. Stečajnog zakona, ako tijekom prethodnog postupka utvrdi da imovina dužnika koja bi ušla u stečajnu masu nije dovoljna ni za namirenje troškova tog postupka ili je neznatne vrijednosti, stečajni sudac će donijeti odluku o otvaranju i zaključenju tog postupka. Postupak se neće zaključiti ako se u roku koji rješenjem odredi stečajni sudac predujmi dostatan iznos za pokriće troškova kako prethodnog tako i otvorenog stečajnog postupka. </w:t>
      </w:r>
    </w:p>
    <w:p w:rsidRDefault="00CF6D87" w:rsidP="00CF6D87" w:rsidR="00CF6D87">
      <w:pPr>
        <w:ind w:firstLine="708"/>
        <w:jc w:val="both"/>
        <w:rPr>
          <w:rFonts w:cs="Times New Roman" w:eastAsia="Times New Roman"/>
          <w:szCs w:val="24"/>
          <w:lang w:eastAsia="hr-HR"/>
        </w:rPr>
      </w:pPr>
      <w:r>
        <w:rPr>
          <w:rFonts w:cs="Times New Roman" w:eastAsia="Times New Roman"/>
          <w:szCs w:val="24"/>
          <w:lang w:eastAsia="hr-HR"/>
        </w:rPr>
        <w:t xml:space="preserve">Obzirom da je utvrđeno postojanje stečajnog razloga nesposobnosti za plaćanje iz čl. 5. Stečajnog zakona,  te  kako nitko od vjerovnika nije predujmio iznos određen rješenjem od 06. ožujka 2017.  godine, valjalo je temeljem čl. 85. st. 1., a u vezi sa čl. 84. st. 1. Stečajnog zakona imenovati stečajnog upravitelja te temeljem čl. 132. st. 1. Stečajnog zakona donijeti odluku o otvaranju i zaključenju stečajnog postupka. </w:t>
      </w:r>
    </w:p>
    <w:p w:rsidRDefault="00CF6D87" w:rsidP="00CF6D87" w:rsidR="00CF6D87">
      <w:pPr>
        <w:overflowPunct w:val="false"/>
        <w:jc w:val="both"/>
        <w:rPr>
          <w:rFonts w:cs="Times New Roman" w:eastAsia="Times New Roman"/>
          <w:szCs w:val="24"/>
          <w:lang w:eastAsia="hr-HR"/>
        </w:rPr>
      </w:pPr>
    </w:p>
    <w:p w:rsidRDefault="00CF6D87" w:rsidP="00CF6D87" w:rsidR="00CF6D87">
      <w:pPr>
        <w:overflowPunct w:val="false"/>
        <w:jc w:val="center"/>
        <w:rPr>
          <w:rFonts w:cs="Times New Roman" w:eastAsia="Times New Roman"/>
          <w:szCs w:val="24"/>
          <w:lang w:eastAsia="hr-HR"/>
        </w:rPr>
      </w:pPr>
      <w:r>
        <w:rPr>
          <w:rFonts w:cs="Times New Roman" w:eastAsia="Times New Roman"/>
          <w:szCs w:val="24"/>
          <w:lang w:eastAsia="hr-HR"/>
        </w:rPr>
        <w:t>Zagreb, 09. srpnja 2018.</w:t>
      </w:r>
    </w:p>
    <w:p w:rsidRDefault="00CF6D87" w:rsidP="00CF6D87" w:rsidR="00CF6D87">
      <w:pPr>
        <w:overflowPunct w:val="false"/>
        <w:jc w:val="center"/>
        <w:rPr>
          <w:rFonts w:cs="Times New Roman" w:eastAsia="Times New Roman"/>
          <w:szCs w:val="24"/>
          <w:lang w:eastAsia="hr-HR"/>
        </w:rPr>
      </w:pPr>
    </w:p>
    <w:p w:rsidRDefault="00CF6D87" w:rsidP="00CF6D87" w:rsidR="00CF6D87">
      <w:pPr>
        <w:overflowPunct w:val="false"/>
        <w:ind w:firstLine="720" w:left="5040"/>
        <w:jc w:val="both"/>
        <w:rPr>
          <w:rFonts w:cs="Times New Roman" w:eastAsia="Times New Roman"/>
          <w:szCs w:val="24"/>
          <w:lang w:eastAsia="hr-HR"/>
        </w:rPr>
      </w:pPr>
      <w:r>
        <w:rPr>
          <w:rFonts w:cs="Times New Roman" w:eastAsia="Times New Roman"/>
          <w:szCs w:val="24"/>
          <w:lang w:eastAsia="hr-HR"/>
        </w:rPr>
        <w:t xml:space="preserve">              </w:t>
      </w:r>
      <w:r>
        <w:rPr>
          <w:rFonts w:cs="Times New Roman" w:eastAsia="Times New Roman"/>
          <w:szCs w:val="24"/>
          <w:lang w:eastAsia="hr-HR"/>
        </w:rPr>
        <w:tab/>
        <w:t>S U D A C :</w:t>
      </w:r>
    </w:p>
    <w:p w:rsidRDefault="00CF6D87" w:rsidP="00CF6D87" w:rsidR="00CF6D87">
      <w:pPr>
        <w:overflowPunct w:val="false"/>
        <w:ind w:firstLine="720" w:left="5040"/>
        <w:jc w:val="both"/>
        <w:rPr>
          <w:rFonts w:cs="Times New Roman" w:eastAsia="Times New Roman"/>
          <w:szCs w:val="24"/>
          <w:lang w:eastAsia="hr-HR"/>
        </w:rPr>
      </w:pPr>
    </w:p>
    <w:p w:rsidRDefault="00CF6D87" w:rsidP="00CF6D87" w:rsidR="00CF6D87">
      <w:pPr>
        <w:overflowPunct w:val="false"/>
        <w:ind w:firstLine="708" w:left="4248"/>
        <w:jc w:val="right"/>
        <w:rPr>
          <w:rFonts w:cs="Times New Roman" w:eastAsia="Times New Roman"/>
          <w:szCs w:val="24"/>
          <w:lang w:eastAsia="hr-HR"/>
        </w:rPr>
      </w:pPr>
      <w:r>
        <w:rPr>
          <w:rFonts w:cs="Times New Roman" w:eastAsia="Times New Roman"/>
          <w:szCs w:val="24"/>
          <w:lang w:eastAsia="hr-HR"/>
        </w:rPr>
        <w:t>MIRJANA CHOUR HRŠAK</w:t>
      </w:r>
      <w:r w:rsidR="00E80CC9">
        <w:rPr>
          <w:rFonts w:cs="Times New Roman" w:eastAsia="Times New Roman"/>
          <w:szCs w:val="24"/>
          <w:lang w:eastAsia="hr-HR"/>
        </w:rPr>
        <w:t>, v.r.</w:t>
      </w:r>
    </w:p>
    <w:p w:rsidRDefault="00CF6D87" w:rsidP="00CF6D87" w:rsidR="00CF6D87">
      <w:pPr>
        <w:overflowPunct w:val="false"/>
        <w:ind w:firstLine="708" w:left="4248"/>
        <w:jc w:val="center"/>
        <w:rPr>
          <w:rFonts w:cs="Times New Roman" w:eastAsia="Times New Roman"/>
          <w:szCs w:val="24"/>
          <w:lang w:eastAsia="hr-HR"/>
        </w:rPr>
      </w:pPr>
    </w:p>
    <w:p w:rsidRDefault="00CF6D87" w:rsidP="00CF6D87" w:rsidR="00CF6D87">
      <w:pPr>
        <w:overflowPunct w:val="false"/>
        <w:ind w:firstLine="708" w:left="4248"/>
        <w:jc w:val="center"/>
        <w:rPr>
          <w:rFonts w:cs="Times New Roman" w:eastAsia="Times New Roman"/>
          <w:noProof/>
          <w:szCs w:val="24"/>
          <w:lang w:eastAsia="hr-HR"/>
        </w:rPr>
      </w:pPr>
    </w:p>
    <w:p w:rsidRDefault="00CF6D87" w:rsidP="00CF6D87" w:rsidR="00CF6D87">
      <w:pPr>
        <w:rPr>
          <w:rFonts w:cs="Times New Roman" w:eastAsia="Times New Roman"/>
          <w:noProof/>
          <w:szCs w:val="24"/>
          <w:lang w:eastAsia="hr-HR"/>
        </w:rPr>
      </w:pPr>
      <w:r>
        <w:rPr>
          <w:rFonts w:cs="Times New Roman" w:eastAsia="Times New Roman"/>
          <w:noProof/>
          <w:szCs w:val="24"/>
          <w:lang w:eastAsia="hr-HR"/>
        </w:rPr>
        <w:t>UPUTA O PRAVNOM LIJEKU:</w:t>
      </w:r>
    </w:p>
    <w:p w:rsidRDefault="00CF6D87" w:rsidP="00CF6D87" w:rsidR="00CF6D87">
      <w:pPr>
        <w:jc w:val="both"/>
        <w:rPr>
          <w:rFonts w:cs="Times New Roman" w:eastAsia="Times New Roman"/>
          <w:noProof/>
          <w:szCs w:val="24"/>
          <w:lang w:eastAsia="hr-HR"/>
        </w:rPr>
      </w:pPr>
      <w:r>
        <w:rPr>
          <w:rFonts w:cs="Times New Roman" w:eastAsia="Times New Roman"/>
          <w:noProof/>
          <w:szCs w:val="24"/>
          <w:lang w:eastAsia="hr-HR"/>
        </w:rPr>
        <w:t>Protiv ovog rješenja može se izjaviti žalba. Žalba se podnosi ovom sudu u 2 primjerka za Visoki trgovački sud RH u roku od 8 dana, od dana dostave rješenja.</w:t>
      </w:r>
    </w:p>
    <w:p w:rsidRDefault="00CF6D87" w:rsidP="00CF6D87" w:rsidR="00CF6D87">
      <w:pPr>
        <w:jc w:val="both"/>
        <w:rPr>
          <w:rFonts w:cs="Times New Roman" w:eastAsia="Times New Roman"/>
          <w:noProof/>
          <w:szCs w:val="24"/>
          <w:lang w:eastAsia="hr-HR"/>
        </w:rPr>
      </w:pPr>
    </w:p>
    <w:p w:rsidRDefault="00CF6D87" w:rsidP="00CF6D87" w:rsidR="00CF6D87">
      <w:pPr>
        <w:jc w:val="both"/>
        <w:rPr>
          <w:rFonts w:cs="Times New Roman" w:eastAsia="Times New Roman"/>
          <w:noProof/>
          <w:szCs w:val="24"/>
          <w:lang w:eastAsia="hr-HR"/>
        </w:rPr>
      </w:pPr>
    </w:p>
    <w:p w:rsidRDefault="00E80CC9" w:rsidP="00E40762" w:rsidR="00E80CC9">
      <w:pPr>
        <w:jc w:val="right"/>
        <w:rPr>
          <w:szCs w:val="24"/>
        </w:rPr>
      </w:pPr>
      <w:r>
        <w:rPr>
          <w:szCs w:val="24"/>
        </w:rPr>
        <w:t>Za točnost otpravka – ovlašteni službenik:</w:t>
      </w:r>
    </w:p>
    <w:p w:rsidRDefault="00E80CC9" w:rsidP="00E40762" w:rsidR="00E80CC9">
      <w:pPr>
        <w:ind w:firstLine="708" w:left="3540"/>
        <w:jc w:val="center"/>
      </w:pPr>
      <w:r>
        <w:rPr>
          <w:szCs w:val="24"/>
        </w:rPr>
        <w:t xml:space="preserve">             Vlasta Bogović Milisavljević</w:t>
      </w:r>
    </w:p>
    <w:p w:rsidRDefault="00CF6D87" w:rsidP="00CF6D87" w:rsidR="00CF6D87"/>
    <w:p w:rsidRDefault="00CF6D87" w:rsidP="00CF6D87" w:rsidR="00CF6D87"/>
    <w:p w:rsidRDefault="00CF6D87" w:rsidP="00CF6D87" w:rsidR="00CF6D87">
      <w:pPr>
        <w:ind w:left="720"/>
        <w:rPr>
          <w:rFonts w:cs="Times New Roman" w:eastAsia="Times New Roman"/>
          <w:noProof/>
          <w:szCs w:val="24"/>
          <w:lang w:eastAsia="hr-HR"/>
        </w:rPr>
      </w:pP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r>
      <w:r>
        <w:rPr>
          <w:rFonts w:cs="Times New Roman" w:eastAsia="Times New Roman"/>
          <w:noProof/>
          <w:szCs w:val="24"/>
          <w:lang w:eastAsia="hr-HR"/>
        </w:rPr>
        <w:tab/>
        <w:t xml:space="preserve">        </w:t>
      </w:r>
    </w:p>
    <w:p w:rsidRDefault="00CF6D87" w:rsidP="00CF6D87" w:rsidR="00CF6D87">
      <w:pPr>
        <w:rPr>
          <w:rFonts w:cs="Times New Roman" w:eastAsia="Times New Roman"/>
          <w:noProof/>
          <w:szCs w:val="24"/>
          <w:lang w:eastAsia="hr-HR"/>
        </w:rPr>
      </w:pPr>
    </w:p>
    <w:p w:rsidRDefault="00CF6D87" w:rsidP="00CF6D87" w:rsidR="00CF6D87">
      <w:pPr>
        <w:rPr>
          <w:rFonts w:cs="Times New Roman" w:eastAsia="Times New Roman"/>
          <w:noProof/>
          <w:szCs w:val="24"/>
          <w:lang w:eastAsia="hr-HR"/>
        </w:rPr>
      </w:pPr>
    </w:p>
    <w:p w:rsidRDefault="00CF6D87" w:rsidP="00CF6D87" w:rsidR="00CF6D87"/>
    <w:p w:rsidRDefault="00CF6D87" w:rsidP="00CF6D87" w:rsidR="00CF6D87"/>
    <w:p w:rsidRDefault="00CF6D87" w:rsidP="00CF6D87" w:rsidR="00CF6D87"/>
    <w:p w:rsidRDefault="001E1F87" w:rsidR="001E1F87"/>
    <w:sectPr w:rsidR="001E1F87">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6D87" w:rsidP="00CF6D87" w:rsidR="00CF6D87">
      <w:r>
        <w:separator/>
      </w:r>
    </w:p>
  </w:endnote>
  <w:endnote w:id="0" w:type="continuationSeparator">
    <w:p w:rsidRDefault="00CF6D87" w:rsidP="00CF6D87" w:rsidR="00CF6D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6D87" w:rsidP="00CF6D87" w:rsidR="00CF6D87">
      <w:r>
        <w:separator/>
      </w:r>
    </w:p>
  </w:footnote>
  <w:footnote w:id="0" w:type="continuationSeparator">
    <w:p w:rsidRDefault="00CF6D87" w:rsidP="00CF6D87" w:rsidR="00CF6D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90314988"/>
      <w:docPartObj>
        <w:docPartGallery w:val="Page Numbers (Top of Page)"/>
        <w:docPartUnique/>
      </w:docPartObj>
    </w:sdtPr>
    <w:sdtEndPr/>
    <w:sdtContent>
      <w:p w:rsidRDefault="00CF6D87" w:rsidR="00CF6D87">
        <w:pPr>
          <w:pStyle w:val="Zaglavlje"/>
          <w:jc w:val="center"/>
        </w:pPr>
        <w:r>
          <w:fldChar w:fldCharType="begin"/>
        </w:r>
        <w:r>
          <w:instrText>PAGE   \* MERGEFORMAT</w:instrText>
        </w:r>
        <w:r>
          <w:fldChar w:fldCharType="separate"/>
        </w:r>
        <w:r w:rsidR="00E80CC9">
          <w:rPr>
            <w:noProof/>
          </w:rPr>
          <w:t>1</w:t>
        </w:r>
        <w:r>
          <w:fldChar w:fldCharType="end"/>
        </w:r>
      </w:p>
    </w:sdtContent>
  </w:sdt>
  <w:p w:rsidRDefault="00CF6D87" w:rsidP="00CF6D87" w:rsidR="00CF6D87">
    <w:pPr>
      <w:pStyle w:val="Zaglavlje"/>
      <w:jc w:val="right"/>
    </w:pPr>
    <w:r>
      <w:t>34. St-1773/2017-20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EA3E7E"/>
    <w:multiLevelType w:val="hybridMultilevel"/>
    <w:tmpl w:val="9F1A421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6D87"/>
    <w:rsid w:val="000434F1"/>
    <w:rsid w:val="00045FAF"/>
    <w:rsid w:val="0005710B"/>
    <w:rsid w:val="00096970"/>
    <w:rsid w:val="001033F0"/>
    <w:rsid w:val="00117BC5"/>
    <w:rsid w:val="00193FB6"/>
    <w:rsid w:val="001E1F87"/>
    <w:rsid w:val="002A523F"/>
    <w:rsid w:val="002F1388"/>
    <w:rsid w:val="00380484"/>
    <w:rsid w:val="003A5CA7"/>
    <w:rsid w:val="003C05E2"/>
    <w:rsid w:val="00431B33"/>
    <w:rsid w:val="004A164D"/>
    <w:rsid w:val="004E5A94"/>
    <w:rsid w:val="00586C62"/>
    <w:rsid w:val="005C31AA"/>
    <w:rsid w:val="00624600"/>
    <w:rsid w:val="00697A50"/>
    <w:rsid w:val="006B087F"/>
    <w:rsid w:val="00712582"/>
    <w:rsid w:val="00713097"/>
    <w:rsid w:val="0073291F"/>
    <w:rsid w:val="0078397D"/>
    <w:rsid w:val="007F726F"/>
    <w:rsid w:val="008064D1"/>
    <w:rsid w:val="00854CB5"/>
    <w:rsid w:val="0085732A"/>
    <w:rsid w:val="0086702C"/>
    <w:rsid w:val="0087609D"/>
    <w:rsid w:val="008E6B30"/>
    <w:rsid w:val="009035D9"/>
    <w:rsid w:val="009461D1"/>
    <w:rsid w:val="00AF40C4"/>
    <w:rsid w:val="00B63DC2"/>
    <w:rsid w:val="00BA536C"/>
    <w:rsid w:val="00C60B87"/>
    <w:rsid w:val="00CD0023"/>
    <w:rsid w:val="00CF6257"/>
    <w:rsid w:val="00CF6D87"/>
    <w:rsid w:val="00E37745"/>
    <w:rsid w:val="00E80CC9"/>
    <w:rsid w:val="00EB7BCA"/>
    <w:rsid w:val="00ED46BF"/>
    <w:rsid w:val="00F03380"/>
    <w:rsid w:val="00F27AEA"/>
    <w:rsid w:val="00F571CB"/>
    <w:rsid w:val="00F856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F6D8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6D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6D87"/>
    <w:rPr>
      <w:rFonts w:cs="Tahoma" w:hAnsi="Tahoma" w:ascii="Tahoma"/>
      <w:sz w:val="16"/>
      <w:szCs w:val="16"/>
    </w:rPr>
  </w:style>
  <w:style w:styleId="Zaglavlje" w:type="paragraph">
    <w:name w:val="header"/>
    <w:basedOn w:val="Normal"/>
    <w:link w:val="ZaglavljeChar"/>
    <w:uiPriority w:val="99"/>
    <w:unhideWhenUsed/>
    <w:rsid w:val="00CF6D87"/>
    <w:pPr>
      <w:tabs>
        <w:tab w:pos="4536" w:val="center"/>
        <w:tab w:pos="9072" w:val="right"/>
      </w:tabs>
    </w:pPr>
  </w:style>
  <w:style w:customStyle="true" w:styleId="ZaglavljeChar" w:type="character">
    <w:name w:val="Zaglavlje Char"/>
    <w:basedOn w:val="Zadanifontodlomka"/>
    <w:link w:val="Zaglavlje"/>
    <w:uiPriority w:val="99"/>
    <w:rsid w:val="00CF6D87"/>
  </w:style>
  <w:style w:styleId="Podnoje" w:type="paragraph">
    <w:name w:val="footer"/>
    <w:basedOn w:val="Normal"/>
    <w:link w:val="PodnojeChar"/>
    <w:uiPriority w:val="99"/>
    <w:unhideWhenUsed/>
    <w:rsid w:val="00CF6D87"/>
    <w:pPr>
      <w:tabs>
        <w:tab w:pos="4536" w:val="center"/>
        <w:tab w:pos="9072" w:val="right"/>
      </w:tabs>
    </w:pPr>
  </w:style>
  <w:style w:customStyle="true" w:styleId="PodnojeChar" w:type="character">
    <w:name w:val="Podnožje Char"/>
    <w:basedOn w:val="Zadanifontodlomka"/>
    <w:link w:val="Podnoje"/>
    <w:uiPriority w:val="99"/>
    <w:rsid w:val="00CF6D87"/>
  </w:style>
  <w:style w:styleId="Tekstrezerviranogmjesta" w:type="character">
    <w:name w:val="Placeholder Text"/>
    <w:basedOn w:val="Zadanifontodlomka"/>
    <w:uiPriority w:val="99"/>
    <w:semiHidden/>
    <w:rsid w:val="00E80CC9"/>
    <w:rPr>
      <w:color w:val="808080"/>
      <w:bdr w:space="0" w:sz="0" w:color="auto" w:val="none"/>
      <w:shd w:fill="auto" w:color="auto" w:val="clear"/>
    </w:rPr>
  </w:style>
  <w:style w:customStyle="true" w:styleId="eSPISCCParagraphDefaultFont" w:type="character">
    <w:name w:val="eSPIS_CC_Paragraph Default Font"/>
    <w:basedOn w:val="Zadanifontodlomka"/>
    <w:rsid w:val="00E80CC9"/>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80CC9"/>
    <w:rPr>
      <w:rFonts w:cs="Times New Roman" w:eastAsia="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80CC9"/>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80CC9"/>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F6D8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F6D87"/>
    <w:rPr>
      <w:rFonts w:ascii="Tahoma" w:cs="Tahoma" w:hAnsi="Tahoma"/>
      <w:sz w:val="16"/>
      <w:szCs w:val="16"/>
    </w:rPr>
  </w:style>
  <w:style w:customStyle="1" w:styleId="TekstbaloniaChar" w:type="character">
    <w:name w:val="Tekst balončića Char"/>
    <w:basedOn w:val="Zadanifontodlomka"/>
    <w:link w:val="Tekstbalonia"/>
    <w:uiPriority w:val="99"/>
    <w:semiHidden/>
    <w:rsid w:val="00CF6D87"/>
    <w:rPr>
      <w:rFonts w:ascii="Tahoma" w:cs="Tahoma" w:hAnsi="Tahoma"/>
      <w:sz w:val="16"/>
      <w:szCs w:val="16"/>
    </w:rPr>
  </w:style>
  <w:style w:styleId="Zaglavlje" w:type="paragraph">
    <w:name w:val="header"/>
    <w:basedOn w:val="Normal"/>
    <w:link w:val="ZaglavljeChar"/>
    <w:uiPriority w:val="99"/>
    <w:unhideWhenUsed/>
    <w:rsid w:val="00CF6D87"/>
    <w:pPr>
      <w:tabs>
        <w:tab w:pos="4536" w:val="center"/>
        <w:tab w:pos="9072" w:val="right"/>
      </w:tabs>
    </w:pPr>
  </w:style>
  <w:style w:customStyle="1" w:styleId="ZaglavljeChar" w:type="character">
    <w:name w:val="Zaglavlje Char"/>
    <w:basedOn w:val="Zadanifontodlomka"/>
    <w:link w:val="Zaglavlje"/>
    <w:uiPriority w:val="99"/>
    <w:rsid w:val="00CF6D87"/>
  </w:style>
  <w:style w:styleId="Podnoje" w:type="paragraph">
    <w:name w:val="footer"/>
    <w:basedOn w:val="Normal"/>
    <w:link w:val="PodnojeChar"/>
    <w:uiPriority w:val="99"/>
    <w:unhideWhenUsed/>
    <w:rsid w:val="00CF6D87"/>
    <w:pPr>
      <w:tabs>
        <w:tab w:pos="4536" w:val="center"/>
        <w:tab w:pos="9072" w:val="right"/>
      </w:tabs>
    </w:pPr>
  </w:style>
  <w:style w:customStyle="1" w:styleId="PodnojeChar" w:type="character">
    <w:name w:val="Podnožje Char"/>
    <w:basedOn w:val="Zadanifontodlomka"/>
    <w:link w:val="Podnoje"/>
    <w:uiPriority w:val="99"/>
    <w:rsid w:val="00CF6D87"/>
  </w:style>
  <w:style w:styleId="Tekstrezerviranogmjesta" w:type="character">
    <w:name w:val="Placeholder Text"/>
    <w:basedOn w:val="Zadanifontodlomka"/>
    <w:uiPriority w:val="99"/>
    <w:semiHidden/>
    <w:rsid w:val="00E80CC9"/>
    <w:rPr>
      <w:color w:val="808080"/>
      <w:bdr w:color="auto" w:space="0" w:sz="0" w:val="none"/>
      <w:shd w:color="auto" w:fill="auto" w:val="clear"/>
    </w:rPr>
  </w:style>
  <w:style w:customStyle="1" w:styleId="eSPISCCParagraphDefaultFont" w:type="character">
    <w:name w:val="eSPIS_CC_Paragraph Default Font"/>
    <w:basedOn w:val="Zadanifontodlomka"/>
    <w:rsid w:val="00E80CC9"/>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80CC9"/>
    <w:rPr>
      <w:rFonts w:cs="Times New Roman" w:eastAsia="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80CC9"/>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80CC9"/>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4966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srpnja 2018.</izvorni_sadrzaj>
    <derivirana_varijabla naziv="DomainObject.DatumDonosenjaOdluke_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1773</izvorni_sadrzaj>
    <derivirana_varijabla naziv="DomainObject.Predmet.Broj_1">1773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2017.</izvorni_sadrzaj>
    <derivirana_varijabla naziv="DomainObject.Predmet.DatumOsnivanja_1">21.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St-1773/2017</izvorni_sadrzaj>
    <derivirana_varijabla naziv="DomainObject.Predmet.OznakaBroj_1">St-1773/2017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Upisano temeljem naredbe 
Broj: 31 Su-84/2016. od 08. lipnja 2017.</izvorni_sadrzaj>
    <derivirana_varijabla naziv="DomainObject.Predmet.PrimjedbaSuca_1">Upisano temeljem naredbe 
Broj: 31 Su-84/2016. od 08. lipnja 2017.</derivirana_varijabla>
  </DomainObject.Predmet.PrimjedbaSuca>
  <DomainObject.Predmet.ProtustrankaFormated>
    <izvorni_sadrzaj>  BLANKA LUX d.o.o. zastupanog po punomoćniku Irma Rubil-Jonatan</izvorni_sadrzaj>
    <derivirana_varijabla naziv="DomainObject.Predmet.ProtustrankaFormated_1">  BLANKA LUX d.o.o. zastupanog po punomoćniku Irma Rubil-Jonatan</derivirana_varijabla>
  </DomainObject.Predmet.ProtustrankaFormated>
  <DomainObject.Predmet.ProtustrankaFormatedOIB>
    <izvorni_sadrzaj>  BLANKA LUX d.o.o., OIB 16268606537 zastupanog po punomoćniku Irma Rubil-Jonatan</izvorni_sadrzaj>
    <derivirana_varijabla naziv="DomainObject.Predmet.ProtustrankaFormatedOIB_1">  BLANKA LUX d.o.o., OIB 16268606537 zastupanog po punomoćniku Irma Rubil-Jonatan</derivirana_varijabla>
  </DomainObject.Predmet.ProtustrankaFormatedOIB>
  <DomainObject.Predmet.ProtustrankaFormatedWithAdress>
    <izvorni_sadrzaj> BLANKA LUX d.o.o., Trg Josipa Broza 4, 47000 Karlovac zastupanog po punomoćniku Irma Rubil-Jonatan</izvorni_sadrzaj>
    <derivirana_varijabla naziv="DomainObject.Predmet.ProtustrankaFormatedWithAdress_1"> BLANKA LUX d.o.o., Trg Josipa Broza 4, 47000 Karlovac zastupanog po punomoćniku Irma Rubil-Jonatan</derivirana_varijabla>
  </DomainObject.Predmet.ProtustrankaFormatedWithAdress>
  <DomainObject.Predmet.ProtustrankaFormatedWithAdressOIB>
    <izvorni_sadrzaj> BLANKA LUX d.o.o., OIB 16268606537, Trg Josipa Broza 4, 47000 Karlovac zastupanog po punomoćniku Irma Rubil-Jonatan</izvorni_sadrzaj>
    <derivirana_varijabla naziv="DomainObject.Predmet.ProtustrankaFormatedWithAdressOIB_1"> BLANKA LUX d.o.o., OIB 16268606537, Trg Josipa Broza 4, 47000 Karlovac zastupanog po punomoćniku Irma Rubil-Jonatan</derivirana_varijabla>
  </DomainObject.Predmet.ProtustrankaFormatedWithAdressOIB>
  <DomainObject.Predmet.ProtustrankaWithAdress>
    <izvorni_sadrzaj>BLANKA LUX d.o.o. Trg Josipa Broza 4, 47000 Karlovac</izvorni_sadrzaj>
    <derivirana_varijabla naziv="DomainObject.Predmet.ProtustrankaWithAdress_1">BLANKA LUX d.o.o. Trg Josipa Broza 4, 47000 Karlovac</derivirana_varijabla>
  </DomainObject.Predmet.ProtustrankaWithAdress>
  <DomainObject.Predmet.ProtustrankaWithAdressOIB>
    <izvorni_sadrzaj>BLANKA LUX d.o.o., OIB 16268606537, Trg Josipa Broza 4, 47000 Karlovac</izvorni_sadrzaj>
    <derivirana_varijabla naziv="DomainObject.Predmet.ProtustrankaWithAdressOIB_1">BLANKA LUX d.o.o., OIB 16268606537, Trg Josipa Broza 4, 47000 Karlovac</derivirana_varijabla>
  </DomainObject.Predmet.ProtustrankaWithAdressOIB>
  <DomainObject.Predmet.ProtustrankaNazivFormated>
    <izvorni_sadrzaj>BLANKA LUX d.o.o.</izvorni_sadrzaj>
    <derivirana_varijabla naziv="DomainObject.Predmet.ProtustrankaNazivFormated_1">BLANKA LUX d.o.o.</derivirana_varijabla>
  </DomainObject.Predmet.ProtustrankaNazivFormated>
  <DomainObject.Predmet.ProtustrankaNazivFormatedOIB>
    <izvorni_sadrzaj>BLANKA LUX d.o.o., OIB 16268606537</izvorni_sadrzaj>
    <derivirana_varijabla naziv="DomainObject.Predmet.ProtustrankaNazivFormatedOIB_1">BLANKA LUX d.o.o., OIB 16268606537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VJEROVNICI</izvorni_sadrzaj>
    <derivirana_varijabla naziv="DomainObject.Predmet.StrankaFormated_1">  FINA Regionalni centar Zagreb, Podružnica Karlovac; VJEROVNICI</derivirana_varijabla>
  </DomainObject.Predmet.StrankaFormated>
  <DomainObject.Predmet.StrankaFormatedOIB>
    <izvorni_sadrzaj>  FINA Regionalni centar Zagreb, Podružnica Karlovac, OIB 85821130368; VJEROVNICI</izvorni_sadrzaj>
    <derivirana_varijabla naziv="DomainObject.Predmet.StrankaFormatedOIB_1">  FINA Regionalni centar Zagreb, Podružnica Karlovac, OIB 85821130368; VJEROVNICI</derivirana_varijabla>
  </DomainObject.Predmet.StrankaFormatedOIB>
  <DomainObject.Predmet.StrankaFormatedWithAdress>
    <izvorni_sadrzaj> FINA Regionalni centar Zagreb, Podružnica Karlovac, Ul. Pavla Vitezovića 1, 47000 Karlovac; VJEROVNICI</izvorni_sadrzaj>
    <derivirana_varijabla naziv="DomainObject.Predmet.StrankaFormatedWithAdress_1"> FINA Regionalni centar Zagreb, Podružnica Karlovac, Ul. Pavla Vitezovića 1, 47000 Karlovac; VJEROVNICI</derivirana_varijabla>
  </DomainObject.Predmet.StrankaFormatedWithAdress>
  <DomainObject.Predmet.StrankaFormatedWithAdressOIB>
    <izvorni_sadrzaj> FINA Regionalni centar Zagreb, Podružnica Karlovac, OIB 85821130368, Ul. Pavla Vitezovića 1, 47000 Karlovac; VJEROVNICI</izvorni_sadrzaj>
    <derivirana_varijabla naziv="DomainObject.Predmet.StrankaFormatedWithAdressOIB_1"> FINA Regionalni centar Zagreb, Podružnica Karlovac, OIB 85821130368, Ul. Pavla Vitezovića 1, 47000 Karlovac; VJEROVNICI</derivirana_varijabla>
  </DomainObject.Predmet.StrankaFormatedWithAdressOIB>
  <DomainObject.Predmet.StrankaWithAdress>
    <izvorni_sadrzaj>FINA Regionalni centar Zagreb, Podružnica Karlovac Ul. Pavla Vitezovića 1,47000 Karlovac,VJEROVNICI </izvorni_sadrzaj>
    <derivirana_varijabla naziv="DomainObject.Predmet.StrankaWithAdress_1">FINA Regionalni centar Zagreb, Podružnica Karlovac Ul. Pavla Vitezovića 1,47000 Karlovac,VJEROVNICI </derivirana_varijabla>
  </DomainObject.Predmet.StrankaWithAdress>
  <DomainObject.Predmet.StrankaWithAdressOIB>
    <izvorni_sadrzaj>FINA Regionalni centar Zagreb, Podružnica Karlovac, OIB 85821130368, Ul. Pavla Vitezovića 1,47000 Karlovac,VJEROVNICI</izvorni_sadrzaj>
    <derivirana_varijabla naziv="DomainObject.Predmet.StrankaWithAdressOIB_1">FINA Regionalni centar Zagreb, Podružnica Karlovac, OIB 85821130368, Ul. Pavla Vitezovića 1,47000 Karlovac,VJEROVNICI</derivirana_varijabla>
  </DomainObject.Predmet.StrankaWithAdressOIB>
  <DomainObject.Predmet.StrankaNazivFormated>
    <izvorni_sadrzaj>FINA Regionalni centar Zagreb, Podružnica Karlovac,VJEROVNICI</izvorni_sadrzaj>
    <derivirana_varijabla naziv="DomainObject.Predmet.StrankaNazivFormated_1">FINA Regionalni centar Zagreb, Podružnica Karlovac,VJEROVNICI</derivirana_varijabla>
  </DomainObject.Predmet.StrankaNazivFormated>
  <DomainObject.Predmet.StrankaNazivFormatedOIB>
    <izvorni_sadrzaj>FINA Regionalni centar Zagreb, Podružnica Karlovac, OIB 85821130368,VJEROVNICI</izvorni_sadrzaj>
    <derivirana_varijabla naziv="DomainObject.Predmet.StrankaNazivFormatedOIB_1">FINA Regionalni centar Zagreb, Podružnica Karlovac, OIB 85821130368,VJEROVNICI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 Podružnica Karlovac</item>
      <item>VJEROVNICI</item>
    </izvorni_sadrzaj>
    <derivirana_varijabla naziv="DomainObject.Predmet.StrankaListFormated_1">
      <item>FINA Regionalni centar Zagreb, Podružnica Karlovac</item>
      <item>VJEROVNICI</item>
    </derivirana_varijabla>
  </DomainObject.Predmet.StrankaListFormated>
  <DomainObject.Predmet.StrankaListFormatedOIB>
    <izvorni_sadrzaj>
      <item>FINA Regionalni centar Zagreb, Podružnica Karlovac, OIB 85821130368</item>
      <item>VJEROVNICI</item>
    </izvorni_sadrzaj>
    <derivirana_varijabla naziv="DomainObject.Predmet.StrankaListFormatedOIB_1">
      <item>FINA Regionalni centar Zagreb, Podružnica Karlovac, OIB 85821130368</item>
      <item>VJEROVNICI</item>
    </derivirana_varijabla>
  </DomainObject.Predmet.StrankaListFormatedOIB>
  <DomainObject.Predmet.StrankaListFormatedWithAdress>
    <izvorni_sadrzaj>
      <item>FINA Regionalni centar Zagreb, Podružnica Karlovac, Ul. Pavla Vitezovića 1, 47000 Karlovac</item>
      <item>VJEROVNICI</item>
    </izvorni_sadrzaj>
    <derivirana_varijabla naziv="DomainObject.Predmet.StrankaListFormatedWithAdress_1">
      <item>FINA Regionalni centar Zagreb, Podružnica Karlovac, Ul. Pavla Vitezovića 1, 47000 Karlovac</item>
      <item>VJEROVNICI</item>
    </derivirana_varijabla>
  </DomainObject.Predmet.StrankaListFormatedWithAdress>
  <DomainObject.Predmet.StrankaListFormatedWithAdressOIB>
    <izvorni_sadrzaj>
      <item>FINA Regionalni centar Zagreb, Podružnica Karlovac, OIB 85821130368, Ul. Pavla Vitezovića 1, 47000 Karlovac</item>
      <item>VJEROVNICI</item>
    </izvorni_sadrzaj>
    <derivirana_varijabla naziv="DomainObject.Predmet.StrankaListFormatedWithAdressOIB_1">
      <item>FINA Regionalni centar Zagreb, Podružnica Karlovac, OIB 85821130368, Ul. Pavla Vitezovića 1, 47000 Karlovac</item>
      <item>VJEROVNICI</item>
    </derivirana_varijabla>
  </DomainObject.Predmet.StrankaListFormatedWithAdressOIB>
  <DomainObject.Predmet.StrankaListNazivFormated>
    <izvorni_sadrzaj>
      <item>FINA Regionalni centar Zagreb, Podružnica Karlovac</item>
      <item>VJEROVNICI</item>
    </izvorni_sadrzaj>
    <derivirana_varijabla naziv="DomainObject.Predmet.StrankaListNazivFormated_1">
      <item>FINA Regionalni centar Zagreb, Podružnica Karlovac</item>
      <item>VJEROVNICI</item>
    </derivirana_varijabla>
  </DomainObject.Predmet.StrankaListNazivFormated>
  <DomainObject.Predmet.StrankaListNazivFormatedOIB>
    <izvorni_sadrzaj>
      <item>FINA Regionalni centar Zagreb, Podružnica Karlovac, OIB 85821130368</item>
      <item>VJEROVNICI</item>
    </izvorni_sadrzaj>
    <derivirana_varijabla naziv="DomainObject.Predmet.StrankaListNazivFormatedOIB_1">
      <item>FINA Regionalni centar Zagreb, Podružnica Karlovac, OIB 85821130368</item>
      <item>VJEROVNICI</item>
    </derivirana_varijabla>
  </DomainObject.Predmet.StrankaListNazivFormatedOIB>
  <DomainObject.Predmet.ProtuStrankaListFormated>
    <izvorni_sadrzaj>
      <item>BLANKA LUX d.o.o. zastupanog po punomoćniku Irma Rubil-Jonatan</item>
    </izvorni_sadrzaj>
    <derivirana_varijabla naziv="DomainObject.Predmet.ProtuStrankaListFormated_1">
      <item>BLANKA LUX d.o.o. zastupanog po punomoćniku Irma Rubil-Jonatan</item>
    </derivirana_varijabla>
  </DomainObject.Predmet.ProtuStrankaListFormated>
  <DomainObject.Predmet.ProtuStrankaListFormatedOIB>
    <izvorni_sadrzaj>
      <item>BLANKA LUX d.o.o., OIB 16268606537 zastupanog po punomoćniku Irma Rubil-Jonatan</item>
    </izvorni_sadrzaj>
    <derivirana_varijabla naziv="DomainObject.Predmet.ProtuStrankaListFormatedOIB_1">
      <item>BLANKA LUX d.o.o., OIB 16268606537 zastupanog po punomoćniku Irma Rubil-Jonatan</item>
    </derivirana_varijabla>
  </DomainObject.Predmet.ProtuStrankaListFormatedOIB>
  <DomainObject.Predmet.ProtuStrankaListFormatedWithAdress>
    <izvorni_sadrzaj>
      <item>BLANKA LUX d.o.o., Trg Josipa Broza 4, 47000 Karlovac zastupanog po punomoćniku Irma Rubil-Jonatan</item>
    </izvorni_sadrzaj>
    <derivirana_varijabla naziv="DomainObject.Predmet.ProtuStrankaListFormatedWithAdress_1">
      <item>BLANKA LUX d.o.o., Trg Josipa Broza 4, 47000 Karlovac zastupanog po punomoćniku Irma Rubil-Jonatan</item>
    </derivirana_varijabla>
  </DomainObject.Predmet.ProtuStrankaListFormatedWithAdress>
  <DomainObject.Predmet.ProtuStrankaListFormatedWithAdressOIB>
    <izvorni_sadrzaj>
      <item>BLANKA LUX d.o.o., OIB 16268606537, Trg Josipa Broza 4, 47000 Karlovac zastupanog po punomoćniku Irma Rubil-Jonatan</item>
    </izvorni_sadrzaj>
    <derivirana_varijabla naziv="DomainObject.Predmet.ProtuStrankaListFormatedWithAdressOIB_1">
      <item>BLANKA LUX d.o.o., OIB 16268606537, Trg Josipa Broza 4, 47000 Karlovac zastupanog po punomoćniku Irma Rubil-Jonatan</item>
    </derivirana_varijabla>
  </DomainObject.Predmet.ProtuStrankaListFormatedWithAdressOIB>
  <DomainObject.Predmet.ProtuStrankaListNazivFormated>
    <izvorni_sadrzaj>
      <item>BLANKA LUX d.o.o.</item>
    </izvorni_sadrzaj>
    <derivirana_varijabla naziv="DomainObject.Predmet.ProtuStrankaListNazivFormated_1">
      <item>BLANKA LUX d.o.o.</item>
    </derivirana_varijabla>
  </DomainObject.Predmet.ProtuStrankaListNazivFormated>
  <DomainObject.Predmet.ProtuStrankaListNazivFormatedOIB>
    <izvorni_sadrzaj>
      <item>BLANKA LUX d.o.o., OIB 16268606537</item>
    </izvorni_sadrzaj>
    <derivirana_varijabla naziv="DomainObject.Predmet.ProtuStrankaListNazivFormatedOIB_1">
      <item>BLANKA LUX d.o.o., OIB 16268606537</item>
    </derivirana_varijabla>
  </DomainObject.Predmet.ProtuStrankaListNazivFormatedOIB>
  <DomainObject.Predmet.OstaliListFormated>
    <izvorni_sadrzaj>
      <item>Irma Rubil-Jonatan punomoćnica sudionika u postupku BLANKA LUX d.o.o.</item>
    </izvorni_sadrzaj>
    <derivirana_varijabla naziv="DomainObject.Predmet.OstaliListFormated_1">
      <item>Irma Rubil-Jonatan punomoćnica sudionika u postupku BLANKA LUX d.o.o.</item>
    </derivirana_varijabla>
  </DomainObject.Predmet.OstaliListFormated>
  <DomainObject.Predmet.OstaliListFormatedOIB>
    <izvorni_sadrzaj>
      <item>Irma Rubil-Jonatan, OIB 66597072978 punomoćnica sudionika u postupku BLANKA LUX d.o.o.</item>
    </izvorni_sadrzaj>
    <derivirana_varijabla naziv="DomainObject.Predmet.OstaliListFormatedOIB_1">
      <item>Irma Rubil-Jonatan, OIB 66597072978 punomoćnica sudionika u postupku BLANKA LUX d.o.o.</item>
    </derivirana_varijabla>
  </DomainObject.Predmet.OstaliListFormatedOIB>
  <DomainObject.Predmet.OstaliListFormatedWithAdress>
    <izvorni_sadrzaj>
      <item>Irma Rubil-Jonatan, Frana Krste Frankopana 17, 53270 Senj punomoćnica sudionika u postupku BLANKA LUX d.o.o.</item>
    </izvorni_sadrzaj>
    <derivirana_varijabla naziv="DomainObject.Predmet.OstaliListFormatedWithAdress_1">
      <item>Irma Rubil-Jonatan, Frana Krste Frankopana 17, 53270 Senj punomoćnica sudionika u postupku BLANKA LUX d.o.o.</item>
    </derivirana_varijabla>
  </DomainObject.Predmet.OstaliListFormatedWithAdress>
  <DomainObject.Predmet.OstaliListFormatedWithAdressOIB>
    <izvorni_sadrzaj>
      <item>Irma Rubil-Jonatan, OIB 66597072978, Frana Krste Frankopana 17, 53270 Senj punomoćnica sudionika u postupku BLANKA LUX d.o.o.</item>
    </izvorni_sadrzaj>
    <derivirana_varijabla naziv="DomainObject.Predmet.OstaliListFormatedWithAdressOIB_1">
      <item>Irma Rubil-Jonatan, OIB 66597072978, Frana Krste Frankopana 17, 53270 Senj punomoćnica sudionika u postupku BLANKA LUX d.o.o.</item>
    </derivirana_varijabla>
  </DomainObject.Predmet.OstaliListFormatedWithAdressOIB>
  <DomainObject.Predmet.OstaliListNazivFormated>
    <izvorni_sadrzaj>
      <item>Irma Rubil-Jonatan</item>
    </izvorni_sadrzaj>
    <derivirana_varijabla naziv="DomainObject.Predmet.OstaliListNazivFormated_1">
      <item>Irma Rubil-Jonatan</item>
    </derivirana_varijabla>
  </DomainObject.Predmet.OstaliListNazivFormated>
  <DomainObject.Predmet.OstaliListNazivFormatedOIB>
    <izvorni_sadrzaj>
      <item>Irma Rubil-Jonatan, OIB 66597072978</item>
    </izvorni_sadrzaj>
    <derivirana_varijabla naziv="DomainObject.Predmet.OstaliListNazivFormatedOIB_1">
      <item>Irma Rubil-Jonatan, OIB 66597072978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srpnja 2018.</izvorni_sadrzaj>
    <derivirana_varijabla naziv="DomainObject.Datum_1">9. srpnja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BLANKA LUX d.o.o.</izvorni_sadrzaj>
    <derivirana_varijabla naziv="DomainObject.Predmet.ProtustrankaIDrugi_1">BLANKA LUX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BLANKA LUX d.o.o., OIB 16268606537, Trg Josipa Broza 4, 47000 Karlovac</izvorni_sadrzaj>
    <derivirana_varijabla naziv="DomainObject.Predmet.ProtustrankaIDrugiAdressOIB_1">BLANKA LUX d.o.o., OIB 16268606537, Trg Josipa Broza 4,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BLANKA LUX d.o.o.</item>
      <item>FINA Regionalni centar Zagreb, Podružnica Karlovac</item>
      <item>Irma Rubil-Jonatan</item>
      <item>VJEROVNICI</item>
    </izvorni_sadrzaj>
    <derivirana_varijabla naziv="DomainObject.Predmet.SudioniciListNaziv_1">
      <item>BLANKA LUX d.o.o.</item>
      <item>FINA Regionalni centar Zagreb, Podružnica Karlovac</item>
      <item>Irma Rubil-Jonatan</item>
      <item>VJEROVNICI</item>
    </derivirana_varijabla>
  </DomainObject.Predmet.SudioniciListNaziv>
  <DomainObject.Predmet.SudioniciListAdressOIB>
    <izvorni_sadrzaj>
      <item>BLANKA LUX d.o.o., OIB 16268606537, Trg Josipa Broza 4,47000 Karlovac</item>
      <item>FINA Regionalni centar Zagreb, Podružnica Karlovac, OIB 85821130368, Ul. Pavla Vitezovića 1,47000 Karlovac</item>
      <item>Irma Rubil-Jonatan, OIB 66597072978, Frana Krste Frankopana 17,53270 Senj</item>
      <item>VJEROVNICI</item>
    </izvorni_sadrzaj>
    <derivirana_varijabla naziv="DomainObject.Predmet.SudioniciListAdressOIB_1">
      <item>BLANKA LUX d.o.o., OIB 16268606537, Trg Josipa Broza 4,47000 Karlovac</item>
      <item>FINA Regionalni centar Zagreb, Podružnica Karlovac, OIB 85821130368, Ul. Pavla Vitezovića 1,47000 Karlovac</item>
      <item>Irma Rubil-Jonatan, OIB 66597072978, Frana Krste Frankopana 17,53270 Senj</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16268606537</item>
      <item>, OIB 85821130368</item>
      <item>, OIB 66597072978</item>
      <item>, OIB null</item>
    </izvorni_sadrzaj>
    <derivirana_varijabla naziv="DomainObject.Predmet.SudioniciListNazivOIB_1">
      <item>, OIB 16268606537</item>
      <item>, OIB 85821130368</item>
      <item>, OIB 66597072978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Miroslav Borš, OIB 69665623244, Plemićeva 2 Zagreb</item>
    </izvorni_sadrzaj>
    <derivirana_varijabla naziv="DomainObject.Predmet.StecajniUpraviteljiListAddressOIB_1">
      <item>Miroslav Borš, OIB 69665623244, Plemićeva 2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571</properties:Words>
  <properties:Characters>3044</properties:Characters>
  <properties:Lines>89</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2018-07-09T08:01:00Z</dcterms:created>
  <dc:creator>Vlasta Bogović Milisavljević</dc:creator>
  <cp:lastModifiedBy>Vlasta Bogović Milisavljević</cp:lastModifiedBy>
  <cp:lastPrinted>2018-07-09T08:05:00Z</cp:lastPrinted>
  <dcterms:modified xmlns:xsi="http://www.w3.org/2001/XMLSchema-instance" xsi:type="dcterms:W3CDTF">2018-07-09T08:05:00Z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(OTVORI - ZATVORI 09.07.2018..docx)</vt:lpwstr>
  </prop:property>
  <prop:property name="CC_coloring" pid="4" fmtid="{D5CDD505-2E9C-101B-9397-08002B2CF9AE}">
    <vt:bool>false</vt:bool>
  </prop:property>
  <prop:property name="BrojStranica" pid="5" fmtid="{D5CDD505-2E9C-101B-9397-08002B2CF9AE}">
    <vt:i4>2</vt:i4>
  </prop:property>
</prop:Properties>
</file>