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d4fc" w14:paraId="b2fd4fc" w:rsidRDefault="00EC7E67" w:rsidP="00EC7E67" w:rsidR="00EC7E67">
      <w:pPr>
        <w:pStyle w:val="Tijeloteksta"/>
        <w:spacing w:lineRule="auto" w:line="242" w:before="80"/>
        <w:ind w:right="6448" w:left="150"/>
        <w15:collapsed w:val="false"/>
      </w:pPr>
      <w:bookmarkStart w:name="_GoBack" w:id="0"/>
      <w:bookmarkEnd w:id="0"/>
      <w:r>
        <w:t>CIGLANA IGM d.o.o. u stečaju Sladojevci bb</w:t>
      </w:r>
    </w:p>
    <w:p w:rsidRDefault="00EC7E67" w:rsidP="00EC7E67" w:rsidR="00EC7E67">
      <w:pPr>
        <w:pStyle w:val="Tijeloteksta"/>
        <w:spacing w:lineRule="exact" w:line="251"/>
        <w:ind w:left="150"/>
      </w:pPr>
      <w:r>
        <w:t>Slatina</w:t>
      </w:r>
    </w:p>
    <w:p w:rsidRDefault="00EC7E67" w:rsidP="00EC7E67" w:rsidR="00EC7E67">
      <w:pPr>
        <w:spacing w:before="5"/>
        <w:rPr>
          <w:b/>
          <w:sz w:val="23"/>
        </w:rPr>
      </w:pPr>
    </w:p>
    <w:p w:rsidRDefault="00EC7E67" w:rsidP="00EC7E67" w:rsidR="00EC7E67">
      <w:pPr>
        <w:ind w:left="150"/>
      </w:pPr>
      <w:r>
        <w:t>Sladojevci, 06.11.2017.</w:t>
      </w:r>
    </w:p>
    <w:p w:rsidRDefault="00EC7E67" w:rsidP="00EC7E67" w:rsidR="00EC7E67">
      <w:pPr>
        <w:rPr>
          <w:sz w:val="20"/>
        </w:rPr>
      </w:pPr>
    </w:p>
    <w:p w:rsidRDefault="00EC7E67" w:rsidP="00EC7E67" w:rsidR="00EC7E67">
      <w:pPr>
        <w:rPr>
          <w:sz w:val="20"/>
        </w:rPr>
      </w:pPr>
    </w:p>
    <w:p w:rsidRDefault="00EC7E67" w:rsidP="00EC7E67" w:rsidR="00EC7E67">
      <w:pPr>
        <w:rPr>
          <w:sz w:val="20"/>
        </w:rPr>
      </w:pPr>
    </w:p>
    <w:p w:rsidRDefault="00EC7E67" w:rsidP="00EC7E67" w:rsidR="00EC7E67">
      <w:pPr>
        <w:rPr>
          <w:sz w:val="20"/>
        </w:rPr>
      </w:pPr>
    </w:p>
    <w:p w:rsidRDefault="00EC7E67" w:rsidP="00EC7E67" w:rsidR="00EC7E67">
      <w:pPr>
        <w:spacing w:before="10"/>
        <w:rPr>
          <w:sz w:val="23"/>
        </w:rPr>
      </w:pPr>
    </w:p>
    <w:p w:rsidRDefault="00EC7E67" w:rsidP="00EC7E67" w:rsidR="00EC7E67">
      <w:pPr>
        <w:pStyle w:val="Tijeloteksta"/>
        <w:spacing w:before="94"/>
        <w:ind w:left="5058"/>
      </w:pPr>
      <w:r>
        <w:t>TRGOVAČKI SUD U BJELOVARU</w:t>
      </w:r>
    </w:p>
    <w:p w:rsidRDefault="00EC7E67" w:rsidP="00EC7E67" w:rsidR="00EC7E67">
      <w:pPr>
        <w:pStyle w:val="Tijeloteksta"/>
        <w:spacing w:lineRule="auto" w:line="242" w:before="4"/>
        <w:ind w:right="1726" w:left="5058"/>
      </w:pPr>
      <w:r>
        <w:t>Šetalište dr. I. Lebovića 42 43 000 Bjelovar</w:t>
      </w:r>
    </w:p>
    <w:p w:rsidRDefault="00EC7E67" w:rsidP="00EC7E67" w:rsidR="00EC7E67">
      <w:pPr>
        <w:spacing w:before="1"/>
        <w:rPr>
          <w:b/>
        </w:rPr>
      </w:pPr>
    </w:p>
    <w:p w:rsidRDefault="00EC7E67" w:rsidP="00EC7E67" w:rsidR="00EC7E67">
      <w:pPr>
        <w:pStyle w:val="Tijeloteksta"/>
        <w:ind w:left="5058"/>
      </w:pPr>
      <w:r>
        <w:t>Na broj: St-746/2017</w:t>
      </w:r>
    </w:p>
    <w:p w:rsidRDefault="00EC7E67" w:rsidP="00EC7E67" w:rsidR="00EC7E67">
      <w:pPr>
        <w:rPr>
          <w:b/>
          <w:sz w:val="24"/>
        </w:rPr>
      </w:pPr>
    </w:p>
    <w:p w:rsidRDefault="00EC7E67" w:rsidP="00EC7E67" w:rsidR="00EC7E67">
      <w:pPr>
        <w:rPr>
          <w:b/>
          <w:sz w:val="21"/>
        </w:rPr>
      </w:pPr>
    </w:p>
    <w:p w:rsidRDefault="00EC7E67" w:rsidP="00EC7E67" w:rsidR="00EC7E67">
      <w:pPr>
        <w:pStyle w:val="Tijeloteksta"/>
        <w:ind w:left="1131"/>
      </w:pPr>
      <w:r>
        <w:t>Predračun troškova provođenja st. postupka u trajanju od 12 mjeseci</w:t>
      </w:r>
    </w:p>
    <w:p w:rsidRDefault="00EC7E67" w:rsidP="00EC7E67" w:rsidR="00EC7E67">
      <w:pPr>
        <w:rPr>
          <w:b/>
          <w:sz w:val="20"/>
        </w:rPr>
      </w:pPr>
    </w:p>
    <w:p w:rsidRDefault="00EC7E67" w:rsidP="00EC7E67" w:rsidR="00EC7E67">
      <w:pPr>
        <w:rPr>
          <w:b/>
          <w:sz w:val="20"/>
        </w:rPr>
      </w:pPr>
    </w:p>
    <w:p w:rsidRDefault="00EC7E67" w:rsidP="00EC7E67" w:rsidR="00EC7E67">
      <w:pPr>
        <w:spacing w:after="1" w:before="5"/>
        <w:rPr>
          <w:b/>
          <w:sz w:val="28"/>
        </w:rPr>
      </w:pPr>
    </w:p>
    <w:tbl>
      <w:tblPr>
        <w:tblStyle w:val="TableNormal"/>
        <w:tblW w:type="auto" w:w="0"/>
        <w:tblInd w:type="dxa" w:w="109"/>
        <w:tblLayout w:type="fixed"/>
        <w:tblLook w:val="01E0" w:noVBand="0" w:noHBand="0" w:lastColumn="1" w:firstColumn="1" w:lastRow="1" w:firstRow="1"/>
      </w:tblPr>
      <w:tblGrid>
        <w:gridCol w:w="6053"/>
        <w:gridCol w:w="3482"/>
      </w:tblGrid>
      <w:tr w:rsidTr="00EC7E67" w:rsidR="00EC7E67">
        <w:trPr>
          <w:trHeight w:val="267"/>
        </w:trPr>
        <w:tc>
          <w:tcPr>
            <w:tcW w:type="dxa" w:w="6053"/>
            <w:tcBorders>
              <w:top w:val="nil"/>
              <w:left w:val="nil"/>
              <w:bottom w:space="0" w:sz="8" w:color="000000" w:val="single"/>
              <w:right w:val="nil"/>
            </w:tcBorders>
            <w:hideMark/>
          </w:tcPr>
          <w:p w:rsidRDefault="00EC7E67" w:rsidR="00EC7E67">
            <w:pPr>
              <w:pStyle w:val="TableParagraph"/>
              <w:tabs>
                <w:tab w:pos="1022" w:val="left"/>
              </w:tabs>
              <w:spacing w:lineRule="exact" w:line="236" w:before="11"/>
              <w:ind w:left="40"/>
            </w:pPr>
            <w:r>
              <w:t>Red.br.</w:t>
            </w:r>
            <w:r>
              <w:tab/>
              <w:t>Vrsta troška</w:t>
            </w:r>
          </w:p>
        </w:tc>
        <w:tc>
          <w:tcPr>
            <w:tcW w:type="dxa" w:w="3482"/>
            <w:tcBorders>
              <w:top w:val="nil"/>
              <w:left w:val="nil"/>
              <w:bottom w:space="0" w:sz="8" w:color="000000" w:val="single"/>
              <w:right w:val="nil"/>
            </w:tcBorders>
            <w:hideMark/>
          </w:tcPr>
          <w:p w:rsidRDefault="00EC7E67" w:rsidR="00EC7E67">
            <w:pPr>
              <w:pStyle w:val="TableParagraph"/>
              <w:spacing w:lineRule="exact" w:line="247"/>
              <w:ind w:left="1492"/>
              <w:rPr>
                <w:sz w:val="24"/>
              </w:rPr>
            </w:pPr>
            <w:r>
              <w:rPr>
                <w:sz w:val="24"/>
              </w:rPr>
              <w:t>Iznos troška,kn</w:t>
            </w:r>
          </w:p>
        </w:tc>
      </w:tr>
      <w:tr w:rsidTr="00EC7E67" w:rsidR="00EC7E67">
        <w:trPr>
          <w:trHeight w:val="250"/>
        </w:trPr>
        <w:tc>
          <w:tcPr>
            <w:tcW w:type="dxa" w:w="6053"/>
            <w:tcBorders>
              <w:top w:space="0" w:sz="8" w:color="000000" w:val="single"/>
              <w:left w:val="nil"/>
              <w:bottom w:val="nil"/>
              <w:right w:val="nil"/>
            </w:tcBorders>
            <w:hideMark/>
          </w:tcPr>
          <w:p w:rsidRDefault="00EC7E67" w:rsidR="00EC7E67">
            <w:pPr>
              <w:pStyle w:val="TableParagraph"/>
              <w:tabs>
                <w:tab w:pos="1022" w:val="left"/>
              </w:tabs>
              <w:spacing w:lineRule="exact" w:line="231"/>
              <w:ind w:left="407"/>
            </w:pPr>
            <w:r>
              <w:t>1.</w:t>
            </w:r>
            <w:r>
              <w:tab/>
              <w:t>Trošak oglašavanja prodaje</w:t>
            </w:r>
            <w:r>
              <w:rPr>
                <w:spacing w:val="1"/>
              </w:rPr>
              <w:t xml:space="preserve"> </w:t>
            </w:r>
            <w:r>
              <w:t>imovine</w:t>
            </w:r>
          </w:p>
        </w:tc>
        <w:tc>
          <w:tcPr>
            <w:tcW w:type="dxa" w:w="3482"/>
            <w:tcBorders>
              <w:top w:space="0" w:sz="8" w:color="000000" w:val="single"/>
              <w:left w:val="nil"/>
              <w:bottom w:val="nil"/>
              <w:right w:val="nil"/>
            </w:tcBorders>
            <w:hideMark/>
          </w:tcPr>
          <w:p w:rsidRDefault="00EC7E67" w:rsidR="00EC7E67">
            <w:pPr>
              <w:pStyle w:val="TableParagraph"/>
              <w:spacing w:lineRule="exact" w:line="231"/>
              <w:ind w:right="39"/>
              <w:jc w:val="right"/>
            </w:pPr>
            <w:r>
              <w:t>30.000,00</w:t>
            </w:r>
          </w:p>
        </w:tc>
      </w:tr>
      <w:tr w:rsidTr="00EC7E67" w:rsidR="00EC7E67">
        <w:trPr>
          <w:trHeight w:val="256"/>
        </w:trPr>
        <w:tc>
          <w:tcPr>
            <w:tcW w:type="dxa" w:w="6053"/>
            <w:hideMark/>
          </w:tcPr>
          <w:p w:rsidRDefault="00EC7E67" w:rsidR="00EC7E67">
            <w:pPr>
              <w:pStyle w:val="TableParagraph"/>
              <w:tabs>
                <w:tab w:pos="1022" w:val="left"/>
              </w:tabs>
              <w:ind w:left="407"/>
            </w:pPr>
            <w:r>
              <w:t>2.</w:t>
            </w:r>
            <w:r>
              <w:tab/>
              <w:t>Trošak</w:t>
            </w:r>
            <w:r>
              <w:rPr>
                <w:spacing w:val="2"/>
              </w:rPr>
              <w:t xml:space="preserve"> </w:t>
            </w:r>
            <w:r>
              <w:t>PDV-a</w:t>
            </w:r>
          </w:p>
        </w:tc>
        <w:tc>
          <w:tcPr>
            <w:tcW w:type="dxa" w:w="3482"/>
            <w:hideMark/>
          </w:tcPr>
          <w:p w:rsidRDefault="00EC7E67" w:rsidR="00EC7E67">
            <w:pPr>
              <w:pStyle w:val="TableParagraph"/>
              <w:ind w:right="39"/>
              <w:jc w:val="right"/>
            </w:pPr>
            <w:r>
              <w:t>100.000,00</w:t>
            </w:r>
          </w:p>
        </w:tc>
      </w:tr>
      <w:tr w:rsidTr="00EC7E67" w:rsidR="00EC7E67">
        <w:trPr>
          <w:trHeight w:val="256"/>
        </w:trPr>
        <w:tc>
          <w:tcPr>
            <w:tcW w:type="dxa" w:w="6053"/>
            <w:hideMark/>
          </w:tcPr>
          <w:p w:rsidRDefault="00EC7E67" w:rsidR="00EC7E67">
            <w:pPr>
              <w:pStyle w:val="TableParagraph"/>
              <w:tabs>
                <w:tab w:pos="1022" w:val="left"/>
              </w:tabs>
              <w:ind w:left="407"/>
            </w:pPr>
            <w:r>
              <w:t>3.</w:t>
            </w:r>
            <w:r>
              <w:tab/>
              <w:t>Plaće</w:t>
            </w:r>
            <w:r>
              <w:rPr>
                <w:spacing w:val="-1"/>
              </w:rPr>
              <w:t xml:space="preserve"> </w:t>
            </w:r>
            <w:r>
              <w:t>(neto)</w:t>
            </w:r>
          </w:p>
        </w:tc>
        <w:tc>
          <w:tcPr>
            <w:tcW w:type="dxa" w:w="3482"/>
            <w:hideMark/>
          </w:tcPr>
          <w:p w:rsidRDefault="00EC7E67" w:rsidR="00EC7E67">
            <w:pPr>
              <w:pStyle w:val="TableParagraph"/>
              <w:ind w:right="39"/>
              <w:jc w:val="right"/>
            </w:pPr>
            <w:r>
              <w:t>160.000,00</w:t>
            </w:r>
          </w:p>
        </w:tc>
      </w:tr>
      <w:tr w:rsidTr="00EC7E67" w:rsidR="00EC7E67">
        <w:trPr>
          <w:trHeight w:val="256"/>
        </w:trPr>
        <w:tc>
          <w:tcPr>
            <w:tcW w:type="dxa" w:w="6053"/>
            <w:hideMark/>
          </w:tcPr>
          <w:p w:rsidRDefault="00EC7E67" w:rsidR="00EC7E67">
            <w:pPr>
              <w:pStyle w:val="TableParagraph"/>
              <w:tabs>
                <w:tab w:pos="1022" w:val="left"/>
              </w:tabs>
              <w:ind w:left="407"/>
            </w:pPr>
            <w:r>
              <w:t>4.</w:t>
            </w:r>
            <w:r>
              <w:tab/>
              <w:t>Osiguranje</w:t>
            </w:r>
            <w:r>
              <w:rPr>
                <w:spacing w:val="-1"/>
              </w:rPr>
              <w:t xml:space="preserve"> </w:t>
            </w:r>
            <w:r>
              <w:t>imovine</w:t>
            </w:r>
          </w:p>
        </w:tc>
        <w:tc>
          <w:tcPr>
            <w:tcW w:type="dxa" w:w="3482"/>
            <w:hideMark/>
          </w:tcPr>
          <w:p w:rsidRDefault="00EC7E67" w:rsidR="00EC7E67">
            <w:pPr>
              <w:pStyle w:val="TableParagraph"/>
              <w:ind w:right="40"/>
              <w:jc w:val="right"/>
            </w:pPr>
            <w:r>
              <w:t>6.000,00</w:t>
            </w:r>
          </w:p>
        </w:tc>
      </w:tr>
      <w:tr w:rsidTr="00EC7E67" w:rsidR="00EC7E67">
        <w:trPr>
          <w:trHeight w:val="256"/>
        </w:trPr>
        <w:tc>
          <w:tcPr>
            <w:tcW w:type="dxa" w:w="6053"/>
            <w:hideMark/>
          </w:tcPr>
          <w:p w:rsidRDefault="00EC7E67" w:rsidR="00EC7E67">
            <w:pPr>
              <w:pStyle w:val="TableParagraph"/>
              <w:tabs>
                <w:tab w:pos="1022" w:val="left"/>
              </w:tabs>
              <w:ind w:left="407"/>
            </w:pPr>
            <w:r>
              <w:t>5.</w:t>
            </w:r>
            <w:r>
              <w:tab/>
              <w:t>Gorivo, rez. dijelovi i</w:t>
            </w:r>
            <w:r>
              <w:rPr>
                <w:spacing w:val="1"/>
              </w:rPr>
              <w:t xml:space="preserve"> </w:t>
            </w:r>
            <w:r>
              <w:t>popravci</w:t>
            </w:r>
          </w:p>
        </w:tc>
        <w:tc>
          <w:tcPr>
            <w:tcW w:type="dxa" w:w="3482"/>
            <w:hideMark/>
          </w:tcPr>
          <w:p w:rsidRDefault="00EC7E67" w:rsidR="00EC7E67">
            <w:pPr>
              <w:pStyle w:val="TableParagraph"/>
              <w:ind w:right="39"/>
              <w:jc w:val="right"/>
            </w:pPr>
            <w:r>
              <w:t>10.000,00</w:t>
            </w:r>
          </w:p>
        </w:tc>
      </w:tr>
      <w:tr w:rsidTr="00EC7E67" w:rsidR="00EC7E67">
        <w:trPr>
          <w:trHeight w:val="247"/>
        </w:trPr>
        <w:tc>
          <w:tcPr>
            <w:tcW w:type="dxa" w:w="6053"/>
            <w:hideMark/>
          </w:tcPr>
          <w:p w:rsidRDefault="00EC7E67" w:rsidR="00EC7E67">
            <w:pPr>
              <w:pStyle w:val="TableParagraph"/>
              <w:tabs>
                <w:tab w:pos="1022" w:val="left"/>
              </w:tabs>
              <w:spacing w:lineRule="exact" w:line="227"/>
              <w:ind w:left="407"/>
            </w:pPr>
            <w:r>
              <w:t>6.</w:t>
            </w:r>
            <w:r>
              <w:tab/>
              <w:t>Porezi i</w:t>
            </w:r>
            <w:r>
              <w:rPr>
                <w:spacing w:val="-1"/>
              </w:rPr>
              <w:t xml:space="preserve"> </w:t>
            </w:r>
            <w:r>
              <w:t>doprinosi</w:t>
            </w:r>
          </w:p>
        </w:tc>
        <w:tc>
          <w:tcPr>
            <w:tcW w:type="dxa" w:w="3482"/>
            <w:hideMark/>
          </w:tcPr>
          <w:p w:rsidRDefault="00EC7E67" w:rsidR="00EC7E67">
            <w:pPr>
              <w:pStyle w:val="TableParagraph"/>
              <w:spacing w:lineRule="exact" w:line="227"/>
              <w:ind w:right="39"/>
              <w:jc w:val="right"/>
            </w:pPr>
            <w:r>
              <w:t>50.000,00</w:t>
            </w:r>
          </w:p>
        </w:tc>
      </w:tr>
      <w:tr w:rsidTr="00EC7E67" w:rsidR="00EC7E67">
        <w:trPr>
          <w:trHeight w:val="247"/>
        </w:trPr>
        <w:tc>
          <w:tcPr>
            <w:tcW w:type="dxa" w:w="6053"/>
            <w:hideMark/>
          </w:tcPr>
          <w:p w:rsidRDefault="00EC7E67" w:rsidR="00EC7E67">
            <w:pPr>
              <w:pStyle w:val="TableParagraph"/>
              <w:tabs>
                <w:tab w:pos="1022" w:val="left"/>
              </w:tabs>
              <w:spacing w:lineRule="exact" w:line="227"/>
              <w:ind w:left="407"/>
            </w:pPr>
            <w:r>
              <w:t>7.</w:t>
            </w:r>
            <w:r>
              <w:tab/>
              <w:t>Računovodstvene</w:t>
            </w:r>
            <w:r>
              <w:rPr>
                <w:spacing w:val="-1"/>
              </w:rPr>
              <w:t xml:space="preserve"> </w:t>
            </w:r>
            <w:r>
              <w:t>usluge</w:t>
            </w:r>
          </w:p>
        </w:tc>
        <w:tc>
          <w:tcPr>
            <w:tcW w:type="dxa" w:w="3482"/>
            <w:hideMark/>
          </w:tcPr>
          <w:p w:rsidRDefault="00EC7E67" w:rsidR="00EC7E67">
            <w:pPr>
              <w:pStyle w:val="TableParagraph"/>
              <w:spacing w:lineRule="exact" w:line="227"/>
              <w:ind w:right="39"/>
              <w:jc w:val="right"/>
            </w:pPr>
            <w:r>
              <w:t>15.000,00</w:t>
            </w:r>
          </w:p>
        </w:tc>
      </w:tr>
      <w:tr w:rsidTr="00EC7E67" w:rsidR="00EC7E67">
        <w:trPr>
          <w:trHeight w:val="256"/>
        </w:trPr>
        <w:tc>
          <w:tcPr>
            <w:tcW w:type="dxa" w:w="6053"/>
            <w:hideMark/>
          </w:tcPr>
          <w:p w:rsidRDefault="00EC7E67" w:rsidR="00EC7E67">
            <w:pPr>
              <w:pStyle w:val="TableParagraph"/>
              <w:tabs>
                <w:tab w:pos="1022" w:val="left"/>
              </w:tabs>
              <w:ind w:left="407"/>
            </w:pPr>
            <w:r>
              <w:t>8.</w:t>
            </w:r>
            <w:r>
              <w:tab/>
              <w:t>Komunalni i režijski</w:t>
            </w:r>
            <w:r>
              <w:rPr>
                <w:spacing w:val="-1"/>
              </w:rPr>
              <w:t xml:space="preserve"> </w:t>
            </w:r>
            <w:r>
              <w:t>trošak</w:t>
            </w:r>
          </w:p>
        </w:tc>
        <w:tc>
          <w:tcPr>
            <w:tcW w:type="dxa" w:w="3482"/>
            <w:hideMark/>
          </w:tcPr>
          <w:p w:rsidRDefault="00EC7E67" w:rsidR="00EC7E67">
            <w:pPr>
              <w:pStyle w:val="TableParagraph"/>
              <w:ind w:right="39"/>
              <w:jc w:val="right"/>
            </w:pPr>
            <w:r>
              <w:t>50.000,00</w:t>
            </w:r>
          </w:p>
        </w:tc>
      </w:tr>
      <w:tr w:rsidTr="00EC7E67" w:rsidR="00EC7E67">
        <w:trPr>
          <w:trHeight w:val="256"/>
        </w:trPr>
        <w:tc>
          <w:tcPr>
            <w:tcW w:type="dxa" w:w="6053"/>
            <w:hideMark/>
          </w:tcPr>
          <w:p w:rsidRDefault="00EC7E67" w:rsidR="00EC7E67">
            <w:pPr>
              <w:pStyle w:val="TableParagraph"/>
              <w:tabs>
                <w:tab w:pos="1022" w:val="left"/>
              </w:tabs>
              <w:ind w:left="407"/>
            </w:pPr>
            <w:r>
              <w:t>9.</w:t>
            </w:r>
            <w:r>
              <w:tab/>
              <w:t>Bruto nagrada st.</w:t>
            </w:r>
            <w:r>
              <w:rPr>
                <w:spacing w:val="2"/>
              </w:rPr>
              <w:t xml:space="preserve"> </w:t>
            </w:r>
            <w:r>
              <w:t>upravitelja</w:t>
            </w:r>
          </w:p>
        </w:tc>
        <w:tc>
          <w:tcPr>
            <w:tcW w:type="dxa" w:w="3482"/>
            <w:hideMark/>
          </w:tcPr>
          <w:p w:rsidRDefault="00EC7E67" w:rsidR="00EC7E67">
            <w:pPr>
              <w:pStyle w:val="TableParagraph"/>
              <w:ind w:right="39"/>
              <w:jc w:val="right"/>
            </w:pPr>
            <w:r>
              <w:t>200.000,00</w:t>
            </w:r>
          </w:p>
        </w:tc>
      </w:tr>
      <w:tr w:rsidTr="00EC7E67" w:rsidR="00EC7E67">
        <w:trPr>
          <w:trHeight w:val="256"/>
        </w:trPr>
        <w:tc>
          <w:tcPr>
            <w:tcW w:type="dxa" w:w="6053"/>
            <w:hideMark/>
          </w:tcPr>
          <w:p w:rsidRDefault="00EC7E67" w:rsidR="00EC7E67">
            <w:pPr>
              <w:pStyle w:val="TableParagraph"/>
              <w:tabs>
                <w:tab w:pos="1022" w:val="left"/>
              </w:tabs>
              <w:ind w:left="345"/>
            </w:pPr>
            <w:r>
              <w:t>10.</w:t>
            </w:r>
            <w:r>
              <w:tab/>
              <w:t>Bruto stvarni trošak st.</w:t>
            </w:r>
            <w:r>
              <w:rPr>
                <w:spacing w:val="3"/>
              </w:rPr>
              <w:t xml:space="preserve"> </w:t>
            </w:r>
            <w:r>
              <w:t>upravitelja</w:t>
            </w:r>
          </w:p>
        </w:tc>
        <w:tc>
          <w:tcPr>
            <w:tcW w:type="dxa" w:w="3482"/>
            <w:hideMark/>
          </w:tcPr>
          <w:p w:rsidRDefault="00EC7E67" w:rsidR="00EC7E67">
            <w:pPr>
              <w:pStyle w:val="TableParagraph"/>
              <w:ind w:right="39"/>
              <w:jc w:val="right"/>
            </w:pPr>
            <w:r>
              <w:t>20.000,00</w:t>
            </w:r>
          </w:p>
        </w:tc>
      </w:tr>
      <w:tr w:rsidTr="00EC7E67" w:rsidR="00EC7E67">
        <w:trPr>
          <w:trHeight w:val="254"/>
        </w:trPr>
        <w:tc>
          <w:tcPr>
            <w:tcW w:type="dxa" w:w="6053"/>
            <w:hideMark/>
          </w:tcPr>
          <w:p w:rsidRDefault="00EC7E67" w:rsidR="00EC7E67">
            <w:pPr>
              <w:pStyle w:val="TableParagraph"/>
              <w:tabs>
                <w:tab w:pos="1022" w:val="left"/>
              </w:tabs>
              <w:spacing w:lineRule="exact" w:line="234"/>
              <w:ind w:left="345"/>
            </w:pPr>
            <w:r>
              <w:t>11.</w:t>
            </w:r>
            <w:r>
              <w:tab/>
              <w:t>Trošak FINA-e</w:t>
            </w:r>
            <w:r>
              <w:rPr>
                <w:spacing w:val="2"/>
              </w:rPr>
              <w:t xml:space="preserve"> </w:t>
            </w:r>
            <w:r>
              <w:t>usluga</w:t>
            </w:r>
          </w:p>
        </w:tc>
        <w:tc>
          <w:tcPr>
            <w:tcW w:type="dxa" w:w="3482"/>
            <w:hideMark/>
          </w:tcPr>
          <w:p w:rsidRDefault="00EC7E67" w:rsidR="00EC7E67">
            <w:pPr>
              <w:pStyle w:val="TableParagraph"/>
              <w:spacing w:lineRule="exact" w:line="234"/>
              <w:ind w:right="40"/>
              <w:jc w:val="right"/>
            </w:pPr>
            <w:r>
              <w:t>1.500,00</w:t>
            </w:r>
          </w:p>
        </w:tc>
      </w:tr>
      <w:tr w:rsidTr="00EC7E67" w:rsidR="00EC7E67">
        <w:trPr>
          <w:trHeight w:val="254"/>
        </w:trPr>
        <w:tc>
          <w:tcPr>
            <w:tcW w:type="dxa" w:w="6053"/>
            <w:hideMark/>
          </w:tcPr>
          <w:p w:rsidRDefault="00EC7E67" w:rsidR="00EC7E67">
            <w:pPr>
              <w:pStyle w:val="TableParagraph"/>
              <w:tabs>
                <w:tab w:pos="1022" w:val="left"/>
              </w:tabs>
              <w:spacing w:lineRule="exact" w:line="234"/>
              <w:ind w:left="345"/>
            </w:pPr>
            <w:r>
              <w:t>12.</w:t>
            </w:r>
            <w:r>
              <w:tab/>
              <w:t>Poštanske usluge i dr.</w:t>
            </w:r>
          </w:p>
        </w:tc>
        <w:tc>
          <w:tcPr>
            <w:tcW w:type="dxa" w:w="3482"/>
            <w:hideMark/>
          </w:tcPr>
          <w:p w:rsidRDefault="00EC7E67" w:rsidR="00EC7E67">
            <w:pPr>
              <w:pStyle w:val="TableParagraph"/>
              <w:spacing w:lineRule="exact" w:line="234"/>
              <w:ind w:right="40"/>
              <w:jc w:val="right"/>
            </w:pPr>
            <w:r>
              <w:t>5.000,00</w:t>
            </w:r>
          </w:p>
        </w:tc>
      </w:tr>
      <w:tr w:rsidTr="00EC7E67" w:rsidR="00EC7E67">
        <w:trPr>
          <w:trHeight w:val="256"/>
        </w:trPr>
        <w:tc>
          <w:tcPr>
            <w:tcW w:type="dxa" w:w="6053"/>
            <w:hideMark/>
          </w:tcPr>
          <w:p w:rsidRDefault="00EC7E67" w:rsidR="00EC7E67">
            <w:pPr>
              <w:pStyle w:val="TableParagraph"/>
              <w:tabs>
                <w:tab w:pos="1022" w:val="left"/>
              </w:tabs>
              <w:ind w:left="345"/>
            </w:pPr>
            <w:r>
              <w:t>13.</w:t>
            </w:r>
            <w:r>
              <w:tab/>
              <w:t>Ostalo (takse, pristojbe, biljezi i</w:t>
            </w:r>
            <w:r>
              <w:rPr>
                <w:spacing w:val="3"/>
              </w:rPr>
              <w:t xml:space="preserve"> </w:t>
            </w:r>
            <w:r>
              <w:t>dr.)</w:t>
            </w:r>
          </w:p>
        </w:tc>
        <w:tc>
          <w:tcPr>
            <w:tcW w:type="dxa" w:w="3482"/>
            <w:hideMark/>
          </w:tcPr>
          <w:p w:rsidRDefault="00EC7E67" w:rsidR="00EC7E67">
            <w:pPr>
              <w:pStyle w:val="TableParagraph"/>
              <w:ind w:right="39"/>
              <w:jc w:val="right"/>
            </w:pPr>
            <w:r>
              <w:t>10.000,00</w:t>
            </w:r>
          </w:p>
        </w:tc>
      </w:tr>
      <w:tr w:rsidTr="00EC7E67" w:rsidR="00EC7E67">
        <w:trPr>
          <w:trHeight w:val="251"/>
        </w:trPr>
        <w:tc>
          <w:tcPr>
            <w:tcW w:type="dxa" w:w="6053"/>
            <w:tcBorders>
              <w:top w:val="nil"/>
              <w:left w:val="nil"/>
              <w:bottom w:space="0" w:sz="8" w:color="000000" w:val="single"/>
              <w:right w:val="nil"/>
            </w:tcBorders>
            <w:hideMark/>
          </w:tcPr>
          <w:p w:rsidRDefault="00EC7E67" w:rsidR="00EC7E67">
            <w:pPr>
              <w:pStyle w:val="TableParagraph"/>
              <w:tabs>
                <w:tab w:pos="1022" w:val="left"/>
              </w:tabs>
              <w:spacing w:lineRule="exact" w:line="235"/>
              <w:ind w:left="345"/>
            </w:pPr>
            <w:r>
              <w:t>14.</w:t>
            </w:r>
            <w:r>
              <w:tab/>
              <w:t>Trošak procjene</w:t>
            </w:r>
            <w:r>
              <w:rPr>
                <w:spacing w:val="1"/>
              </w:rPr>
              <w:t xml:space="preserve"> </w:t>
            </w:r>
            <w:r>
              <w:t>imovine</w:t>
            </w:r>
          </w:p>
        </w:tc>
        <w:tc>
          <w:tcPr>
            <w:tcW w:type="dxa" w:w="3482"/>
            <w:tcBorders>
              <w:top w:val="nil"/>
              <w:left w:val="nil"/>
              <w:bottom w:space="0" w:sz="8" w:color="000000" w:val="single"/>
              <w:right w:val="nil"/>
            </w:tcBorders>
            <w:hideMark/>
          </w:tcPr>
          <w:p w:rsidRDefault="00EC7E67" w:rsidR="00EC7E67">
            <w:pPr>
              <w:pStyle w:val="TableParagraph"/>
              <w:spacing w:lineRule="exact" w:line="235"/>
              <w:ind w:right="39"/>
              <w:jc w:val="right"/>
            </w:pPr>
            <w:r>
              <w:t>20.000,00</w:t>
            </w:r>
          </w:p>
        </w:tc>
      </w:tr>
      <w:tr w:rsidTr="00EC7E67" w:rsidR="00EC7E67">
        <w:trPr>
          <w:trHeight w:val="239"/>
        </w:trPr>
        <w:tc>
          <w:tcPr>
            <w:tcW w:type="dxa" w:w="6053"/>
            <w:tcBorders>
              <w:top w:space="0" w:sz="8" w:color="000000" w:val="single"/>
              <w:left w:val="nil"/>
              <w:bottom w:space="0" w:sz="8" w:color="000000" w:val="single"/>
              <w:right w:val="nil"/>
            </w:tcBorders>
            <w:hideMark/>
          </w:tcPr>
          <w:p w:rsidRDefault="00EC7E67" w:rsidR="00EC7E67">
            <w:pPr>
              <w:pStyle w:val="TableParagraph"/>
              <w:spacing w:lineRule="exact" w:line="217"/>
              <w:ind w:left="1022"/>
              <w:rPr>
                <w:b/>
              </w:rPr>
            </w:pPr>
            <w:r>
              <w:rPr>
                <w:b/>
              </w:rPr>
              <w:t>UKUPNO:</w:t>
            </w:r>
          </w:p>
        </w:tc>
        <w:tc>
          <w:tcPr>
            <w:tcW w:type="dxa" w:w="3482"/>
            <w:tcBorders>
              <w:top w:space="0" w:sz="8" w:color="000000" w:val="single"/>
              <w:left w:val="nil"/>
              <w:bottom w:space="0" w:sz="8" w:color="000000" w:val="single"/>
              <w:right w:val="nil"/>
            </w:tcBorders>
            <w:hideMark/>
          </w:tcPr>
          <w:p w:rsidRDefault="00EC7E67" w:rsidR="00EC7E67">
            <w:pPr>
              <w:pStyle w:val="TableParagraph"/>
              <w:spacing w:lineRule="exact" w:line="217"/>
              <w:ind w:right="39"/>
              <w:jc w:val="right"/>
              <w:rPr>
                <w:b/>
              </w:rPr>
            </w:pPr>
            <w:r>
              <w:rPr>
                <w:b/>
              </w:rPr>
              <w:t>677.500,00</w:t>
            </w:r>
          </w:p>
        </w:tc>
      </w:tr>
    </w:tbl>
    <w:p w:rsidRDefault="00EC7E67" w:rsidP="00EC7E67" w:rsidR="00EC7E67">
      <w:pPr>
        <w:rPr>
          <w:b/>
          <w:sz w:val="20"/>
        </w:rPr>
      </w:pPr>
    </w:p>
    <w:p w:rsidRDefault="00EC7E67" w:rsidP="00EC7E67" w:rsidR="00EC7E67">
      <w:pPr>
        <w:rPr>
          <w:b/>
          <w:sz w:val="20"/>
        </w:rPr>
      </w:pPr>
    </w:p>
    <w:p w:rsidRDefault="00EC7E67" w:rsidP="00EC7E67" w:rsidR="00EC7E67">
      <w:pPr>
        <w:rPr>
          <w:b/>
          <w:sz w:val="20"/>
        </w:rPr>
      </w:pPr>
    </w:p>
    <w:p w:rsidRDefault="00EC7E67" w:rsidP="00EC7E67" w:rsidR="00EC7E67">
      <w:pPr>
        <w:rPr>
          <w:b/>
          <w:sz w:val="20"/>
        </w:rPr>
      </w:pPr>
    </w:p>
    <w:p w:rsidRDefault="00EC7E67" w:rsidP="00EC7E67" w:rsidR="00EC7E67">
      <w:pPr>
        <w:rPr>
          <w:b/>
          <w:sz w:val="21"/>
        </w:rPr>
      </w:pPr>
    </w:p>
    <w:p w:rsidRDefault="00EC7E67" w:rsidP="00EC7E67" w:rsidR="001B20C8">
      <w:r>
        <w:t>Stečajni upravitelj Branko Valenti</w:t>
      </w:r>
    </w:p>
    <w:sectPr w:rsidR="001B20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7E67"/>
    <w:rsid w:val="001B20C8"/>
    <w:rsid w:val="00533069"/>
    <w:rsid w:val="00EC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1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1"/>
    <w:qFormat/>
    <w:rsid w:val="00EC7E67"/>
    <w:pPr>
      <w:widowControl w:val="false"/>
      <w:autoSpaceDE w:val="false"/>
      <w:autoSpaceDN w:val="false"/>
      <w:spacing w:lineRule="auto" w:line="240" w:after="0"/>
    </w:pPr>
    <w:rPr>
      <w:rFonts w:cs="Arial" w:eastAsia="Arial" w:hAnsi="Arial" w:ascii="Arial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1"/>
    <w:semiHidden/>
    <w:unhideWhenUsed/>
    <w:qFormat/>
    <w:rsid w:val="00EC7E67"/>
    <w:rPr>
      <w:b/>
      <w:bCs/>
    </w:rPr>
  </w:style>
  <w:style w:customStyle="true" w:styleId="TijelotekstaChar" w:type="character">
    <w:name w:val="Tijelo teksta Char"/>
    <w:basedOn w:val="Zadanifontodlomka"/>
    <w:link w:val="Tijeloteksta"/>
    <w:uiPriority w:val="1"/>
    <w:semiHidden/>
    <w:rsid w:val="00EC7E67"/>
    <w:rPr>
      <w:rFonts w:cs="Arial" w:eastAsia="Arial" w:hAnsi="Arial" w:ascii="Arial"/>
      <w:b/>
      <w:bCs/>
      <w:lang w:val="en-US"/>
    </w:rPr>
  </w:style>
  <w:style w:customStyle="true" w:styleId="TableParagraph" w:type="paragraph">
    <w:name w:val="Table Paragraph"/>
    <w:basedOn w:val="Normal"/>
    <w:uiPriority w:val="1"/>
    <w:qFormat/>
    <w:rsid w:val="00EC7E67"/>
    <w:pPr>
      <w:spacing w:lineRule="exact" w:line="237"/>
    </w:pPr>
  </w:style>
  <w:style w:customStyle="true" w:styleId="TableNormal" w:type="table">
    <w:name w:val="Table Normal"/>
    <w:uiPriority w:val="2"/>
    <w:semiHidden/>
    <w:qFormat/>
    <w:rsid w:val="00EC7E67"/>
    <w:pPr>
      <w:widowControl w:val="false"/>
      <w:autoSpaceDE w:val="false"/>
      <w:autoSpaceDN w:val="false"/>
      <w:spacing w:lineRule="auto" w:line="240" w:after="0"/>
    </w:pPr>
    <w:rPr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533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0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0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0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0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1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1"/>
    <w:qFormat/>
    <w:rsid w:val="00EC7E67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1"/>
    <w:semiHidden/>
    <w:unhideWhenUsed/>
    <w:qFormat/>
    <w:rsid w:val="00EC7E67"/>
    <w:rPr>
      <w:b/>
      <w:bCs/>
    </w:rPr>
  </w:style>
  <w:style w:customStyle="1" w:styleId="TijelotekstaChar" w:type="character">
    <w:name w:val="Tijelo teksta Char"/>
    <w:basedOn w:val="Zadanifontodlomka"/>
    <w:link w:val="Tijeloteksta"/>
    <w:uiPriority w:val="1"/>
    <w:semiHidden/>
    <w:rsid w:val="00EC7E67"/>
    <w:rPr>
      <w:rFonts w:ascii="Arial" w:cs="Arial" w:eastAsia="Arial" w:hAnsi="Arial"/>
      <w:b/>
      <w:bCs/>
      <w:lang w:val="en-US"/>
    </w:rPr>
  </w:style>
  <w:style w:customStyle="1" w:styleId="TableParagraph" w:type="paragraph">
    <w:name w:val="Table Paragraph"/>
    <w:basedOn w:val="Normal"/>
    <w:uiPriority w:val="1"/>
    <w:qFormat/>
    <w:rsid w:val="00EC7E67"/>
    <w:pPr>
      <w:spacing w:line="237" w:lineRule="exact"/>
    </w:pPr>
  </w:style>
  <w:style w:customStyle="1" w:styleId="TableNormal" w:type="table">
    <w:name w:val="Table Normal"/>
    <w:uiPriority w:val="2"/>
    <w:semiHidden/>
    <w:qFormat/>
    <w:rsid w:val="00EC7E6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533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0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0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0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0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31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St-746/2017-18</izvorni_sadrzaj>
    <derivirana_varijabla naziv="DomainObject.Oznaka_1">St-746/2017-18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>
  <DomainObject.Predmet.OstaliListFormatedOIB>
    <izvorni_sadrzaj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OIB_1"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>
  <DomainObject.Predmet.OstaliListFormatedWithAdressOIB>
    <izvorni_sadrzaj>
      <item>FINA Našice,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OIB_1">
      <item>FINA Našice,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>
  <DomainObject.Predmet.OstaliListNazivFormatedOIB>
    <izvorni_sadrzaj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OIB_1">
      <item>FINA Našice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15458350190</item>
      <item>, OIB null</item>
      <item>, OIB 98833480207</item>
      <item>, OIB 86821435474</item>
      <item>, OIB null</item>
      <item>, OIB null</item>
      <item>, OIB null</item>
      <item>, OIB null</item>
    </izvorni_sadrzaj>
    <derivirana_varijabla naziv="DomainObject.Predmet.SudioniciListNazivOIB_1">
      <item>, OIB 15458350190</item>
      <item>, OIB null</item>
      <item>, OIB 98833480207</item>
      <item>, OIB 86821435474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123</properties:Words>
  <properties:Characters>749</properties:Characters>
  <properties:Lines>60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2017-11-09T11:10:00Z</dcterms:created>
  <dc:creator>Vesna Dragišić</dc:creator>
  <cp:lastModifiedBy>Vesna Dragišić</cp:lastModifiedBy>
  <dcterms:modified xmlns:xsi="http://www.w3.org/2001/XMLSchema-instance" xsi:type="dcterms:W3CDTF">2017-11-09T11:17:00Z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St-746/2017-18 / Podnesak - Troškovnik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