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952c23" w14:paraId="3952c23" w:rsidRDefault="00AE649C" w:rsidP="00FA5B5E" w:rsidR="00AE649C" w:rsidRPr="00B76F3C">
      <w:pPr>
        <w:pStyle w:val="Naslov3"/>
        <w15:collapsed w:val="false"/>
      </w:pPr>
    </w:p>
    <w:p w:rsidRDefault="000751F7" w:rsidP="000751F7" w:rsidR="000751F7" w:rsidRPr="000751F7">
      <w:pPr>
        <w:pStyle w:val="SudNaziv"/>
        <w:rPr>
          <w:rFonts w:cs="Times New Roman" w:eastAsia="Times New Roman"/>
          <w:lang w:eastAsia="hr-HR"/>
        </w:rPr>
      </w:pPr>
      <w:r>
        <w:rPr>
          <w:lang w:eastAsia="hr-HR"/>
        </w:rPr>
        <w:pict>
          <v:shapetype id="_x0000_t202" coordsize="21600,21600" path="m,l,21600r21600,l21600,xe" o:spt="202.0">
            <v:stroke joinstyle="miter"/>
            <v:path o:connecttype="rect" gradientshapeok="t"/>
          </v:shapetype>
          <v:shape filled="f" strokeweight=".5pt" stroked="f" o:spid="_x0000_s1026" id="Text Box 4" style="position:absolute;margin-left:85.05pt;margin-top:42.55pt;width:59.55pt;height:76.5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top" type="#_x0000_t202" o:gfxdata="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">
            <v:textbox style="mso-next-textbox:#Text Box 4" inset="0,0,0,0">
              <w:txbxContent>
                <w:sdt>
                  <w:sdtPr>
                    <w:alias w:val="Grb Republike Hrvatske"/>
                    <w:tag w:val="eSPIS_GrbRH"/>
                    <w:id w:val="51893063"/>
                    <w:lock w:val="sdtLocked"/>
                    <w:picture/>
                  </w:sdtPr>
                  <w:sdtEndPr/>
                  <w:sdtContent>
                    <w:p w:rsidRDefault="008333A9" w:rsidP="00E67D40" w:rsidR="008333A9" w:rsidRPr="00236598">
                      <w:pPr>
                        <w:pStyle w:val="GrbRH"/>
                      </w:pPr>
                      <w:r>
                        <w:rPr>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p>
                  </w:sdtContent>
                </w:sdt>
              </w:txbxContent>
            </v:textbox>
            <w10:wrap anchory="page" anchorx="page"/>
          </v:shape>
        </w:pict>
      </w:r>
      <w:bookmarkStart w:name="_GoBack" w:id="0"/>
      <w:bookmarkEnd w:id="0"/>
    </w:p>
    <w:p w:rsidRDefault="000751F7" w:rsidP="000751F7" w:rsidR="000751F7" w:rsidRPr="000751F7">
      <w:pPr>
        <w:spacing w:after="0"/>
        <w:ind w:firstLine="708"/>
        <w:rPr>
          <w:rFonts w:cs="Times New Roman" w:eastAsia="Times New Roman"/>
          <w:lang w:eastAsia="hr-HR"/>
        </w:rPr>
      </w:pPr>
      <w:r w:rsidRPr="000751F7">
        <w:rPr>
          <w:rFonts w:cs="Times New Roman" w:eastAsia="Times New Roman"/>
          <w:lang w:eastAsia="hr-HR"/>
        </w:rPr>
        <w:t xml:space="preserve">REPUBLIKA HRVATSKA </w:t>
      </w:r>
      <w:r w:rsidRPr="000751F7">
        <w:rPr>
          <w:rFonts w:cs="Times New Roman" w:eastAsia="Times New Roman"/>
          <w:lang w:eastAsia="hr-HR"/>
        </w:rPr>
        <w:tab/>
      </w:r>
      <w:r w:rsidRPr="000751F7">
        <w:rPr>
          <w:rFonts w:cs="Times New Roman" w:eastAsia="Times New Roman"/>
          <w:lang w:eastAsia="hr-HR"/>
        </w:rPr>
        <w:tab/>
      </w:r>
      <w:r w:rsidRPr="000751F7">
        <w:rPr>
          <w:rFonts w:cs="Times New Roman" w:eastAsia="Times New Roman"/>
          <w:lang w:eastAsia="hr-HR"/>
        </w:rPr>
        <w:tab/>
      </w:r>
      <w:r w:rsidRPr="000751F7">
        <w:rPr>
          <w:rFonts w:cs="Times New Roman" w:eastAsia="Times New Roman"/>
          <w:lang w:eastAsia="hr-HR"/>
        </w:rPr>
        <w:tab/>
        <w:t xml:space="preserve">   Poslovni broj 3. St-443/2015-7</w:t>
      </w:r>
    </w:p>
    <w:p w:rsidRDefault="000751F7" w:rsidP="000751F7" w:rsidR="000751F7" w:rsidRPr="000751F7">
      <w:pPr>
        <w:spacing w:after="0"/>
        <w:ind w:firstLine="708"/>
        <w:rPr>
          <w:rFonts w:cs="Times New Roman" w:eastAsia="Times New Roman"/>
          <w:lang w:eastAsia="hr-HR"/>
        </w:rPr>
      </w:pPr>
      <w:r w:rsidRPr="000751F7">
        <w:rPr>
          <w:rFonts w:cs="Times New Roman" w:eastAsia="Times New Roman"/>
          <w:lang w:eastAsia="hr-HR"/>
        </w:rPr>
        <w:t>TRGOVAČKI SUD U ZADRU</w:t>
      </w:r>
      <w:r w:rsidRPr="000751F7">
        <w:rPr>
          <w:rFonts w:cs="Times New Roman" w:eastAsia="Times New Roman"/>
          <w:lang w:eastAsia="hr-HR"/>
        </w:rPr>
        <w:tab/>
      </w:r>
    </w:p>
    <w:p w:rsidRDefault="000751F7" w:rsidP="000751F7" w:rsidR="000751F7" w:rsidRPr="000751F7">
      <w:pPr>
        <w:spacing w:after="0"/>
        <w:ind w:firstLine="708"/>
        <w:rPr>
          <w:rFonts w:cs="Times New Roman" w:eastAsia="Times New Roman"/>
          <w:lang w:eastAsia="hr-HR"/>
        </w:rPr>
      </w:pPr>
      <w:r w:rsidRPr="000751F7">
        <w:rPr>
          <w:rFonts w:cs="Times New Roman" w:eastAsia="Times New Roman"/>
          <w:lang w:eastAsia="hr-HR"/>
        </w:rPr>
        <w:t>Zadar, Dr. Franje Tuđmana 35</w:t>
      </w:r>
      <w:r w:rsidRPr="000751F7">
        <w:rPr>
          <w:rFonts w:cs="Times New Roman" w:eastAsia="Times New Roman"/>
          <w:lang w:eastAsia="hr-HR"/>
        </w:rPr>
        <w:tab/>
      </w:r>
      <w:r w:rsidRPr="000751F7">
        <w:rPr>
          <w:rFonts w:cs="Times New Roman" w:eastAsia="Times New Roman"/>
          <w:lang w:eastAsia="hr-HR"/>
        </w:rPr>
        <w:tab/>
      </w:r>
      <w:r w:rsidRPr="000751F7">
        <w:rPr>
          <w:rFonts w:cs="Times New Roman" w:eastAsia="Times New Roman"/>
          <w:lang w:eastAsia="hr-HR"/>
        </w:rPr>
        <w:tab/>
      </w:r>
      <w:r w:rsidRPr="000751F7">
        <w:rPr>
          <w:rFonts w:cs="Times New Roman" w:eastAsia="Times New Roman"/>
          <w:lang w:eastAsia="hr-HR"/>
        </w:rPr>
        <w:tab/>
      </w:r>
      <w:r w:rsidRPr="000751F7">
        <w:rPr>
          <w:rFonts w:cs="Times New Roman" w:eastAsia="Times New Roman"/>
          <w:lang w:eastAsia="hr-HR"/>
        </w:rPr>
        <w:tab/>
      </w:r>
    </w:p>
    <w:p w:rsidRDefault="000751F7" w:rsidP="000751F7" w:rsidR="000751F7" w:rsidRPr="000751F7">
      <w:pPr>
        <w:spacing w:after="0"/>
        <w:jc w:val="center"/>
        <w:rPr>
          <w:rFonts w:cs="Times New Roman" w:eastAsia="Times New Roman"/>
          <w:lang w:eastAsia="hr-HR"/>
        </w:rPr>
      </w:pPr>
    </w:p>
    <w:p w:rsidRDefault="000751F7" w:rsidP="000751F7" w:rsidR="000751F7" w:rsidRPr="000751F7">
      <w:pPr>
        <w:spacing w:after="0"/>
        <w:jc w:val="center"/>
        <w:rPr>
          <w:rFonts w:cs="Times New Roman" w:eastAsia="Times New Roman"/>
          <w:lang w:eastAsia="hr-HR"/>
        </w:rPr>
      </w:pPr>
      <w:r w:rsidRPr="000751F7">
        <w:rPr>
          <w:rFonts w:cs="Times New Roman" w:eastAsia="Times New Roman"/>
          <w:lang w:eastAsia="hr-HR"/>
        </w:rPr>
        <w:t xml:space="preserve">R E P U B L I K A  H R V A T S KA </w:t>
      </w:r>
    </w:p>
    <w:p w:rsidRDefault="000751F7" w:rsidP="000751F7" w:rsidR="000751F7" w:rsidRPr="000751F7">
      <w:pPr>
        <w:spacing w:after="0"/>
        <w:rPr>
          <w:rFonts w:cs="Times New Roman" w:eastAsia="Times New Roman"/>
          <w:lang w:eastAsia="hr-HR"/>
        </w:rPr>
      </w:pPr>
    </w:p>
    <w:p w:rsidRDefault="000751F7" w:rsidP="000751F7" w:rsidR="000751F7" w:rsidRPr="000751F7">
      <w:pPr>
        <w:tabs>
          <w:tab w:pos="4536" w:val="center"/>
          <w:tab w:pos="7695" w:val="left"/>
        </w:tabs>
        <w:spacing w:after="0"/>
        <w:rPr>
          <w:rFonts w:cs="Times New Roman" w:eastAsia="Times New Roman"/>
          <w:lang w:eastAsia="hr-HR"/>
        </w:rPr>
      </w:pPr>
      <w:r w:rsidRPr="000751F7">
        <w:rPr>
          <w:rFonts w:cs="Times New Roman" w:eastAsia="Times New Roman"/>
          <w:lang w:eastAsia="hr-HR"/>
        </w:rPr>
        <w:tab/>
        <w:t>R J E Š E N J E</w:t>
      </w:r>
      <w:r w:rsidRPr="000751F7">
        <w:rPr>
          <w:rFonts w:cs="Times New Roman" w:eastAsia="Times New Roman"/>
          <w:lang w:eastAsia="hr-HR"/>
        </w:rPr>
        <w:tab/>
      </w:r>
    </w:p>
    <w:p w:rsidRDefault="000751F7" w:rsidP="000751F7" w:rsidR="000751F7" w:rsidRPr="000751F7">
      <w:pPr>
        <w:spacing w:after="0"/>
        <w:jc w:val="both"/>
        <w:rPr>
          <w:rFonts w:cs="Times New Roman" w:eastAsia="Times New Roman"/>
          <w:lang w:eastAsia="hr-HR"/>
        </w:rPr>
      </w:pPr>
    </w:p>
    <w:p w:rsidRDefault="000751F7" w:rsidP="000751F7" w:rsidR="000751F7" w:rsidRPr="000751F7">
      <w:pPr>
        <w:spacing w:after="0"/>
        <w:ind w:firstLine="705"/>
        <w:jc w:val="both"/>
        <w:rPr>
          <w:rFonts w:cs="Times New Roman" w:eastAsia="Times New Roman"/>
          <w:lang w:eastAsia="hr-HR"/>
        </w:rPr>
      </w:pPr>
      <w:r w:rsidRPr="000751F7">
        <w:rPr>
          <w:rFonts w:cs="Times New Roman" w:eastAsia="Times New Roman"/>
          <w:lang w:eastAsia="hr-HR"/>
        </w:rPr>
        <w:t xml:space="preserve">Trgovački sud u Zadru, OIB: 39670464653, po sutkinji Tini Grgas, postupajući po prijedlogu Financijske agencije, Regionalnog centra Split, Podružnice Zadar, Ivana Danila 4, za otvaranje stečajnog postupka nad dužnikom BUBA d.o.o. sa sjedištem u Zadru, Zrmanjska 21, OIB: 13291058598, zastupanim po članu uprave Francu </w:t>
      </w:r>
      <w:proofErr w:type="spellStart"/>
      <w:r w:rsidRPr="000751F7">
        <w:rPr>
          <w:rFonts w:cs="Times New Roman" w:eastAsia="Times New Roman"/>
          <w:lang w:eastAsia="hr-HR"/>
        </w:rPr>
        <w:t>Avguštinčiču</w:t>
      </w:r>
      <w:proofErr w:type="spellEnd"/>
      <w:r w:rsidRPr="000751F7">
        <w:rPr>
          <w:rFonts w:cs="Times New Roman" w:eastAsia="Times New Roman"/>
          <w:lang w:eastAsia="hr-HR"/>
        </w:rPr>
        <w:t xml:space="preserve"> iz Metlike, Gradac 112, Slovenija, 17. svibnja 2016.</w:t>
      </w:r>
    </w:p>
    <w:p w:rsidRDefault="000751F7" w:rsidP="000751F7" w:rsidR="000751F7" w:rsidRPr="000751F7">
      <w:pPr>
        <w:spacing w:after="0"/>
        <w:rPr>
          <w:rFonts w:cs="Times New Roman" w:eastAsia="Times New Roman"/>
          <w:lang w:eastAsia="hr-HR"/>
        </w:rPr>
      </w:pPr>
    </w:p>
    <w:p w:rsidRDefault="000751F7" w:rsidP="000751F7" w:rsidR="000751F7" w:rsidRPr="000751F7">
      <w:pPr>
        <w:spacing w:after="0"/>
        <w:jc w:val="center"/>
        <w:rPr>
          <w:rFonts w:cs="Times New Roman" w:eastAsia="Times New Roman"/>
          <w:lang w:eastAsia="hr-HR"/>
        </w:rPr>
      </w:pPr>
      <w:r w:rsidRPr="000751F7">
        <w:rPr>
          <w:rFonts w:cs="Times New Roman" w:eastAsia="Times New Roman"/>
          <w:lang w:eastAsia="hr-HR"/>
        </w:rPr>
        <w:t>r i j e š i o  j e</w:t>
      </w:r>
    </w:p>
    <w:p w:rsidRDefault="000751F7" w:rsidP="000751F7" w:rsidR="000751F7" w:rsidRPr="000751F7">
      <w:pPr>
        <w:spacing w:after="0"/>
        <w:rPr>
          <w:rFonts w:cs="Times New Roman" w:eastAsia="Times New Roman"/>
          <w:lang w:eastAsia="hr-HR"/>
        </w:rPr>
      </w:pPr>
    </w:p>
    <w:p w:rsidRDefault="000751F7" w:rsidP="000751F7" w:rsidR="000751F7" w:rsidRPr="000751F7">
      <w:pPr>
        <w:spacing w:after="0"/>
        <w:ind w:firstLine="708"/>
        <w:jc w:val="both"/>
        <w:rPr>
          <w:rFonts w:cs="Times New Roman" w:eastAsia="Times New Roman"/>
          <w:lang w:eastAsia="hr-HR"/>
        </w:rPr>
      </w:pPr>
      <w:r w:rsidRPr="000751F7">
        <w:rPr>
          <w:rFonts w:cs="Times New Roman" w:eastAsia="Times New Roman"/>
          <w:lang w:eastAsia="hr-HR"/>
        </w:rPr>
        <w:t>I. Pokreće se prethodni postupak radi utvrđivanja pretpostavki za otvaranje stečajnoga postupka nad dužnikom BUBA d.o.o. sa sjedištem u Zadru, Zrmanjska 21, OIB: 13291058598.</w:t>
      </w:r>
    </w:p>
    <w:p w:rsidRDefault="000751F7" w:rsidP="000751F7" w:rsidR="000751F7" w:rsidRPr="000751F7">
      <w:pPr>
        <w:spacing w:after="0"/>
        <w:ind w:left="708"/>
        <w:jc w:val="both"/>
        <w:rPr>
          <w:rFonts w:cs="Times New Roman" w:eastAsia="Times New Roman"/>
          <w:lang w:eastAsia="hr-HR"/>
        </w:rPr>
      </w:pPr>
    </w:p>
    <w:p w:rsidRDefault="000751F7" w:rsidP="000751F7" w:rsidR="000751F7" w:rsidRPr="000751F7">
      <w:pPr>
        <w:spacing w:after="0"/>
        <w:ind w:firstLine="708"/>
        <w:jc w:val="both"/>
        <w:rPr>
          <w:rFonts w:cs="Times New Roman" w:eastAsia="Times New Roman"/>
          <w:lang w:eastAsia="hr-HR"/>
        </w:rPr>
      </w:pPr>
      <w:r w:rsidRPr="000751F7">
        <w:rPr>
          <w:rFonts w:cs="Times New Roman" w:eastAsia="Times New Roman"/>
          <w:lang w:eastAsia="hr-HR"/>
        </w:rPr>
        <w:t xml:space="preserve">II. Spajaju se ročište radi očitovanja o prijedlogu za otvaranje stečajnog postupka nad dužnikom i ročište radi rasprave o pretpostavkama za otvaranje stečajnog postupka nad dužnikom u jedno ročište koje se zakazuje za dan 1. lipnja 2016. u 11,00 sati u zgradi ovog suda, sudnica broj 34/I. </w:t>
      </w:r>
    </w:p>
    <w:p w:rsidRDefault="000751F7" w:rsidP="000751F7" w:rsidR="000751F7" w:rsidRPr="000751F7">
      <w:pPr>
        <w:spacing w:after="0"/>
        <w:jc w:val="both"/>
        <w:rPr>
          <w:rFonts w:cs="Times New Roman" w:eastAsia="Times New Roman"/>
          <w:lang w:eastAsia="hr-HR"/>
        </w:rPr>
      </w:pPr>
    </w:p>
    <w:p w:rsidRDefault="000751F7" w:rsidP="000751F7" w:rsidR="000751F7" w:rsidRPr="000751F7">
      <w:pPr>
        <w:spacing w:after="0"/>
        <w:ind w:firstLine="708"/>
        <w:jc w:val="both"/>
        <w:rPr>
          <w:rFonts w:cs="Times New Roman" w:eastAsia="Times New Roman"/>
          <w:lang w:eastAsia="hr-HR"/>
        </w:rPr>
      </w:pPr>
      <w:r w:rsidRPr="000751F7">
        <w:rPr>
          <w:rFonts w:cs="Times New Roman" w:eastAsia="Times New Roman"/>
          <w:lang w:eastAsia="hr-HR"/>
        </w:rPr>
        <w:t>III. Na ročište se pozivaju osoba ovlaštena za zastupanje dužnika po zakonu, podnositelj prijedloga te pravna osoba koja obavlja poslove platnog prometa za dužnika.</w:t>
      </w:r>
    </w:p>
    <w:p w:rsidRDefault="000751F7" w:rsidP="000751F7" w:rsidR="000751F7" w:rsidRPr="000751F7">
      <w:pPr>
        <w:spacing w:after="0"/>
        <w:ind w:firstLine="708"/>
        <w:jc w:val="both"/>
        <w:rPr>
          <w:rFonts w:cs="Times New Roman" w:eastAsia="Times New Roman"/>
          <w:lang w:eastAsia="hr-HR"/>
        </w:rPr>
      </w:pPr>
    </w:p>
    <w:p w:rsidRDefault="000751F7" w:rsidP="000751F7" w:rsidR="000751F7" w:rsidRPr="000751F7">
      <w:pPr>
        <w:spacing w:after="0"/>
        <w:jc w:val="center"/>
        <w:rPr>
          <w:rFonts w:cs="Times New Roman" w:eastAsia="Times New Roman"/>
          <w:lang w:eastAsia="hr-HR"/>
        </w:rPr>
      </w:pPr>
      <w:r w:rsidRPr="000751F7">
        <w:rPr>
          <w:rFonts w:cs="Times New Roman" w:eastAsia="Times New Roman"/>
          <w:lang w:eastAsia="hr-HR"/>
        </w:rPr>
        <w:t>Obrazloženje</w:t>
      </w:r>
    </w:p>
    <w:p w:rsidRDefault="000751F7" w:rsidP="000751F7" w:rsidR="000751F7" w:rsidRPr="000751F7">
      <w:pPr>
        <w:spacing w:after="0"/>
        <w:jc w:val="center"/>
        <w:rPr>
          <w:rFonts w:cs="Times New Roman" w:eastAsia="Times New Roman"/>
          <w:lang w:eastAsia="hr-HR"/>
        </w:rPr>
      </w:pPr>
    </w:p>
    <w:p w:rsidRDefault="000751F7" w:rsidP="000751F7" w:rsidR="000751F7" w:rsidRPr="000751F7">
      <w:pPr>
        <w:spacing w:after="0"/>
        <w:ind w:firstLine="708"/>
        <w:jc w:val="both"/>
        <w:rPr>
          <w:rFonts w:cs="Times New Roman" w:eastAsia="Times New Roman"/>
          <w:lang w:eastAsia="hr-HR"/>
        </w:rPr>
      </w:pPr>
      <w:r w:rsidRPr="000751F7">
        <w:rPr>
          <w:rFonts w:cs="Times New Roman" w:eastAsia="Times New Roman"/>
          <w:lang w:eastAsia="hr-HR"/>
        </w:rPr>
        <w:t>Financijska agencija, Regionalni centar Split, Podružnica Zadar je podnijela ovom sudu 3. studenog 2016. prijedlog za otvaranje stečajnoga postupka nad uvodno označenim dužnikom postupajući temeljem odredbe čl. 110. st. 1. Stečajnog zakona (Narodne novine broj 71/15-u nastavku teksta: SZ) navodeći da isti na dan 14. rujna 2015. u Očevidniku redoslijeda osnova za plaćanje ima evidentirano neizvršene osnove za plaćanje u neprekinutom razdoblju od 120 dana u ukupnom iznosu od 7.973.855,80 kuna, da ima dva zaposlenika te šest otvorenih bankovnih računa.</w:t>
      </w:r>
    </w:p>
    <w:p w:rsidRDefault="000751F7" w:rsidP="000751F7" w:rsidR="000751F7" w:rsidRPr="000751F7">
      <w:pPr>
        <w:spacing w:after="0"/>
        <w:jc w:val="both"/>
        <w:rPr>
          <w:rFonts w:cs="Times New Roman" w:eastAsia="Times New Roman"/>
          <w:lang w:eastAsia="hr-HR"/>
        </w:rPr>
      </w:pPr>
      <w:r w:rsidRPr="000751F7">
        <w:rPr>
          <w:rFonts w:cs="Times New Roman" w:eastAsia="Times New Roman"/>
          <w:lang w:eastAsia="hr-HR"/>
        </w:rPr>
        <w:tab/>
        <w:t xml:space="preserve">Slijedom navedenog, a temeljem odredbi čl. 115. st. 1., čl. 123. st. 2. i čl. 128. st. 1. i 3. SZ-a donesena je odluka kao u točki I. i III. izreke ovog rješenja. </w:t>
      </w:r>
    </w:p>
    <w:p w:rsidRDefault="000751F7" w:rsidP="000751F7" w:rsidR="000751F7" w:rsidRPr="000751F7">
      <w:pPr>
        <w:spacing w:after="0"/>
        <w:jc w:val="both"/>
        <w:rPr>
          <w:rFonts w:cs="Times New Roman" w:eastAsia="Times New Roman"/>
          <w:lang w:eastAsia="hr-HR"/>
        </w:rPr>
      </w:pPr>
      <w:r w:rsidRPr="000751F7">
        <w:rPr>
          <w:rFonts w:cs="Times New Roman" w:eastAsia="Times New Roman"/>
          <w:lang w:eastAsia="hr-HR"/>
        </w:rPr>
        <w:tab/>
        <w:t>Odluka suda iz točke II. izreke ovog rješenja, a budući nije određeno ispitivanje gospodarsko-financijskog stanja dužnika, temelji se na odredbi čl. 128. st. 5. SZ-a.</w:t>
      </w:r>
    </w:p>
    <w:p w:rsidRDefault="000751F7" w:rsidP="000751F7" w:rsidR="000751F7" w:rsidRPr="000751F7">
      <w:pPr>
        <w:spacing w:after="0"/>
        <w:jc w:val="both"/>
        <w:rPr>
          <w:rFonts w:cs="Times New Roman" w:eastAsia="Times New Roman"/>
          <w:lang w:eastAsia="hr-HR"/>
        </w:rPr>
      </w:pPr>
    </w:p>
    <w:p w:rsidRDefault="000751F7" w:rsidP="000751F7" w:rsidR="000751F7" w:rsidRPr="000751F7">
      <w:pPr>
        <w:spacing w:after="0"/>
        <w:jc w:val="center"/>
        <w:rPr>
          <w:rFonts w:cs="Times New Roman" w:eastAsia="Times New Roman"/>
          <w:lang w:eastAsia="hr-HR"/>
        </w:rPr>
      </w:pPr>
      <w:r w:rsidRPr="000751F7">
        <w:rPr>
          <w:rFonts w:cs="Times New Roman" w:eastAsia="Times New Roman"/>
          <w:lang w:eastAsia="hr-HR"/>
        </w:rPr>
        <w:t xml:space="preserve">U Zadru 17. svibnja 2016. </w:t>
      </w:r>
    </w:p>
    <w:p w:rsidRDefault="000751F7" w:rsidP="000751F7" w:rsidR="000751F7" w:rsidRPr="000751F7">
      <w:pPr>
        <w:spacing w:after="0"/>
        <w:jc w:val="center"/>
        <w:rPr>
          <w:rFonts w:cs="Times New Roman" w:eastAsia="Times New Roman"/>
          <w:lang w:eastAsia="hr-HR"/>
        </w:rPr>
      </w:pPr>
    </w:p>
    <w:p w:rsidRDefault="000751F7" w:rsidP="000751F7" w:rsidR="000751F7" w:rsidRPr="000751F7">
      <w:pPr>
        <w:spacing w:after="0"/>
        <w:jc w:val="right"/>
        <w:rPr>
          <w:rFonts w:cs="Times New Roman" w:eastAsia="Times New Roman"/>
          <w:lang w:eastAsia="hr-HR"/>
        </w:rPr>
      </w:pPr>
      <w:r w:rsidRPr="000751F7">
        <w:rPr>
          <w:rFonts w:cs="Times New Roman" w:eastAsia="Times New Roman"/>
          <w:lang w:eastAsia="hr-HR"/>
        </w:rPr>
        <w:t>Sutkinja:</w:t>
      </w:r>
    </w:p>
    <w:p w:rsidRDefault="000751F7" w:rsidP="000751F7" w:rsidR="000751F7" w:rsidRPr="000751F7">
      <w:pPr>
        <w:spacing w:after="0"/>
        <w:jc w:val="right"/>
        <w:rPr>
          <w:rFonts w:cs="Times New Roman" w:eastAsia="Times New Roman"/>
          <w:lang w:eastAsia="hr-HR"/>
        </w:rPr>
      </w:pPr>
      <w:r w:rsidRPr="000751F7">
        <w:rPr>
          <w:rFonts w:cs="Times New Roman" w:eastAsia="Times New Roman"/>
          <w:lang w:eastAsia="hr-HR"/>
        </w:rPr>
        <w:lastRenderedPageBreak/>
        <w:t>Tina Grgas</w:t>
      </w:r>
    </w:p>
    <w:p w:rsidRDefault="000751F7" w:rsidP="000751F7" w:rsidR="000751F7" w:rsidRPr="000751F7">
      <w:pPr>
        <w:spacing w:after="0"/>
        <w:rPr>
          <w:rFonts w:cs="Times New Roman" w:eastAsia="Times New Roman"/>
          <w:lang w:eastAsia="hr-HR"/>
        </w:rPr>
      </w:pPr>
    </w:p>
    <w:p w:rsidRDefault="000751F7" w:rsidP="000751F7" w:rsidR="000751F7" w:rsidRPr="000751F7">
      <w:pPr>
        <w:spacing w:after="0"/>
        <w:rPr>
          <w:rFonts w:cs="Times New Roman" w:eastAsia="Times New Roman"/>
          <w:lang w:eastAsia="hr-HR"/>
        </w:rPr>
      </w:pPr>
    </w:p>
    <w:p w:rsidRDefault="000751F7" w:rsidP="000751F7" w:rsidR="000751F7" w:rsidRPr="000751F7">
      <w:pPr>
        <w:spacing w:after="0"/>
        <w:ind w:firstLine="360"/>
        <w:rPr>
          <w:rFonts w:cs="Times New Roman" w:eastAsia="Times New Roman"/>
          <w:lang w:eastAsia="hr-HR"/>
        </w:rPr>
      </w:pPr>
      <w:r w:rsidRPr="000751F7">
        <w:rPr>
          <w:rFonts w:cs="Times New Roman" w:eastAsia="Times New Roman"/>
          <w:lang w:eastAsia="hr-HR"/>
        </w:rPr>
        <w:t xml:space="preserve">UPUTA O PRAVNOM LIJEKU:  </w:t>
      </w:r>
    </w:p>
    <w:p w:rsidRDefault="000751F7" w:rsidP="000751F7" w:rsidR="000751F7" w:rsidRPr="000751F7">
      <w:pPr>
        <w:spacing w:after="0"/>
        <w:ind w:firstLine="360"/>
        <w:rPr>
          <w:rFonts w:cs="Times New Roman" w:eastAsia="Times New Roman"/>
          <w:lang w:eastAsia="hr-HR"/>
        </w:rPr>
      </w:pPr>
      <w:r w:rsidRPr="000751F7">
        <w:rPr>
          <w:rFonts w:cs="Times New Roman" w:eastAsia="Times New Roman"/>
          <w:lang w:eastAsia="hr-HR"/>
        </w:rPr>
        <w:t xml:space="preserve">Protiv ovog rješenja nije dopuštena posebna žalba (čl. 115. st. 1. Stečajnog zakona). </w:t>
      </w:r>
    </w:p>
    <w:p w:rsidRDefault="000751F7" w:rsidP="000751F7" w:rsidR="000751F7" w:rsidRPr="000751F7">
      <w:pPr>
        <w:spacing w:after="0"/>
        <w:rPr>
          <w:rFonts w:cs="Times New Roman" w:eastAsia="Times New Roman"/>
          <w:lang w:eastAsia="hr-HR"/>
        </w:rPr>
      </w:pPr>
    </w:p>
    <w:p w:rsidRDefault="000751F7" w:rsidP="000751F7" w:rsidR="000751F7" w:rsidRPr="000751F7">
      <w:pPr>
        <w:spacing w:after="0"/>
        <w:rPr>
          <w:rFonts w:cs="Times New Roman" w:eastAsia="Times New Roman"/>
          <w:lang w:eastAsia="hr-HR"/>
        </w:rPr>
      </w:pPr>
    </w:p>
    <w:p w:rsidRDefault="000751F7" w:rsidP="000751F7" w:rsidR="000751F7" w:rsidRPr="000751F7">
      <w:pPr>
        <w:spacing w:after="0"/>
        <w:ind w:firstLine="708"/>
        <w:rPr>
          <w:rFonts w:cs="Times New Roman" w:eastAsia="Times New Roman"/>
          <w:lang w:eastAsia="hr-HR"/>
        </w:rPr>
      </w:pPr>
      <w:r w:rsidRPr="000751F7">
        <w:rPr>
          <w:rFonts w:cs="Times New Roman" w:eastAsia="Times New Roman"/>
          <w:lang w:eastAsia="hr-HR"/>
        </w:rPr>
        <w:t xml:space="preserve">Dostaviti: </w:t>
      </w:r>
    </w:p>
    <w:p w:rsidRDefault="000751F7" w:rsidP="000751F7" w:rsidR="000751F7" w:rsidRPr="000751F7">
      <w:pPr>
        <w:numPr>
          <w:ilvl w:val="0"/>
          <w:numId w:val="47"/>
        </w:numPr>
        <w:spacing w:lineRule="auto" w:line="276" w:after="0"/>
        <w:rPr>
          <w:rFonts w:cs="Times New Roman" w:eastAsia="Times New Roman"/>
          <w:lang w:eastAsia="hr-HR"/>
        </w:rPr>
      </w:pPr>
      <w:r w:rsidRPr="000751F7">
        <w:rPr>
          <w:rFonts w:cs="Times New Roman" w:eastAsia="Times New Roman"/>
          <w:lang w:eastAsia="hr-HR"/>
        </w:rPr>
        <w:t xml:space="preserve">Dužniku – putem e-oglasne ploče </w:t>
      </w:r>
    </w:p>
    <w:p w:rsidRDefault="000751F7" w:rsidP="000751F7" w:rsidR="000751F7" w:rsidRPr="000751F7">
      <w:pPr>
        <w:numPr>
          <w:ilvl w:val="0"/>
          <w:numId w:val="47"/>
        </w:numPr>
        <w:spacing w:lineRule="auto" w:line="276" w:after="0"/>
        <w:rPr>
          <w:rFonts w:cs="Times New Roman" w:eastAsia="Times New Roman"/>
          <w:lang w:eastAsia="hr-HR"/>
        </w:rPr>
      </w:pPr>
      <w:r w:rsidRPr="000751F7">
        <w:rPr>
          <w:rFonts w:cs="Times New Roman" w:eastAsia="Times New Roman"/>
          <w:lang w:eastAsia="hr-HR"/>
        </w:rPr>
        <w:t xml:space="preserve">Osobi ovlaštenoj za zastupanje dužnika po zakonu putem e-Oglasne ploče i na adresu </w:t>
      </w:r>
    </w:p>
    <w:p w:rsidRDefault="000751F7" w:rsidP="000751F7" w:rsidR="000751F7" w:rsidRPr="000751F7">
      <w:pPr>
        <w:numPr>
          <w:ilvl w:val="0"/>
          <w:numId w:val="47"/>
        </w:numPr>
        <w:spacing w:lineRule="auto" w:line="276" w:after="0"/>
        <w:rPr>
          <w:rFonts w:cs="Times New Roman" w:eastAsia="Times New Roman"/>
          <w:lang w:eastAsia="hr-HR"/>
        </w:rPr>
      </w:pPr>
      <w:r w:rsidRPr="000751F7">
        <w:rPr>
          <w:rFonts w:cs="Times New Roman" w:eastAsia="Times New Roman"/>
          <w:lang w:eastAsia="hr-HR"/>
        </w:rPr>
        <w:t xml:space="preserve">FINA – elektronskim putem </w:t>
      </w:r>
    </w:p>
    <w:p w:rsidRDefault="000751F7" w:rsidP="000751F7" w:rsidR="000751F7" w:rsidRPr="000751F7">
      <w:pPr>
        <w:numPr>
          <w:ilvl w:val="0"/>
          <w:numId w:val="47"/>
        </w:numPr>
        <w:spacing w:lineRule="auto" w:line="276" w:after="0"/>
        <w:rPr>
          <w:rFonts w:cs="Times New Roman" w:eastAsia="Times New Roman"/>
          <w:lang w:eastAsia="hr-HR"/>
        </w:rPr>
      </w:pPr>
      <w:r w:rsidRPr="000751F7">
        <w:rPr>
          <w:rFonts w:cs="Times New Roman" w:eastAsia="Times New Roman"/>
          <w:lang w:eastAsia="hr-HR"/>
        </w:rPr>
        <w:t>E-oglasna ploča</w:t>
      </w:r>
    </w:p>
    <w:p w:rsidRDefault="000751F7" w:rsidP="000751F7" w:rsidR="000751F7" w:rsidRPr="000751F7">
      <w:pPr>
        <w:numPr>
          <w:ilvl w:val="0"/>
          <w:numId w:val="47"/>
        </w:numPr>
        <w:spacing w:lineRule="auto" w:line="276" w:after="0"/>
        <w:rPr>
          <w:rFonts w:cs="Times New Roman" w:eastAsia="Times New Roman"/>
          <w:lang w:eastAsia="hr-HR"/>
        </w:rPr>
      </w:pPr>
      <w:r w:rsidRPr="000751F7">
        <w:rPr>
          <w:rFonts w:cs="Times New Roman" w:eastAsia="Times New Roman"/>
          <w:lang w:eastAsia="hr-HR"/>
        </w:rPr>
        <w:t>u spis</w:t>
      </w:r>
    </w:p>
    <w:p w:rsidRDefault="000751F7" w:rsidP="000751F7" w:rsidR="000751F7" w:rsidRPr="000751F7">
      <w:pPr>
        <w:spacing w:lineRule="auto" w:line="276" w:after="200"/>
        <w:rPr>
          <w:rFonts w:cs="Times New Roman" w:eastAsia="Calibri" w:hAnsi="Calibri" w:ascii="Calibri"/>
          <w:sz w:val="22"/>
          <w:szCs w:val="22"/>
        </w:rPr>
      </w:pPr>
    </w:p>
    <w:p w:rsidRDefault="00EA1C6D" w:rsidP="00E67D40" w:rsidR="00AE649C" w:rsidRPr="00B76F3C">
      <w:pPr>
        <w:pStyle w:val="SudSjedite"/>
      </w:pPr>
      <w:r>
        <w:tab/>
      </w:r>
    </w:p>
    <w:p w:rsidRDefault="00CB0EA4" w:rsidP="00B76F3C" w:rsidR="00CB0EA4">
      <w:pPr>
        <w:pStyle w:val="Naslovdokumenta"/>
      </w:pPr>
    </w:p>
    <w:p w:rsidRDefault="0071688E" w:rsidP="00A21F0D" w:rsidR="0071688E">
      <w:pPr>
        <w:pStyle w:val="Poetniodjeljak"/>
      </w:pPr>
    </w:p>
    <w:p w:rsidRDefault="00A21F0D" w:rsidP="00A21F0D" w:rsidR="00A21F0D">
      <w:pPr>
        <w:pStyle w:val="NormaleSPIS"/>
        <w:rPr>
          <w:noProof/>
        </w:rPr>
      </w:pPr>
    </w:p>
    <w:p w:rsidRDefault="00DA0242" w:rsidP="00DA0242" w:rsidR="00DA0242">
      <w:pPr>
        <w:pStyle w:val="ZapisniarPotpis"/>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5DCE6547"/>
    <w:multiLevelType w:val="hybridMultilevel"/>
    <w:tmpl w:val="DD720746"/>
    <w:lvl w:tplc="B0A2C3F4" w:ilvl="0">
      <w:start w:val="3"/>
      <w:numFmt w:val="bullet"/>
      <w:lvlText w:val="-"/>
      <w:lvlJc w:val="left"/>
      <w:pPr>
        <w:tabs>
          <w:tab w:pos="720" w:val="num"/>
        </w:tabs>
        <w:ind w:hanging="360" w:left="720"/>
      </w:pPr>
      <w:rPr>
        <w:rFonts w:cs="Arial" w:eastAsia="Times New Roman" w:hAnsi="Arial" w:ascii="Arial" w:hint="default"/>
      </w:rPr>
    </w:lvl>
    <w:lvl w:tplc="041A0003" w:ilvl="1">
      <w:start w:val="1"/>
      <w:numFmt w:val="bullet"/>
      <w:lvlText w:val="o"/>
      <w:lvlJc w:val="left"/>
      <w:pPr>
        <w:tabs>
          <w:tab w:pos="1440" w:val="num"/>
        </w:tabs>
        <w:ind w:hanging="360" w:left="1440"/>
      </w:pPr>
      <w:rPr>
        <w:rFonts w:cs="Courier New" w:hAnsi="Courier New" w:ascii="Courier New"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37">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8">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3">
    <w:nsid w:val="7EAF58E6"/>
    <w:multiLevelType w:val="multilevel"/>
    <w:tmpl w:val="358ED2AE"/>
    <w:numStyleLink w:val="NumListA0"/>
  </w:abstractNum>
  <w:num w:numId="1">
    <w:abstractNumId w:val="18"/>
  </w:num>
  <w:num w:numId="2">
    <w:abstractNumId w:val="29"/>
  </w:num>
  <w:num w:numId="3">
    <w:abstractNumId w:val="17"/>
  </w:num>
  <w:num w:numId="4">
    <w:abstractNumId w:val="40"/>
  </w:num>
  <w:num w:numId="5">
    <w:abstractNumId w:val="42"/>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8"/>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36"/>
    <w:lvlOverride w:ilvl="0"/>
    <w:lvlOverride w:ilvl="1"/>
    <w:lvlOverride w:ilvl="2"/>
    <w:lvlOverride w:ilvl="3"/>
    <w:lvlOverride w:ilvl="4"/>
    <w:lvlOverride w:ilvl="5"/>
    <w:lvlOverride w:ilvl="6"/>
    <w:lvlOverride w:ilvl="7"/>
    <w:lvlOverride w:ilvl="8"/>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5"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51F7"/>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CCFFFF"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insideH w:space="0" w:sz="4" w:themeColor="background1" w:color="FFFFFF" w:val="single"/>
      </w:tblBorders>
      <w:tblCellMar>
        <w:top w:type="dxa" w:w="0"/>
        <w:left w:type="dxa" w:w="108"/>
        <w:bottom w:type="dxa" w:w="0"/>
        <w:right w:type="dxa" w:w="108"/>
      </w:tblCellMar>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CellMar>
        <w:top w:type="dxa" w:w="0"/>
        <w:left w:type="dxa" w:w="108"/>
        <w:bottom w:type="dxa" w:w="0"/>
        <w:right w:type="dxa" w:w="108"/>
      </w:tblCellMar>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CellMar>
        <w:top w:type="dxa" w:w="0"/>
        <w:left w:type="dxa" w:w="108"/>
        <w:bottom w:type="dxa" w:w="0"/>
        <w:right w:type="dxa" w:w="108"/>
      </w:tblCellMar>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CellMar>
        <w:top w:type="dxa" w:w="0"/>
        <w:left w:type="dxa" w:w="108"/>
        <w:bottom w:type="dxa" w:w="0"/>
        <w:right w:type="dxa" w:w="108"/>
      </w:tblCellMar>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CellMar>
        <w:top w:type="dxa" w:w="0"/>
        <w:left w:type="dxa" w:w="108"/>
        <w:bottom w:type="dxa" w:w="0"/>
        <w:right w:type="dxa" w:w="108"/>
      </w:tblCellMar>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CellMar>
        <w:top w:type="dxa" w:w="0"/>
        <w:left w:type="dxa" w:w="108"/>
        <w:bottom w:type="dxa" w:w="0"/>
        <w:right w:type="dxa" w:w="108"/>
      </w:tblCellMar>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CellMar>
        <w:top w:type="dxa" w:w="0"/>
        <w:left w:type="dxa" w:w="108"/>
        <w:bottom w:type="dxa" w:w="0"/>
        <w:right w:type="dxa" w:w="108"/>
      </w:tblCellMar>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CellMar>
        <w:top w:type="dxa" w:w="0"/>
        <w:left w:type="dxa" w:w="108"/>
        <w:bottom w:type="dxa" w:w="0"/>
        <w:right w:type="dxa" w:w="108"/>
      </w:tblCellMar>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CellMar>
        <w:top w:type="dxa" w:w="0"/>
        <w:left w:type="dxa" w:w="108"/>
        <w:bottom w:type="dxa" w:w="0"/>
        <w:right w:type="dxa" w:w="108"/>
      </w:tblCellMar>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CellMar>
        <w:top w:type="dxa" w:w="0"/>
        <w:left w:type="dxa" w:w="108"/>
        <w:bottom w:type="dxa" w:w="0"/>
        <w:right w:type="dxa" w:w="108"/>
      </w:tblCellMar>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CellMar>
        <w:top w:type="dxa" w:w="0"/>
        <w:left w:type="dxa" w:w="108"/>
        <w:bottom w:type="dxa" w:w="0"/>
        <w:right w:type="dxa" w:w="108"/>
      </w:tblCellMar>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CellMar>
        <w:top w:type="dxa" w:w="0"/>
        <w:left w:type="dxa" w:w="108"/>
        <w:bottom w:type="dxa" w:w="0"/>
        <w:right w:type="dxa" w:w="108"/>
      </w:tblCellMar>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CellMar>
        <w:top w:type="dxa" w:w="0"/>
        <w:left w:type="dxa" w:w="108"/>
        <w:bottom w:type="dxa" w:w="0"/>
        <w:right w:type="dxa" w:w="108"/>
      </w:tblCellMar>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CellMar>
        <w:top w:type="dxa" w:w="0"/>
        <w:left w:type="dxa" w:w="108"/>
        <w:bottom w:type="dxa" w:w="0"/>
        <w:right w:type="dxa" w:w="108"/>
      </w:tblCellMar>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CellMar>
        <w:top w:type="dxa" w:w="0"/>
        <w:left w:type="dxa" w:w="108"/>
        <w:bottom w:type="dxa" w:w="0"/>
        <w:right w:type="dxa" w:w="108"/>
      </w:tblCellMar>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CellMar>
        <w:top w:type="dxa" w:w="0"/>
        <w:left w:type="dxa" w:w="108"/>
        <w:bottom w:type="dxa" w:w="0"/>
        <w:right w:type="dxa" w:w="108"/>
      </w:tblCellMar>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CellMar>
        <w:top w:type="dxa" w:w="0"/>
        <w:left w:type="dxa" w:w="108"/>
        <w:bottom w:type="dxa" w:w="0"/>
        <w:right w:type="dxa" w:w="108"/>
      </w:tblCellMar>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text1" w:color="000000" w:val="single"/>
        <w:bottom w:space="0" w:sz="8" w:themeColor="text1" w:color="000000"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1" w:color="4F81BD" w:val="single"/>
        <w:bottom w:space="0" w:sz="8" w:themeColor="accent1" w:color="4F81B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2" w:color="C0504D" w:val="single"/>
        <w:bottom w:space="0" w:sz="8" w:themeColor="accent2" w:color="C0504D"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3" w:color="9BBB59" w:val="single"/>
        <w:bottom w:space="0" w:sz="8" w:themeColor="accent3" w:color="9BBB59"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4" w:color="8064A2" w:val="single"/>
        <w:bottom w:space="0" w:sz="8" w:themeColor="accent4" w:color="8064A2"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5" w:color="4BACC6" w:val="single"/>
        <w:bottom w:space="0" w:sz="8" w:themeColor="accent5" w:color="4BACC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Ind w:type="dxa" w:w="0"/>
      <w:tblBorders>
        <w:top w:space="0" w:sz="8" w:themeColor="accent6" w:color="F79646" w:val="single"/>
        <w:bottom w:space="0" w:sz="8" w:themeColor="accent6" w:color="F79646" w:val="single"/>
      </w:tblBorders>
      <w:tblCellMar>
        <w:top w:type="dxa" w:w="0"/>
        <w:left w:type="dxa" w:w="108"/>
        <w:bottom w:type="dxa" w:w="0"/>
        <w:right w:type="dxa" w:w="108"/>
      </w:tblCellMar>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text1" w:color="000000" w:val="single"/>
        <w:left w:space="0" w:sz="8" w:themeColor="text1" w:color="000000" w:val="single"/>
        <w:bottom w:space="0" w:sz="8" w:themeColor="text1" w:color="000000" w:val="single"/>
        <w:right w:space="0" w:sz="8" w:themeColor="text1" w:color="000000"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1" w:color="4F81BD" w:val="single"/>
        <w:left w:space="0" w:sz="8" w:themeColor="accent1" w:color="4F81BD" w:val="single"/>
        <w:bottom w:space="0" w:sz="8" w:themeColor="accent1" w:color="4F81BD" w:val="single"/>
        <w:right w:space="0" w:sz="8" w:themeColor="accent1" w:color="4F81B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2" w:color="C0504D" w:val="single"/>
        <w:left w:space="0" w:sz="8" w:themeColor="accent2" w:color="C0504D" w:val="single"/>
        <w:bottom w:space="0" w:sz="8" w:themeColor="accent2" w:color="C0504D" w:val="single"/>
        <w:right w:space="0" w:sz="8" w:themeColor="accent2" w:color="C0504D"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3" w:color="9BBB59" w:val="single"/>
        <w:left w:space="0" w:sz="8" w:themeColor="accent3" w:color="9BBB59" w:val="single"/>
        <w:bottom w:space="0" w:sz="8" w:themeColor="accent3" w:color="9BBB59" w:val="single"/>
        <w:right w:space="0" w:sz="8" w:themeColor="accent3" w:color="9BBB59"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4" w:color="8064A2" w:val="single"/>
        <w:left w:space="0" w:sz="8" w:themeColor="accent4" w:color="8064A2" w:val="single"/>
        <w:bottom w:space="0" w:sz="8" w:themeColor="accent4" w:color="8064A2" w:val="single"/>
        <w:right w:space="0" w:sz="8" w:themeColor="accent4" w:color="8064A2"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5" w:color="4BACC6" w:val="single"/>
        <w:left w:space="0" w:sz="8" w:themeColor="accent5" w:color="4BACC6" w:val="single"/>
        <w:bottom w:space="0" w:sz="8" w:themeColor="accent5" w:color="4BACC6" w:val="single"/>
        <w:right w:space="0" w:sz="8" w:themeColor="accent5" w:color="4BACC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Ind w:type="dxa" w:w="0"/>
      <w:tblBorders>
        <w:top w:space="0" w:sz="8" w:themeColor="accent6" w:color="F79646" w:val="single"/>
        <w:left w:space="0" w:sz="8" w:themeColor="accent6" w:color="F79646" w:val="single"/>
        <w:bottom w:space="0" w:sz="8" w:themeColor="accent6" w:color="F79646" w:val="single"/>
        <w:right w:space="0" w:sz="8" w:themeColor="accent6" w:color="F79646" w:val="single"/>
      </w:tblBorders>
      <w:tblCellMar>
        <w:top w:type="dxa" w:w="0"/>
        <w:left w:type="dxa" w:w="108"/>
        <w:bottom w:type="dxa" w:w="0"/>
        <w:right w:type="dxa" w:w="108"/>
      </w:tblCellMar>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Ind w:type="dxa" w:w="0"/>
      <w:tblBorders>
        <w:top w:space="0" w:sz="18" w:color="auto" w:val="single"/>
        <w:bottom w:space="0" w:sz="18" w:color="auto" w:val="single"/>
      </w:tblBorders>
      <w:tblCellMar>
        <w:top w:type="dxa" w:w="0"/>
        <w:left w:type="dxa" w:w="108"/>
        <w:bottom w:type="dxa" w:w="0"/>
        <w:right w:type="dxa" w:w="108"/>
      </w:tblCellMar>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tblBorders>
      <w:tblCellMar>
        <w:top w:type="dxa" w:w="0"/>
        <w:left w:type="dxa" w:w="108"/>
        <w:bottom w:type="dxa" w:w="0"/>
        <w:right w:type="dxa" w:w="108"/>
      </w:tblCellMar>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6" w:color="000000" w:val="single"/>
        <w:bottom w:space="0" w:sz="12" w:color="000000" w:val="single"/>
        <w:right w:space="0" w:sz="6" w:color="000000" w:val="single"/>
      </w:tblBorders>
      <w:tblCellMar>
        <w:top w:type="dxa" w:w="0"/>
        <w:left w:type="dxa" w:w="108"/>
        <w:bottom w:type="dxa" w:w="0"/>
        <w:right w:type="dxa" w:w="108"/>
      </w:tblCellMar>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Ind w:type="dxa" w:w="0"/>
      <w:tblBorders>
        <w:top w:space="0" w:sz="12" w:color="008080" w:val="single"/>
        <w:left w:space="0" w:sz="12" w:color="008080" w:val="single"/>
        <w:bottom w:space="0" w:sz="12" w:color="008080" w:val="single"/>
        <w:right w:space="0" w:sz="12" w:color="008080" w:val="single"/>
        <w:insideH w:space="0" w:sz="6" w:color="00FFFF" w:val="single"/>
      </w:tblBorders>
      <w:tblCellMar>
        <w:top w:type="dxa" w:w="0"/>
        <w:left w:type="dxa" w:w="108"/>
        <w:bottom w:type="dxa" w:w="0"/>
        <w:right w:type="dxa" w:w="108"/>
      </w:tblCellMar>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Ind w:type="dxa" w:w="0"/>
      <w:tblBorders>
        <w:bottom w:space="0" w:sz="12" w:color="000000" w:val="single"/>
      </w:tblBorders>
      <w:tblCellMar>
        <w:top w:type="dxa" w:w="0"/>
        <w:left w:type="dxa" w:w="108"/>
        <w:bottom w:type="dxa" w:w="0"/>
        <w:right w:type="dxa" w:w="108"/>
      </w:tblCellMar>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8" w:color="000000" w:val="single"/>
        <w:left w:space="0" w:sz="18" w:color="000000" w:val="single"/>
        <w:bottom w:space="0" w:sz="18" w:color="000000" w:val="single"/>
        <w:right w:space="0" w:sz="18" w:color="000000" w:val="single"/>
        <w:insideH w:space="0" w:sz="6" w:color="C0C0C0" w:val="single"/>
      </w:tblBorders>
      <w:tblCellMar>
        <w:top w:type="dxa" w:w="0"/>
        <w:left w:type="dxa" w:w="108"/>
        <w:bottom w:type="dxa" w:w="0"/>
        <w:right w:type="dxa" w:w="108"/>
      </w:tblCellMar>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Ind w:type="dxa" w:w="0"/>
      <w:tblBorders>
        <w:top w:space="0" w:sz="6" w:color="000080" w:val="single"/>
        <w:left w:space="0" w:sz="6" w:color="000080" w:val="single"/>
        <w:bottom w:space="0" w:sz="6" w:color="000080" w:val="single"/>
        <w:right w:space="0" w:sz="6" w:color="000080" w:val="single"/>
        <w:insideV w:space="0" w:sz="6" w:color="000080" w:val="single"/>
      </w:tblBorders>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Ind w:type="dxa" w:w="0"/>
      <w:tblBorders>
        <w:top w:space="0" w:sz="12" w:color="808080" w:val="single"/>
        <w:left w:space="0" w:sz="12" w:color="808080" w:val="single"/>
        <w:bottom w:space="0" w:sz="12" w:color="808080" w:val="single"/>
        <w:right w:space="0" w:sz="12" w:color="808080" w:val="single"/>
        <w:insideV w:space="0" w:sz="6" w:color="C0C0C0" w:val="single"/>
      </w:tblBorders>
      <w:tblCellMar>
        <w:top w:type="dxa" w:w="0"/>
        <w:left w:type="dxa" w:w="108"/>
        <w:bottom w:type="dxa" w:w="0"/>
        <w:right w:type="dxa" w:w="108"/>
      </w:tblCellMar>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insideH w:space="0" w:sz="18" w:color="FFFFFF" w:val="single"/>
        <w:insideV w:space="0" w:sz="18" w:color="FFFFFF" w:val="single"/>
      </w:tblBorders>
      <w:tblCellMar>
        <w:top w:type="dxa" w:w="0"/>
        <w:left w:type="dxa" w:w="108"/>
        <w:bottom w:type="dxa" w:w="0"/>
        <w:right w:type="dxa" w:w="108"/>
      </w:tblCellMar>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Ind w:type="dxa" w:w="0"/>
      <w:tblBorders>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12" w:color="000000" w:val="single"/>
        <w:bottom w:space="0" w:sz="6"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Ind w:type="dxa" w:w="0"/>
      <w:tblBorders>
        <w:left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80" w:val="single"/>
        <w:left w:space="0" w:sz="6" w:color="008080" w:val="single"/>
        <w:bottom w:space="0" w:sz="12" w:color="008080" w:val="single"/>
        <w:right w:space="0" w:sz="6" w:color="008080" w:val="single"/>
      </w:tblBorders>
      <w:tblCellMar>
        <w:top w:type="dxa" w:w="0"/>
        <w:left w:type="dxa" w:w="108"/>
        <w:bottom w:type="dxa" w:w="0"/>
        <w:right w:type="dxa" w:w="108"/>
      </w:tblCellMar>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Ind w:type="dxa" w:w="0"/>
      <w:tblBorders>
        <w:bottom w:space="0" w:sz="12" w:color="808080" w:val="single"/>
      </w:tblBorders>
      <w:tblCellMar>
        <w:top w:type="dxa" w:w="0"/>
        <w:left w:type="dxa" w:w="108"/>
        <w:bottom w:type="dxa" w:w="0"/>
        <w:right w:type="dxa" w:w="108"/>
      </w:tblCellMar>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bottom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tblBorders>
      <w:tblCellMar>
        <w:top w:type="dxa" w:w="0"/>
        <w:left w:type="dxa" w:w="108"/>
        <w:bottom w:type="dxa" w:w="0"/>
        <w:right w:type="dxa" w:w="108"/>
      </w:tblCellMar>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tblBorders>
      <w:tblCellMar>
        <w:top w:type="dxa" w:w="0"/>
        <w:left w:type="dxa" w:w="108"/>
        <w:bottom w:type="dxa" w:w="0"/>
        <w:right w:type="dxa" w:w="108"/>
      </w:tblCellMar>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12" w:color="008000" w:val="single"/>
        <w:left w:space="0" w:sz="6" w:color="008000" w:val="single"/>
        <w:bottom w:space="0" w:sz="12" w:color="008000" w:val="single"/>
        <w:right w:space="0" w:sz="6" w:color="008000" w:val="single"/>
        <w:insideH w:space="0" w:sz="6" w:color="000000" w:val="single"/>
      </w:tblBorders>
      <w:tblCellMar>
        <w:top w:type="dxa" w:w="0"/>
        <w:left w:type="dxa" w:w="108"/>
        <w:bottom w:type="dxa" w:w="0"/>
        <w:right w:type="dxa" w:w="108"/>
      </w:tblCellMar>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Borders>
        <w:top w:space="0" w:sz="6" w:color="000000" w:val="single"/>
        <w:left w:space="0" w:sz="6" w:color="000000" w:val="single"/>
        <w:bottom w:space="0" w:sz="6" w:color="000000" w:val="single"/>
        <w:right w:space="0" w:sz="6" w:color="000000" w:val="single"/>
        <w:insideV w:space="0" w:sz="6" w:color="000000" w:val="single"/>
      </w:tblBorders>
      <w:tblCellMar>
        <w:top w:type="dxa" w:w="0"/>
        <w:left w:type="dxa" w:w="108"/>
        <w:bottom w:type="dxa" w:w="0"/>
        <w:right w:type="dxa" w:w="108"/>
      </w:tblCellMar>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Ind w:type="dxa" w:w="0"/>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CellMar>
        <w:top w:type="dxa" w:w="0"/>
        <w:left w:type="dxa" w:w="108"/>
        <w:bottom w:type="dxa" w:w="0"/>
        <w:right w:type="dxa" w:w="108"/>
      </w:tblCellMar>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8000" w:val="single"/>
        <w:bottom w:space="0" w:sz="12" w:color="008000" w:val="single"/>
      </w:tblBorders>
      <w:tblCellMar>
        <w:top w:type="dxa" w:w="0"/>
        <w:left w:type="dxa" w:w="108"/>
        <w:bottom w:type="dxa" w:w="0"/>
        <w:right w:type="dxa" w:w="108"/>
      </w:tblCellMar>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Ind w:type="dxa" w:w="0"/>
      <w:tblCellMar>
        <w:top w:type="dxa" w:w="0"/>
        <w:left w:type="dxa" w:w="108"/>
        <w:bottom w:type="dxa" w:w="0"/>
        <w:right w:type="dxa" w:w="108"/>
      </w:tblCellMa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Ind w:type="dxa" w:w="0"/>
      <w:tblBorders>
        <w:top w:space="0" w:sz="12" w:color="000000" w:val="single"/>
        <w:left w:space="0" w:sz="12" w:color="000000" w:val="single"/>
        <w:bottom w:space="0" w:sz="12" w:color="000000" w:val="single"/>
        <w:right w:space="0" w:sz="12" w:color="000000" w:val="single"/>
      </w:tblBorders>
      <w:tblCellMar>
        <w:top w:type="dxa" w:w="0"/>
        <w:left w:type="dxa" w:w="108"/>
        <w:bottom w:type="dxa" w:w="0"/>
        <w:right w:type="dxa" w:w="108"/>
      </w:tblCellMar>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Ind w:type="dxa" w:w="0"/>
      <w:tblCellMar>
        <w:top w:type="dxa" w:w="0"/>
        <w:left w:type="dxa" w:w="108"/>
        <w:bottom w:type="dxa" w:w="0"/>
        <w:right w:type="dxa" w:w="108"/>
      </w:tblCellMar>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Ind w:type="dxa" w:w="0"/>
      <w:tblBorders>
        <w:left w:space="0" w:sz="6" w:color="000000" w:val="single"/>
        <w:right w:space="0" w:sz="6" w:color="000000" w:val="single"/>
      </w:tblBorders>
      <w:tblCellMar>
        <w:top w:type="dxa" w:w="0"/>
        <w:left w:type="dxa" w:w="108"/>
        <w:bottom w:type="dxa" w:w="0"/>
        <w:right w:type="dxa" w:w="108"/>
      </w:tblCellMar>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Ind w:type="dxa" w:w="0"/>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6" w:color="auto" w:val="inset"/>
        <w:left w:space="0" w:sz="6" w:color="auto" w:val="inset"/>
        <w:bottom w:space="0" w:sz="6" w:color="auto" w:val="inset"/>
        <w:right w:space="0" w:sz="6" w:color="auto" w:val="inset"/>
        <w:insideH w:space="0" w:sz="6" w:color="auto" w:val="inset"/>
        <w:insideV w:space="0" w:sz="6" w:color="auto" w:val="in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Ind w:type="dxa" w:w="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CellMar>
        <w:top w:type="dxa" w:w="0"/>
        <w:left w:type="dxa" w:w="108"/>
        <w:bottom w:type="dxa" w:w="0"/>
        <w:right w:type="dxa" w:w="108"/>
      </w:tblCellMar>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0"/>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CCFFFF"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insideH w:color="FFFFFF" w:space="0" w:sz="4" w:themeColor="background1" w:val="single"/>
      </w:tblBorders>
      <w:tblCellMar>
        <w:top w:type="dxa" w:w="0"/>
        <w:left w:type="dxa" w:w="108"/>
        <w:bottom w:type="dxa" w:w="0"/>
        <w:right w:type="dxa" w:w="108"/>
      </w:tblCellMar>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CellMar>
        <w:top w:type="dxa" w:w="0"/>
        <w:left w:type="dxa" w:w="108"/>
        <w:bottom w:type="dxa" w:w="0"/>
        <w:right w:type="dxa" w:w="108"/>
      </w:tblCellMar>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CellMar>
        <w:top w:type="dxa" w:w="0"/>
        <w:left w:type="dxa" w:w="108"/>
        <w:bottom w:type="dxa" w:w="0"/>
        <w:right w:type="dxa" w:w="108"/>
      </w:tblCellMar>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Ind w:type="dxa" w:w="0"/>
      <w:tblCellMar>
        <w:top w:type="dxa" w:w="0"/>
        <w:left w:type="dxa" w:w="108"/>
        <w:bottom w:type="dxa" w:w="0"/>
        <w:right w:type="dxa" w:w="108"/>
      </w:tblCellMar>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CellMar>
        <w:top w:type="dxa" w:w="0"/>
        <w:left w:type="dxa" w:w="108"/>
        <w:bottom w:type="dxa" w:w="0"/>
        <w:right w:type="dxa" w:w="108"/>
      </w:tblCellMar>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CellMar>
        <w:top w:type="dxa" w:w="0"/>
        <w:left w:type="dxa" w:w="108"/>
        <w:bottom w:type="dxa" w:w="0"/>
        <w:right w:type="dxa" w:w="108"/>
      </w:tblCellMar>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CellMar>
        <w:top w:type="dxa" w:w="0"/>
        <w:left w:type="dxa" w:w="108"/>
        <w:bottom w:type="dxa" w:w="0"/>
        <w:right w:type="dxa" w:w="108"/>
      </w:tblCellMar>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CellMar>
        <w:top w:type="dxa" w:w="0"/>
        <w:left w:type="dxa" w:w="108"/>
        <w:bottom w:type="dxa" w:w="0"/>
        <w:right w:type="dxa" w:w="108"/>
      </w:tblCellMar>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CellMar>
        <w:top w:type="dxa" w:w="0"/>
        <w:left w:type="dxa" w:w="108"/>
        <w:bottom w:type="dxa" w:w="0"/>
        <w:right w:type="dxa" w:w="108"/>
      </w:tblCellMar>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CellMar>
        <w:top w:type="dxa" w:w="0"/>
        <w:left w:type="dxa" w:w="108"/>
        <w:bottom w:type="dxa" w:w="0"/>
        <w:right w:type="dxa" w:w="108"/>
      </w:tblCellMar>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CellMar>
        <w:top w:type="dxa" w:w="0"/>
        <w:left w:type="dxa" w:w="108"/>
        <w:bottom w:type="dxa" w:w="0"/>
        <w:right w:type="dxa" w:w="108"/>
      </w:tblCellMar>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CellMar>
        <w:top w:type="dxa" w:w="0"/>
        <w:left w:type="dxa" w:w="108"/>
        <w:bottom w:type="dxa" w:w="0"/>
        <w:right w:type="dxa" w:w="108"/>
      </w:tblCellMar>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CellMar>
        <w:top w:type="dxa" w:w="0"/>
        <w:left w:type="dxa" w:w="108"/>
        <w:bottom w:type="dxa" w:w="0"/>
        <w:right w:type="dxa" w:w="108"/>
      </w:tblCellMar>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CellMar>
        <w:top w:type="dxa" w:w="0"/>
        <w:left w:type="dxa" w:w="108"/>
        <w:bottom w:type="dxa" w:w="0"/>
        <w:right w:type="dxa" w:w="108"/>
      </w:tblCellMar>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CellMar>
        <w:top w:type="dxa" w:w="0"/>
        <w:left w:type="dxa" w:w="108"/>
        <w:bottom w:type="dxa" w:w="0"/>
        <w:right w:type="dxa" w:w="108"/>
      </w:tblCellMar>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CellMar>
        <w:top w:type="dxa" w:w="0"/>
        <w:left w:type="dxa" w:w="108"/>
        <w:bottom w:type="dxa" w:w="0"/>
        <w:right w:type="dxa" w:w="108"/>
      </w:tblCellMar>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CellMar>
        <w:top w:type="dxa" w:w="0"/>
        <w:left w:type="dxa" w:w="108"/>
        <w:bottom w:type="dxa" w:w="0"/>
        <w:right w:type="dxa" w:w="108"/>
      </w:tblCellMar>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CellMar>
        <w:top w:type="dxa" w:w="0"/>
        <w:left w:type="dxa" w:w="108"/>
        <w:bottom w:type="dxa" w:w="0"/>
        <w:right w:type="dxa" w:w="108"/>
      </w:tblCellMar>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CellMar>
        <w:top w:type="dxa" w:w="0"/>
        <w:left w:type="dxa" w:w="108"/>
        <w:bottom w:type="dxa" w:w="0"/>
        <w:right w:type="dxa" w:w="108"/>
      </w:tblCellMar>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000000" w:space="0" w:sz="8" w:themeColor="text1" w:val="single"/>
        <w:bottom w:color="000000" w:space="0" w:sz="8" w:themeColor="tex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F81BD" w:space="0" w:sz="8" w:themeColor="accent1" w:val="single"/>
        <w:bottom w:color="4F81BD" w:space="0" w:sz="8" w:themeColor="accent1"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C0504D" w:space="0" w:sz="8" w:themeColor="accent2" w:val="single"/>
        <w:bottom w:color="C0504D" w:space="0" w:sz="8" w:themeColor="accent2"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9BBB59" w:space="0" w:sz="8" w:themeColor="accent3" w:val="single"/>
        <w:bottom w:color="9BBB59" w:space="0" w:sz="8" w:themeColor="accent3"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8064A2" w:space="0" w:sz="8" w:themeColor="accent4" w:val="single"/>
        <w:bottom w:color="8064A2" w:space="0" w:sz="8" w:themeColor="accent4"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4BACC6" w:space="0" w:sz="8" w:themeColor="accent5" w:val="single"/>
        <w:bottom w:color="4BACC6" w:space="0" w:sz="8" w:themeColor="accent5"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Ind w:type="dxa" w:w="0"/>
      <w:tblBorders>
        <w:top w:color="F79646" w:space="0" w:sz="8" w:themeColor="accent6" w:val="single"/>
        <w:bottom w:color="F79646" w:space="0" w:sz="8" w:themeColor="accent6" w:val="single"/>
      </w:tblBorders>
      <w:tblCellMar>
        <w:top w:type="dxa" w:w="0"/>
        <w:left w:type="dxa" w:w="108"/>
        <w:bottom w:type="dxa" w:w="0"/>
        <w:right w:type="dxa" w:w="108"/>
      </w:tblCellMar>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000000" w:space="0" w:sz="8" w:themeColor="text1" w:val="single"/>
        <w:left w:color="000000" w:space="0" w:sz="8" w:themeColor="text1" w:val="single"/>
        <w:bottom w:color="000000" w:space="0" w:sz="8" w:themeColor="text1" w:val="single"/>
        <w:right w:color="000000" w:space="0" w:sz="8" w:themeColor="text1" w:val="single"/>
      </w:tblBorders>
      <w:tblCellMar>
        <w:top w:type="dxa" w:w="0"/>
        <w:left w:type="dxa" w:w="108"/>
        <w:bottom w:type="dxa" w:w="0"/>
        <w:right w:type="dxa" w:w="108"/>
      </w:tblCellMar>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F81BD" w:space="0" w:sz="8" w:themeColor="accent1" w:val="single"/>
        <w:left w:color="4F81BD" w:space="0" w:sz="8" w:themeColor="accent1" w:val="single"/>
        <w:bottom w:color="4F81BD" w:space="0" w:sz="8" w:themeColor="accent1" w:val="single"/>
        <w:right w:color="4F81BD" w:space="0" w:sz="8" w:themeColor="accent1" w:val="single"/>
      </w:tblBorders>
      <w:tblCellMar>
        <w:top w:type="dxa" w:w="0"/>
        <w:left w:type="dxa" w:w="108"/>
        <w:bottom w:type="dxa" w:w="0"/>
        <w:right w:type="dxa" w:w="108"/>
      </w:tblCellMar>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C0504D" w:space="0" w:sz="8" w:themeColor="accent2" w:val="single"/>
        <w:left w:color="C0504D" w:space="0" w:sz="8" w:themeColor="accent2" w:val="single"/>
        <w:bottom w:color="C0504D" w:space="0" w:sz="8" w:themeColor="accent2" w:val="single"/>
        <w:right w:color="C0504D" w:space="0" w:sz="8" w:themeColor="accent2" w:val="single"/>
      </w:tblBorders>
      <w:tblCellMar>
        <w:top w:type="dxa" w:w="0"/>
        <w:left w:type="dxa" w:w="108"/>
        <w:bottom w:type="dxa" w:w="0"/>
        <w:right w:type="dxa" w:w="108"/>
      </w:tblCellMar>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9BBB59" w:space="0" w:sz="8" w:themeColor="accent3" w:val="single"/>
        <w:left w:color="9BBB59" w:space="0" w:sz="8" w:themeColor="accent3" w:val="single"/>
        <w:bottom w:color="9BBB59" w:space="0" w:sz="8" w:themeColor="accent3" w:val="single"/>
        <w:right w:color="9BBB59" w:space="0" w:sz="8" w:themeColor="accent3" w:val="single"/>
      </w:tblBorders>
      <w:tblCellMar>
        <w:top w:type="dxa" w:w="0"/>
        <w:left w:type="dxa" w:w="108"/>
        <w:bottom w:type="dxa" w:w="0"/>
        <w:right w:type="dxa" w:w="108"/>
      </w:tblCellMar>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8064A2" w:space="0" w:sz="8" w:themeColor="accent4" w:val="single"/>
        <w:left w:color="8064A2" w:space="0" w:sz="8" w:themeColor="accent4" w:val="single"/>
        <w:bottom w:color="8064A2" w:space="0" w:sz="8" w:themeColor="accent4" w:val="single"/>
        <w:right w:color="8064A2" w:space="0" w:sz="8" w:themeColor="accent4" w:val="single"/>
      </w:tblBorders>
      <w:tblCellMar>
        <w:top w:type="dxa" w:w="0"/>
        <w:left w:type="dxa" w:w="108"/>
        <w:bottom w:type="dxa" w:w="0"/>
        <w:right w:type="dxa" w:w="108"/>
      </w:tblCellMar>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4BACC6" w:space="0" w:sz="8" w:themeColor="accent5" w:val="single"/>
        <w:left w:color="4BACC6" w:space="0" w:sz="8" w:themeColor="accent5" w:val="single"/>
        <w:bottom w:color="4BACC6" w:space="0" w:sz="8" w:themeColor="accent5" w:val="single"/>
        <w:right w:color="4BACC6" w:space="0" w:sz="8" w:themeColor="accent5" w:val="single"/>
      </w:tblBorders>
      <w:tblCellMar>
        <w:top w:type="dxa" w:w="0"/>
        <w:left w:type="dxa" w:w="108"/>
        <w:bottom w:type="dxa" w:w="0"/>
        <w:right w:type="dxa" w:w="108"/>
      </w:tblCellMar>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Ind w:type="dxa" w:w="0"/>
      <w:tblBorders>
        <w:top w:color="F79646" w:space="0" w:sz="8" w:themeColor="accent6" w:val="single"/>
        <w:left w:color="F79646" w:space="0" w:sz="8" w:themeColor="accent6" w:val="single"/>
        <w:bottom w:color="F79646" w:space="0" w:sz="8" w:themeColor="accent6" w:val="single"/>
        <w:right w:color="F79646" w:space="0" w:sz="8" w:themeColor="accent6" w:val="single"/>
      </w:tblBorders>
      <w:tblCellMar>
        <w:top w:type="dxa" w:w="0"/>
        <w:left w:type="dxa" w:w="108"/>
        <w:bottom w:type="dxa" w:w="0"/>
        <w:right w:type="dxa" w:w="108"/>
      </w:tblCellMar>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Ind w:type="dxa" w:w="0"/>
      <w:tblBorders>
        <w:top w:color="auto" w:space="0" w:sz="18" w:val="single"/>
        <w:bottom w:color="auto" w:space="0" w:sz="18" w:val="single"/>
      </w:tblBorders>
      <w:tblCellMar>
        <w:top w:type="dxa" w:w="0"/>
        <w:left w:type="dxa" w:w="108"/>
        <w:bottom w:type="dxa" w:w="0"/>
        <w:right w:type="dxa" w:w="108"/>
      </w:tblCellMar>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Ind w:type="dxa" w:w="0"/>
      <w:tblCellMar>
        <w:top w:type="dxa" w:w="0"/>
        <w:left w:type="dxa" w:w="108"/>
        <w:bottom w:type="dxa" w:w="0"/>
        <w:right w:type="dxa" w:w="108"/>
      </w:tblCellMar>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tblBorders>
      <w:tblCellMar>
        <w:top w:type="dxa" w:w="0"/>
        <w:left w:type="dxa" w:w="108"/>
        <w:bottom w:type="dxa" w:w="0"/>
        <w:right w:type="dxa" w:w="108"/>
      </w:tblCellMar>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6" w:val="single"/>
        <w:bottom w:color="000000" w:space="0" w:sz="12" w:val="single"/>
        <w:right w:color="000000" w:space="0" w:sz="6" w:val="single"/>
      </w:tblBorders>
      <w:tblCellMar>
        <w:top w:type="dxa" w:w="0"/>
        <w:left w:type="dxa" w:w="108"/>
        <w:bottom w:type="dxa" w:w="0"/>
        <w:right w:type="dxa" w:w="108"/>
      </w:tblCellMar>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Ind w:type="dxa" w:w="0"/>
      <w:tblBorders>
        <w:top w:color="008080" w:space="0" w:sz="12" w:val="single"/>
        <w:left w:color="008080" w:space="0" w:sz="12" w:val="single"/>
        <w:bottom w:color="008080" w:space="0" w:sz="12" w:val="single"/>
        <w:right w:color="008080" w:space="0" w:sz="12" w:val="single"/>
        <w:insideH w:color="00FFFF" w:space="0" w:sz="6" w:val="single"/>
      </w:tblBorders>
      <w:tblCellMar>
        <w:top w:type="dxa" w:w="0"/>
        <w:left w:type="dxa" w:w="108"/>
        <w:bottom w:type="dxa" w:w="0"/>
        <w:right w:type="dxa" w:w="108"/>
      </w:tblCellMar>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Ind w:type="dxa" w:w="0"/>
      <w:tblBorders>
        <w:bottom w:color="000000" w:space="0" w:sz="12" w:val="single"/>
      </w:tblBorders>
      <w:tblCellMar>
        <w:top w:type="dxa" w:w="0"/>
        <w:left w:type="dxa" w:w="108"/>
        <w:bottom w:type="dxa" w:w="0"/>
        <w:right w:type="dxa" w:w="108"/>
      </w:tblCellMar>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8" w:val="single"/>
        <w:left w:color="000000" w:space="0" w:sz="18" w:val="single"/>
        <w:bottom w:color="000000" w:space="0" w:sz="18" w:val="single"/>
        <w:right w:color="000000" w:space="0" w:sz="18" w:val="single"/>
        <w:insideH w:color="C0C0C0" w:space="0" w:sz="6" w:val="single"/>
      </w:tblBorders>
      <w:tblCellMar>
        <w:top w:type="dxa" w:w="0"/>
        <w:left w:type="dxa" w:w="108"/>
        <w:bottom w:type="dxa" w:w="0"/>
        <w:right w:type="dxa" w:w="108"/>
      </w:tblCellMar>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Ind w:type="dxa" w:w="0"/>
      <w:tblBorders>
        <w:top w:color="000080" w:space="0" w:sz="6" w:val="single"/>
        <w:left w:color="000080" w:space="0" w:sz="6" w:val="single"/>
        <w:bottom w:color="000080" w:space="0" w:sz="6" w:val="single"/>
        <w:right w:color="000080" w:space="0" w:sz="6" w:val="single"/>
        <w:insideV w:color="000080" w:space="0" w:sz="6" w:val="single"/>
      </w:tblBorders>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CellMar>
        <w:top w:type="dxa" w:w="0"/>
        <w:left w:type="dxa" w:w="108"/>
        <w:bottom w:type="dxa" w:w="0"/>
        <w:right w:type="dxa" w:w="108"/>
      </w:tblCellMar>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Ind w:type="dxa" w:w="0"/>
      <w:tblBorders>
        <w:top w:color="808080" w:space="0" w:sz="12" w:val="single"/>
        <w:left w:color="808080" w:space="0" w:sz="12" w:val="single"/>
        <w:bottom w:color="808080" w:space="0" w:sz="12" w:val="single"/>
        <w:right w:color="808080" w:space="0" w:sz="12" w:val="single"/>
        <w:insideV w:color="C0C0C0" w:space="0" w:sz="6" w:val="single"/>
      </w:tblBorders>
      <w:tblCellMar>
        <w:top w:type="dxa" w:w="0"/>
        <w:left w:type="dxa" w:w="108"/>
        <w:bottom w:type="dxa" w:w="0"/>
        <w:right w:type="dxa" w:w="108"/>
      </w:tblCellMar>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insideH w:color="FFFFFF" w:space="0" w:sz="18" w:val="single"/>
        <w:insideV w:color="FFFFFF" w:space="0" w:sz="18" w:val="single"/>
      </w:tblBorders>
      <w:tblCellMar>
        <w:top w:type="dxa" w:w="0"/>
        <w:left w:type="dxa" w:w="108"/>
        <w:bottom w:type="dxa" w:w="0"/>
        <w:right w:type="dxa" w:w="108"/>
      </w:tblCellMar>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Ind w:type="dxa" w:w="0"/>
      <w:tblBorders>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12" w:val="single"/>
        <w:bottom w:color="000000" w:space="0" w:sz="6"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V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Ind w:type="dxa" w:w="0"/>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80" w:space="0" w:sz="12" w:val="single"/>
        <w:left w:color="008080" w:space="0" w:sz="6" w:val="single"/>
        <w:bottom w:color="008080" w:space="0" w:sz="12" w:val="single"/>
        <w:right w:color="008080" w:space="0" w:sz="6" w:val="single"/>
      </w:tblBorders>
      <w:tblCellMar>
        <w:top w:type="dxa" w:w="0"/>
        <w:left w:type="dxa" w:w="108"/>
        <w:bottom w:type="dxa" w:w="0"/>
        <w:right w:type="dxa" w:w="108"/>
      </w:tblCellMar>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Ind w:type="dxa" w:w="0"/>
      <w:tblBorders>
        <w:bottom w:color="808080" w:space="0" w:sz="12" w:val="single"/>
      </w:tblBorders>
      <w:tblCellMar>
        <w:top w:type="dxa" w:w="0"/>
        <w:left w:type="dxa" w:w="108"/>
        <w:bottom w:type="dxa" w:w="0"/>
        <w:right w:type="dxa" w:w="108"/>
      </w:tblCellMar>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bottom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insideH w:color="000000" w:space="0" w:sz="6" w:val="single"/>
      </w:tblBorders>
      <w:tblCellMar>
        <w:top w:type="dxa" w:w="0"/>
        <w:left w:type="dxa" w:w="108"/>
        <w:bottom w:type="dxa" w:w="0"/>
        <w:right w:type="dxa" w:w="108"/>
      </w:tblCellMar>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tblBorders>
      <w:tblCellMar>
        <w:top w:type="dxa" w:w="0"/>
        <w:left w:type="dxa" w:w="108"/>
        <w:bottom w:type="dxa" w:w="0"/>
        <w:right w:type="dxa" w:w="108"/>
      </w:tblCellMar>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tblBorders>
      <w:tblCellMar>
        <w:top w:type="dxa" w:w="0"/>
        <w:left w:type="dxa" w:w="108"/>
        <w:bottom w:type="dxa" w:w="0"/>
        <w:right w:type="dxa" w:w="108"/>
      </w:tblCellMar>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8000" w:space="0" w:sz="12" w:val="single"/>
        <w:left w:color="008000" w:space="0" w:sz="6" w:val="single"/>
        <w:bottom w:color="008000" w:space="0" w:sz="12" w:val="single"/>
        <w:right w:color="008000" w:space="0" w:sz="6" w:val="single"/>
        <w:insideH w:color="000000" w:space="0" w:sz="6" w:val="single"/>
      </w:tblBorders>
      <w:tblCellMar>
        <w:top w:type="dxa" w:w="0"/>
        <w:left w:type="dxa" w:w="108"/>
        <w:bottom w:type="dxa" w:w="0"/>
        <w:right w:type="dxa" w:w="108"/>
      </w:tblCellMar>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Borders>
        <w:top w:color="000000" w:space="0" w:sz="6" w:val="single"/>
        <w:left w:color="000000" w:space="0" w:sz="6" w:val="single"/>
        <w:bottom w:color="000000" w:space="0" w:sz="6" w:val="single"/>
        <w:right w:color="000000" w:space="0" w:sz="6" w:val="single"/>
        <w:insideV w:color="000000" w:space="0" w:sz="6" w:val="single"/>
      </w:tblBorders>
      <w:tblCellMar>
        <w:top w:type="dxa" w:w="0"/>
        <w:left w:type="dxa" w:w="108"/>
        <w:bottom w:type="dxa" w:w="0"/>
        <w:right w:type="dxa" w:w="108"/>
      </w:tblCellMar>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CellMar>
        <w:top w:type="dxa" w:w="0"/>
        <w:left w:type="dxa" w:w="108"/>
        <w:bottom w:type="dxa" w:w="0"/>
        <w:right w:type="dxa" w:w="108"/>
      </w:tblCellMar>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Ind w:type="dxa" w:w="0"/>
      <w:tblBorders>
        <w:top w:color="008000" w:space="0" w:sz="12" w:val="single"/>
        <w:bottom w:color="008000" w:space="0" w:sz="12" w:val="single"/>
      </w:tblBorders>
      <w:tblCellMar>
        <w:top w:type="dxa" w:w="0"/>
        <w:left w:type="dxa" w:w="108"/>
        <w:bottom w:type="dxa" w:w="0"/>
        <w:right w:type="dxa" w:w="108"/>
      </w:tblCellMar>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Ind w:type="dxa" w:w="0"/>
      <w:tblCellMar>
        <w:top w:type="dxa" w:w="0"/>
        <w:left w:type="dxa" w:w="108"/>
        <w:bottom w:type="dxa" w:w="0"/>
        <w:right w:type="dxa" w:w="108"/>
      </w:tblCellMa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Ind w:type="dxa" w:w="0"/>
      <w:tblBorders>
        <w:top w:color="000000" w:space="0" w:sz="12" w:val="single"/>
        <w:left w:color="000000" w:space="0" w:sz="12" w:val="single"/>
        <w:bottom w:color="000000" w:space="0" w:sz="12" w:val="single"/>
        <w:right w:color="000000" w:space="0" w:sz="12" w:val="single"/>
      </w:tblBorders>
      <w:tblCellMar>
        <w:top w:type="dxa" w:w="0"/>
        <w:left w:type="dxa" w:w="108"/>
        <w:bottom w:type="dxa" w:w="0"/>
        <w:right w:type="dxa" w:w="108"/>
      </w:tblCellMar>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Ind w:type="dxa" w:w="0"/>
      <w:tblCellMar>
        <w:top w:type="dxa" w:w="0"/>
        <w:left w:type="dxa" w:w="108"/>
        <w:bottom w:type="dxa" w:w="0"/>
        <w:right w:type="dxa" w:w="108"/>
      </w:tblCellMar>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Ind w:type="dxa" w:w="0"/>
      <w:tblBorders>
        <w:left w:color="000000" w:space="0" w:sz="6" w:val="single"/>
        <w:right w:color="000000" w:space="0" w:sz="6" w:val="single"/>
      </w:tblBorders>
      <w:tblCellMar>
        <w:top w:type="dxa" w:w="0"/>
        <w:left w:type="dxa" w:w="108"/>
        <w:bottom w:type="dxa" w:w="0"/>
        <w:right w:type="dxa" w:w="108"/>
      </w:tblCellMar>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Ind w:type="dxa" w:w="0"/>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CellMar>
        <w:top w:type="dxa" w:w="0"/>
        <w:left w:type="dxa" w:w="108"/>
        <w:bottom w:type="dxa" w:w="0"/>
        <w:right w:type="dxa" w:w="108"/>
      </w:tblCellMar>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6" w:val="inset"/>
        <w:left w:color="auto" w:space="0" w:sz="6" w:val="inset"/>
        <w:bottom w:color="auto" w:space="0" w:sz="6" w:val="inset"/>
        <w:right w:color="auto" w:space="0" w:sz="6" w:val="inset"/>
        <w:insideH w:color="auto" w:space="0" w:sz="6" w:val="inset"/>
        <w:insideV w:color="auto" w:space="0" w:sz="6" w:val="in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Ind w:type="dxa" w:w="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CellMar>
        <w:top w:type="dxa" w:w="0"/>
        <w:left w:type="dxa" w:w="108"/>
        <w:bottom w:type="dxa" w:w="0"/>
        <w:right w:type="dxa" w:w="108"/>
      </w:tblCellMar>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697852611">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17. svibnja 2016.</izvorni_sadrzaj>
    <derivirana_varijabla naziv="DomainObject.DatumDonosenjaOdluke_1">17. svibnja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St-443/2015-5</izvorni_sadrzaj>
    <derivirana_varijabla naziv="DomainObject.Oznaka_1">St-443/2015-5</derivirana_varijabla>
  </DomainObject.Oznaka>
  <DomainObject.DonositeljOdluke.Ime>
    <izvorni_sadrzaj>Tina</izvorni_sadrzaj>
    <derivirana_varijabla naziv="DomainObject.DonositeljOdluke.Ime_1">Tina</derivirana_varijabla>
  </DomainObject.DonositeljOdluke.Ime>
  <DomainObject.DonositeljOdluke.Prezime>
    <izvorni_sadrzaj>Grgas</izvorni_sadrzaj>
    <derivirana_varijabla naziv="DomainObject.DonositeljOdluke.Prezime_1">Grgas</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443</izvorni_sadrzaj>
    <derivirana_varijabla naziv="DomainObject.Predmet.Broj_1">443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 studenog 2015.</izvorni_sadrzaj>
    <derivirana_varijabla naziv="DomainObject.Predmet.DatumOsnivanja_1">3.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St-443/2015</izvorni_sadrzaj>
    <derivirana_varijabla naziv="DomainObject.Predmet.OznakaBroj_1">St-443/2015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BUBA društvo s ograničenom odgovornošću za trgovinu i usluge</izvorni_sadrzaj>
    <derivirana_varijabla naziv="DomainObject.Predmet.ProtustrankaFormated_1">  BUBA društvo s ograničenom odgovornošću za trgovinu i usluge</derivirana_varijabla>
  </DomainObject.Predmet.ProtustrankaFormated>
  <DomainObject.Predmet.ProtustrankaFormatedOIB>
    <izvorni_sadrzaj>  BUBA društvo s ograničenom odgovornošću za trgovinu i usluge, OIB 13291058598</izvorni_sadrzaj>
    <derivirana_varijabla naziv="DomainObject.Predmet.ProtustrankaFormatedOIB_1">  BUBA društvo s ograničenom odgovornošću za trgovinu i usluge, OIB 13291058598</derivirana_varijabla>
  </DomainObject.Predmet.ProtustrankaFormatedOIB>
  <DomainObject.Predmet.ProtustrankaFormatedWithAdress>
    <izvorni_sadrzaj> BUBA društvo s ograničenom odgovornošću za trgovinu i usluge, Zrmanjska 21, 23000 Zadar</izvorni_sadrzaj>
    <derivirana_varijabla naziv="DomainObject.Predmet.ProtustrankaFormatedWithAdress_1"> BUBA društvo s ograničenom odgovornošću za trgovinu i usluge, Zrmanjska 21, 23000 Zadar</derivirana_varijabla>
  </DomainObject.Predmet.ProtustrankaFormatedWithAdress>
  <DomainObject.Predmet.ProtustrankaFormatedWithAdressOIB>
    <izvorni_sadrzaj> BUBA društvo s ograničenom odgovornošću za trgovinu i usluge, OIB 13291058598, Zrmanjska 21, 23000 Zadar</izvorni_sadrzaj>
    <derivirana_varijabla naziv="DomainObject.Predmet.ProtustrankaFormatedWithAdressOIB_1"> BUBA društvo s ograničenom odgovornošću za trgovinu i usluge, OIB 13291058598, Zrmanjska 21, 23000 Zadar</derivirana_varijabla>
  </DomainObject.Predmet.ProtustrankaFormatedWithAdressOIB>
  <DomainObject.Predmet.ProtustrankaWithAdress>
    <izvorni_sadrzaj>BUBA društvo s ograničenom odgovornošću za trgovinu i usluge Zrmanjska 21, 23000 Zadar</izvorni_sadrzaj>
    <derivirana_varijabla naziv="DomainObject.Predmet.ProtustrankaWithAdress_1">BUBA društvo s ograničenom odgovornošću za trgovinu i usluge Zrmanjska 21, 23000 Zadar</derivirana_varijabla>
  </DomainObject.Predmet.ProtustrankaWithAdress>
  <DomainObject.Predmet.ProtustrankaWithAdressOIB>
    <izvorni_sadrzaj>BUBA društvo s ograničenom odgovornošću za trgovinu i usluge, OIB 13291058598, Zrmanjska 21, 23000 Zadar</izvorni_sadrzaj>
    <derivirana_varijabla naziv="DomainObject.Predmet.ProtustrankaWithAdressOIB_1">BUBA društvo s ograničenom odgovornošću za trgovinu i usluge, OIB 13291058598, Zrmanjska 21, 23000 Zadar</derivirana_varijabla>
  </DomainObject.Predmet.ProtustrankaWithAdressOIB>
  <DomainObject.Predmet.ProtustrankaNazivFormated>
    <izvorni_sadrzaj>BUBA društvo s ograničenom odgovornošću za trgovinu i usluge</izvorni_sadrzaj>
    <derivirana_varijabla naziv="DomainObject.Predmet.ProtustrankaNazivFormated_1">BUBA društvo s ograničenom odgovornošću za trgovinu i usluge</derivirana_varijabla>
  </DomainObject.Predmet.ProtustrankaNazivFormated>
  <DomainObject.Predmet.ProtustrankaNazivFormatedOIB>
    <izvorni_sadrzaj>BUBA društvo s ograničenom odgovornošću za trgovinu i usluge, OIB 13291058598</izvorni_sadrzaj>
    <derivirana_varijabla naziv="DomainObject.Predmet.ProtustrankaNazivFormatedOIB_1">BUBA društvo s ograničenom odgovornošću za trgovinu i usluge, OIB 13291058598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3</izvorni_sadrzaj>
    <derivirana_varijabla naziv="DomainObject.Predmet.Referada.Naziv_1">Referada 3</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Sudnica 34</izvorni_sadrzaj>
    <derivirana_varijabla naziv="DomainObject.Predmet.Referada.Prostorija.Naziv_1">Sudnica 34</derivirana_varijabla>
  </DomainObject.Predmet.Referada.Prostorija.Naziv>
  <DomainObject.Predmet.Referada.Prostorija.Oznaka>
    <izvorni_sadrzaj>Sudnica 34</izvorni_sadrzaj>
    <derivirana_varijabla naziv="DomainObject.Predmet.Referada.Prostorija.Oznaka_1">Sudnica 34</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Tina Grgas</izvorni_sadrzaj>
    <derivirana_varijabla naziv="DomainObject.Predmet.Referada.Sudac_1">Tina Grgas</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izvorni_sadrzaj>
    <derivirana_varijabla naziv="DomainObject.Predmet.StrankaFormated_1">  FINA</derivirana_varijabla>
  </DomainObject.Predmet.StrankaFormated>
  <DomainObject.Predmet.StrankaFormatedOIB>
    <izvorni_sadrzaj>  FINA, OIB 85821130368</izvorni_sadrzaj>
    <derivirana_varijabla naziv="DomainObject.Predmet.StrankaFormatedOIB_1">  FINA, OIB 85821130368</derivirana_varijabla>
  </DomainObject.Predmet.StrankaFormatedOIB>
  <DomainObject.Predmet.StrankaFormatedWithAdress>
    <izvorni_sadrzaj> FINA</izvorni_sadrzaj>
    <derivirana_varijabla naziv="DomainObject.Predmet.StrankaFormatedWithAdress_1"> FINA</derivirana_varijabla>
  </DomainObject.Predmet.StrankaFormatedWithAdress>
  <DomainObject.Predmet.StrankaFormatedWithAdressOIB>
    <izvorni_sadrzaj> FINA, OIB 85821130368</izvorni_sadrzaj>
    <derivirana_varijabla naziv="DomainObject.Predmet.StrankaFormatedWithAdressOIB_1"> FINA, OIB 85821130368</derivirana_varijabla>
  </DomainObject.Predmet.StrankaFormatedWithAdressOIB>
  <DomainObject.Predmet.StrankaWithAdress>
    <izvorni_sadrzaj>FINA </izvorni_sadrzaj>
    <derivirana_varijabla naziv="DomainObject.Predmet.StrankaWithAdress_1">FINA </derivirana_varijabla>
  </DomainObject.Predmet.StrankaWithAdress>
  <DomainObject.Predmet.StrankaWithAdressOIB>
    <izvorni_sadrzaj>FINA, OIB 85821130368</izvorni_sadrzaj>
    <derivirana_varijabla naziv="DomainObject.Predmet.StrankaWithAdressOIB_1">FINA, OIB 85821130368</derivirana_varijabla>
  </DomainObject.Predmet.StrankaWithAdressOIB>
  <DomainObject.Predmet.StrankaNazivFormated>
    <izvorni_sadrzaj>FINA</izvorni_sadrzaj>
    <derivirana_varijabla naziv="DomainObject.Predmet.StrankaNazivFormated_1">FINA</derivirana_varijabla>
  </DomainObject.Predmet.StrankaNazivFormated>
  <DomainObject.Predmet.StrankaNazivFormatedOIB>
    <izvorni_sadrzaj>FINA, OIB 85821130368</izvorni_sadrzaj>
    <derivirana_varijabla naziv="DomainObject.Predmet.StrankaNazivFormatedOIB_1">FINA,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3</izvorni_sadrzaj>
    <derivirana_varijabla naziv="DomainObject.Predmet.TrenutnaLokacijaSpisa.Naziv_1">Referada 3</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7973855.80</izvorni_sadrzaj>
    <derivirana_varijabla naziv="DomainObject.Predmet.TrenutnaVrijednost_1">7973855.80</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item>
    </izvorni_sadrzaj>
    <derivirana_varijabla naziv="DomainObject.Predmet.StrankaListFormated_1">
      <item>FINA</item>
    </derivirana_varijabla>
  </DomainObject.Predmet.StrankaListFormated>
  <DomainObject.Predmet.StrankaListFormatedOIB>
    <izvorni_sadrzaj>
      <item>FINA, OIB 85821130368</item>
    </izvorni_sadrzaj>
    <derivirana_varijabla naziv="DomainObject.Predmet.StrankaListFormatedOIB_1">
      <item>FINA, OIB 85821130368</item>
    </derivirana_varijabla>
  </DomainObject.Predmet.StrankaListFormatedOIB>
  <DomainObject.Predmet.StrankaListFormatedWithAdress>
    <izvorni_sadrzaj>
      <item>FINA</item>
    </izvorni_sadrzaj>
    <derivirana_varijabla naziv="DomainObject.Predmet.StrankaListFormatedWithAdress_1">
      <item>FINA</item>
    </derivirana_varijabla>
  </DomainObject.Predmet.StrankaListFormatedWithAdress>
  <DomainObject.Predmet.StrankaListFormatedWithAdressOIB>
    <izvorni_sadrzaj>
      <item>FINA, OIB 85821130368</item>
    </izvorni_sadrzaj>
    <derivirana_varijabla naziv="DomainObject.Predmet.StrankaListFormatedWithAdressOIB_1">
      <item>FINA, OIB 85821130368</item>
    </derivirana_varijabla>
  </DomainObject.Predmet.StrankaListFormatedWithAdressOIB>
  <DomainObject.Predmet.StrankaListNazivFormated>
    <izvorni_sadrzaj>
      <item>FINA</item>
    </izvorni_sadrzaj>
    <derivirana_varijabla naziv="DomainObject.Predmet.StrankaListNazivFormated_1">
      <item>FINA</item>
    </derivirana_varijabla>
  </DomainObject.Predmet.StrankaListNazivFormated>
  <DomainObject.Predmet.StrankaListNazivFormatedOIB>
    <izvorni_sadrzaj>
      <item>FINA, OIB 85821130368</item>
    </izvorni_sadrzaj>
    <derivirana_varijabla naziv="DomainObject.Predmet.StrankaListNazivFormatedOIB_1">
      <item>FINA, OIB 85821130368</item>
    </derivirana_varijabla>
  </DomainObject.Predmet.StrankaListNazivFormatedOIB>
  <DomainObject.Predmet.ProtuStrankaListFormated>
    <izvorni_sadrzaj>
      <item>BUBA društvo s ograničenom odgovornošću za trgovinu i usluge</item>
    </izvorni_sadrzaj>
    <derivirana_varijabla naziv="DomainObject.Predmet.ProtuStrankaListFormated_1">
      <item>BUBA društvo s ograničenom odgovornošću za trgovinu i usluge</item>
    </derivirana_varijabla>
  </DomainObject.Predmet.ProtuStrankaListFormated>
  <DomainObject.Predmet.ProtuStrankaListFormatedOIB>
    <izvorni_sadrzaj>
      <item>BUBA društvo s ograničenom odgovornošću za trgovinu i usluge, OIB 13291058598</item>
    </izvorni_sadrzaj>
    <derivirana_varijabla naziv="DomainObject.Predmet.ProtuStrankaListFormatedOIB_1">
      <item>BUBA društvo s ograničenom odgovornošću za trgovinu i usluge, OIB 13291058598</item>
    </derivirana_varijabla>
  </DomainObject.Predmet.ProtuStrankaListFormatedOIB>
  <DomainObject.Predmet.ProtuStrankaListFormatedWithAdress>
    <izvorni_sadrzaj>
      <item>BUBA društvo s ograničenom odgovornošću za trgovinu i usluge, Zrmanjska 21, 23000 Zadar</item>
    </izvorni_sadrzaj>
    <derivirana_varijabla naziv="DomainObject.Predmet.ProtuStrankaListFormatedWithAdress_1">
      <item>BUBA društvo s ograničenom odgovornošću za trgovinu i usluge, Zrmanjska 21, 23000 Zadar</item>
    </derivirana_varijabla>
  </DomainObject.Predmet.ProtuStrankaListFormatedWithAdress>
  <DomainObject.Predmet.ProtuStrankaListFormatedWithAdressOIB>
    <izvorni_sadrzaj>
      <item>BUBA društvo s ograničenom odgovornošću za trgovinu i usluge, OIB 13291058598, Zrmanjska 21, 23000 Zadar</item>
    </izvorni_sadrzaj>
    <derivirana_varijabla naziv="DomainObject.Predmet.ProtuStrankaListFormatedWithAdressOIB_1">
      <item>BUBA društvo s ograničenom odgovornošću za trgovinu i usluge, OIB 13291058598, Zrmanjska 21, 23000 Zadar</item>
    </derivirana_varijabla>
  </DomainObject.Predmet.ProtuStrankaListFormatedWithAdressOIB>
  <DomainObject.Predmet.ProtuStrankaListNazivFormated>
    <izvorni_sadrzaj>
      <item>BUBA društvo s ograničenom odgovornošću za trgovinu i usluge</item>
    </izvorni_sadrzaj>
    <derivirana_varijabla naziv="DomainObject.Predmet.ProtuStrankaListNazivFormated_1">
      <item>BUBA društvo s ograničenom odgovornošću za trgovinu i usluge</item>
    </derivirana_varijabla>
  </DomainObject.Predmet.ProtuStrankaListNazivFormated>
  <DomainObject.Predmet.ProtuStrankaListNazivFormatedOIB>
    <izvorni_sadrzaj>
      <item>BUBA društvo s ograničenom odgovornošću za trgovinu i usluge, OIB 13291058598</item>
    </izvorni_sadrzaj>
    <derivirana_varijabla naziv="DomainObject.Predmet.ProtuStrankaListNazivFormatedOIB_1">
      <item>BUBA društvo s ograničenom odgovornošću za trgovinu i usluge, OIB 13291058598</item>
    </derivirana_varijabla>
  </DomainObject.Predmet.ProtuStrankaListNazivFormatedOIB>
  <DomainObject.Predmet.OstaliListFormated>
    <izvorni_sadrzaj>
      <item/>
    </izvorni_sadrzaj>
    <derivirana_varijabla naziv="DomainObject.Predmet.OstaliListFormated_1">
      <item/>
    </derivirana_varijabla>
  </DomainObject.Predmet.OstaliListFormated>
  <DomainObject.Predmet.OstaliListFormatedOIB>
    <izvorni_sadrzaj>
      <item/>
    </izvorni_sadrzaj>
    <derivirana_varijabla naziv="DomainObject.Predmet.OstaliListFormatedOIB_1">
      <item/>
    </derivirana_varijabla>
  </DomainObject.Predmet.OstaliListFormatedOIB>
  <DomainObject.Predmet.OstaliListFormatedWithAdress>
    <izvorni_sadrzaj>
      <item/>
    </izvorni_sadrzaj>
    <derivirana_varijabla naziv="DomainObject.Predmet.OstaliListFormatedWithAdress_1">
      <item/>
    </derivirana_varijabla>
  </DomainObject.Predmet.OstaliListFormatedWithAdress>
  <DomainObject.Predmet.OstaliListFormatedWithAdressOIB>
    <izvorni_sadrzaj>
      <item/>
    </izvorni_sadrzaj>
    <derivirana_varijabla naziv="DomainObject.Predmet.OstaliListFormatedWithAdressOIB_1">
      <item/>
    </derivirana_varijabla>
  </DomainObject.Predmet.OstaliListFormatedWithAdressOIB>
  <DomainObject.Predmet.OstaliListNazivFormated>
    <izvorni_sadrzaj>
      <item/>
    </izvorni_sadrzaj>
    <derivirana_varijabla naziv="DomainObject.Predmet.OstaliListNazivFormated_1">
      <item/>
    </derivirana_varijabla>
  </DomainObject.Predmet.OstaliListNazivFormated>
  <DomainObject.Predmet.OstaliListNazivFormatedOIB>
    <izvorni_sadrzaj>
      <item/>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17. svibnja 2016.</izvorni_sadrzaj>
    <derivirana_varijabla naziv="DomainObject.Datum_1">17. svibnja 2016.</derivirana_varijabla>
  </DomainObject.Datum>
  <DomainObject.PoslovniBrojDokumenta>
    <izvorni_sadrzaj>St-443/2015-5</izvorni_sadrzaj>
    <derivirana_varijabla naziv="DomainObject.PoslovniBrojDokumenta_1">St-443/2015-5</derivirana_varijabla>
  </DomainObject.PoslovniBrojDokumenta>
  <DomainObject.Predmet.StrankaIDrugi>
    <izvorni_sadrzaj>FINA</izvorni_sadrzaj>
    <derivirana_varijabla naziv="DomainObject.Predmet.StrankaIDrugi_1">FINA</derivirana_varijabla>
  </DomainObject.Predmet.StrankaIDrugi>
  <DomainObject.Predmet.ProtustrankaIDrugi>
    <izvorni_sadrzaj>BUBA društvo s ograničenom odgovornošću za trgovinu i usluge</izvorni_sadrzaj>
    <derivirana_varijabla naziv="DomainObject.Predmet.ProtustrankaIDrugi_1">BUBA društvo s ograničenom odgovornošću za trgovinu i usluge</derivirana_varijabla>
  </DomainObject.Predmet.ProtustrankaIDrugi>
  <DomainObject.Predmet.StrankaIDrugiAdressOIB>
    <izvorni_sadrzaj>FINA, OIB 85821130368</izvorni_sadrzaj>
    <derivirana_varijabla naziv="DomainObject.Predmet.StrankaIDrugiAdressOIB_1">FINA, OIB 85821130368</derivirana_varijabla>
  </DomainObject.Predmet.StrankaIDrugiAdressOIB>
  <DomainObject.Predmet.ProtustrankaIDrugiAdressOIB>
    <izvorni_sadrzaj>BUBA društvo s ograničenom odgovornošću za trgovinu i usluge, OIB 13291058598, Zrmanjska 21, 23000 Zadar</izvorni_sadrzaj>
    <derivirana_varijabla naziv="DomainObject.Predmet.ProtustrankaIDrugiAdressOIB_1">BUBA društvo s ograničenom odgovornošću za trgovinu i usluge, OIB 13291058598, Zrmanjska 21, 23000 Zadar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item>
      <item>BUBA društvo s ograničenom odgovornošću za trgovinu i usluge</item>
    </izvorni_sadrzaj>
    <derivirana_varijabla naziv="DomainObject.Predmet.SudioniciListNaziv_1">
      <item>FINA</item>
      <item>BUBA društvo s ograničenom odgovornošću za trgovinu i usluge</item>
    </derivirana_varijabla>
  </DomainObject.Predmet.SudioniciListNaziv>
  <DomainObject.Predmet.SudioniciListAdressOIB>
    <izvorni_sadrzaj>
      <item>FINA, OIB 85821130368</item>
      <item>BUBA društvo s ograničenom odgovornošću za trgovinu i usluge, OIB 13291058598, Zrmanjska 21,23000 Zadar</item>
    </izvorni_sadrzaj>
    <derivirana_varijabla naziv="DomainObject.Predmet.SudioniciListAdressOIB_1">
      <item>FINA, OIB 85821130368</item>
      <item>BUBA društvo s ograničenom odgovornošću za trgovinu i usluge, OIB 13291058598, Zrmanjska 21,23000 Zadar</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E56CCC6-6E08-4EA0-B427-2A682AA7C79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390</properties:Words>
  <properties:Characters>2032</properties:Characters>
  <properties:Lines>65</properties:Lines>
  <properties:Paragraphs>25</properties:Paragraphs>
  <properties:TotalTime>30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2430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Tina Grgas</cp:lastModifiedBy>
  <dcterms:modified xmlns:xsi="http://www.w3.org/2001/XMLSchema-instance" xsi:type="dcterms:W3CDTF">2016-05-17T11:33:00Z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St-443/2015-5 / Odluka - Rješenje - pokretanje prethodnog postupka radi utvrđivanja uvjeta za otvaranje stečajnog postupka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