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fbb3c" w14:paraId="4ffbb3c" w:rsidRDefault="00B4324D" w:rsidP="00B4324D" w:rsidR="00B4324D" w:rsidRPr="00B238E7">
      <w:pPr>
        <w:spacing w:lineRule="auto" w:line="240" w:after="0"/>
        <w15:collapsed w:val="false"/>
        <w:rPr>
          <w:rFonts w:cs="Times New Roman" w:hAnsi="Times New Roman" w:ascii="Times New Roman"/>
          <w:sz w:val="24"/>
          <w:szCs w:val="24"/>
        </w:rPr>
      </w:pPr>
      <w:bookmarkStart w:name="_GoBack" w:id="0"/>
      <w:bookmarkEnd w:id="0"/>
      <w:r w:rsidRPr="00B238E7">
        <w:rPr>
          <w:rFonts w:cs="Times New Roman" w:hAnsi="Times New Roman" w:ascii="Times New Roman"/>
          <w:sz w:val="24"/>
          <w:szCs w:val="24"/>
        </w:rPr>
        <w:t xml:space="preserve">                 </w:t>
      </w:r>
      <w:r w:rsidRPr="00B238E7">
        <w:rPr>
          <w:rFonts w:cs="Times New Roman" w:hAnsi="Times New Roman" w:ascii="Times New Roman"/>
          <w:noProof/>
          <w:sz w:val="24"/>
          <w:szCs w:val="24"/>
          <w:lang w:eastAsia="hr-HR"/>
        </w:rPr>
        <w:drawing>
          <wp:inline distR="0" distL="0" distB="0" distT="0">
            <wp:extent cy="678815" cx="602615"/>
            <wp:effectExtent b="698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8815" cx="602615"/>
                    </a:xfrm>
                    <a:prstGeom prst="rect">
                      <a:avLst/>
                    </a:prstGeom>
                    <a:noFill/>
                    <a:ln>
                      <a:noFill/>
                    </a:ln>
                  </pic:spPr>
                </pic:pic>
              </a:graphicData>
            </a:graphic>
          </wp:inline>
        </w:drawing>
      </w: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REPUBLIKA HRVATSKA</w:t>
      </w: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TRGOVAČKI SUD U RIJECI</w:t>
      </w: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STALNA SLUŽBA U PAZINU</w:t>
      </w: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 xml:space="preserve">           Pazin, Dršćevka 1              </w:t>
      </w: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 xml:space="preserve">                                </w:t>
      </w:r>
    </w:p>
    <w:p w:rsidRDefault="00B4324D" w:rsidP="00B4324D" w:rsidR="00B4324D" w:rsidRPr="00B238E7">
      <w:pPr>
        <w:spacing w:lineRule="auto" w:line="240" w:after="0"/>
        <w:jc w:val="center"/>
        <w:rPr>
          <w:rFonts w:cs="Times New Roman" w:hAnsi="Times New Roman" w:ascii="Times New Roman"/>
          <w:sz w:val="24"/>
          <w:szCs w:val="24"/>
        </w:rPr>
      </w:pPr>
      <w:r w:rsidRPr="00B238E7">
        <w:rPr>
          <w:rFonts w:cs="Times New Roman" w:hAnsi="Times New Roman" w:ascii="Times New Roman"/>
          <w:sz w:val="24"/>
          <w:szCs w:val="24"/>
        </w:rPr>
        <w:t>R E P U B L I K A  H R V A T S K A</w:t>
      </w:r>
    </w:p>
    <w:p w:rsidRDefault="00B4324D" w:rsidP="00B4324D" w:rsidR="00B4324D" w:rsidRPr="00B238E7">
      <w:pPr>
        <w:spacing w:lineRule="auto" w:line="240" w:after="0"/>
        <w:jc w:val="center"/>
        <w:rPr>
          <w:rFonts w:cs="Times New Roman" w:hAnsi="Times New Roman" w:ascii="Times New Roman"/>
          <w:sz w:val="24"/>
          <w:szCs w:val="24"/>
        </w:rPr>
      </w:pPr>
    </w:p>
    <w:p w:rsidRDefault="00B4324D" w:rsidP="00B4324D" w:rsidR="00B4324D" w:rsidRPr="00B238E7">
      <w:pPr>
        <w:spacing w:lineRule="auto" w:line="240" w:after="0"/>
        <w:jc w:val="center"/>
        <w:rPr>
          <w:rFonts w:cs="Times New Roman" w:hAnsi="Times New Roman" w:ascii="Times New Roman"/>
          <w:sz w:val="24"/>
          <w:szCs w:val="24"/>
        </w:rPr>
      </w:pPr>
      <w:r w:rsidRPr="00B238E7">
        <w:rPr>
          <w:rFonts w:cs="Times New Roman" w:hAnsi="Times New Roman" w:ascii="Times New Roman"/>
          <w:sz w:val="24"/>
          <w:szCs w:val="24"/>
        </w:rPr>
        <w:t>R J E Š E N J E</w:t>
      </w:r>
    </w:p>
    <w:p w:rsidRDefault="00B4324D" w:rsidP="00B4324D" w:rsidR="00B4324D" w:rsidRPr="00B238E7">
      <w:pPr>
        <w:spacing w:lineRule="auto" w:line="240" w:after="0"/>
        <w:jc w:val="center"/>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 xml:space="preserve">Trgovački sud u Pazinu, po stečajnoj sutkinji Tijani Licul, odlučujući o prijedlogu predlagatelja FINANCIJSKA AGENCIJA, Regionalni centar Rijeka, Podružnica Pula, Giardini 5, OIB: 85821130368, za otvaranje stečajnog postupka nad dužnikom CODEN d.o.o., OIB: 87147808289, Pula, Flaciusova 6, </w:t>
      </w:r>
    </w:p>
    <w:p w:rsidRDefault="00B4324D" w:rsidP="00B4324D" w:rsidR="00B4324D">
      <w:pPr>
        <w:spacing w:lineRule="auto" w:line="240" w:after="0"/>
        <w:jc w:val="both"/>
        <w:rPr>
          <w:rFonts w:cs="Times New Roman" w:hAnsi="Times New Roman" w:ascii="Times New Roman"/>
          <w:sz w:val="24"/>
          <w:szCs w:val="24"/>
        </w:rPr>
      </w:pPr>
    </w:p>
    <w:p w:rsidRDefault="00E05C5D" w:rsidP="00B4324D" w:rsidR="00E05C5D"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center"/>
        <w:rPr>
          <w:rFonts w:cs="Times New Roman" w:hAnsi="Times New Roman" w:ascii="Times New Roman"/>
          <w:sz w:val="24"/>
          <w:szCs w:val="24"/>
        </w:rPr>
      </w:pPr>
      <w:r w:rsidRPr="00B238E7">
        <w:rPr>
          <w:rFonts w:cs="Times New Roman" w:hAnsi="Times New Roman" w:ascii="Times New Roman"/>
          <w:sz w:val="24"/>
          <w:szCs w:val="24"/>
        </w:rPr>
        <w:t>r i j e š i o    j e</w:t>
      </w:r>
    </w:p>
    <w:p w:rsidRDefault="00B4324D" w:rsidP="00B4324D" w:rsidR="00B4324D">
      <w:pPr>
        <w:spacing w:lineRule="auto" w:line="240" w:after="0"/>
        <w:rPr>
          <w:rFonts w:cs="Times New Roman" w:hAnsi="Times New Roman" w:ascii="Times New Roman"/>
          <w:sz w:val="24"/>
          <w:szCs w:val="24"/>
        </w:rPr>
      </w:pPr>
    </w:p>
    <w:p w:rsidRDefault="008433FA" w:rsidP="00B4324D" w:rsidR="008433FA" w:rsidRPr="00B238E7">
      <w:pPr>
        <w:spacing w:lineRule="auto" w:line="240" w:after="0"/>
        <w:rPr>
          <w:rFonts w:cs="Times New Roman" w:hAnsi="Times New Roman" w:ascii="Times New Roman"/>
          <w:sz w:val="24"/>
          <w:szCs w:val="24"/>
        </w:rPr>
      </w:pPr>
    </w:p>
    <w:p w:rsidRDefault="00046690" w:rsidP="00FE6AB2" w:rsidR="00B4324D" w:rsidRPr="00B238E7">
      <w:pPr>
        <w:spacing w:lineRule="auto" w:line="240" w:after="0"/>
        <w:ind w:firstLine="708"/>
        <w:rPr>
          <w:rFonts w:cs="Times New Roman" w:hAnsi="Times New Roman" w:ascii="Times New Roman"/>
          <w:sz w:val="24"/>
          <w:szCs w:val="24"/>
        </w:rPr>
      </w:pPr>
      <w:r w:rsidRPr="00B238E7">
        <w:rPr>
          <w:rFonts w:cs="Times New Roman" w:hAnsi="Times New Roman" w:ascii="Times New Roman"/>
          <w:sz w:val="24"/>
          <w:szCs w:val="24"/>
        </w:rPr>
        <w:t xml:space="preserve">I. Prekida se postupak u ovoj pravnoj stvari. </w:t>
      </w:r>
    </w:p>
    <w:p w:rsidRDefault="00FE6AB2" w:rsidP="00FE6AB2" w:rsidR="00FE6AB2" w:rsidRPr="00B238E7">
      <w:pPr>
        <w:spacing w:lineRule="auto" w:line="240" w:after="0"/>
        <w:ind w:firstLine="708"/>
        <w:rPr>
          <w:rFonts w:cs="Times New Roman" w:hAnsi="Times New Roman" w:ascii="Times New Roman"/>
          <w:sz w:val="24"/>
          <w:szCs w:val="24"/>
        </w:rPr>
      </w:pPr>
    </w:p>
    <w:p w:rsidRDefault="00FE6AB2" w:rsidP="008433FA" w:rsidR="00FE6AB2" w:rsidRPr="00B238E7">
      <w:pPr>
        <w:spacing w:lineRule="auto" w:line="240" w:after="0"/>
        <w:ind w:firstLine="708"/>
        <w:jc w:val="both"/>
        <w:rPr>
          <w:rFonts w:cs="Times New Roman" w:hAnsi="Times New Roman" w:ascii="Times New Roman"/>
          <w:sz w:val="24"/>
          <w:szCs w:val="24"/>
        </w:rPr>
      </w:pPr>
      <w:r w:rsidRPr="00B238E7">
        <w:rPr>
          <w:rFonts w:cs="Times New Roman" w:hAnsi="Times New Roman" w:ascii="Times New Roman"/>
          <w:sz w:val="24"/>
          <w:szCs w:val="24"/>
        </w:rPr>
        <w:t>II. Postupak će se nastaviti nakon pravomoćnosti odluke o prijedlogu za otvaranje stečajnog postupka u postupku koji se kod ovog suda vodi pod brojem: St-21/15.</w:t>
      </w:r>
    </w:p>
    <w:p w:rsidRDefault="00B4324D" w:rsidP="00B4324D" w:rsidR="00B4324D">
      <w:pPr>
        <w:spacing w:lineRule="auto" w:line="240" w:after="0"/>
        <w:rPr>
          <w:rFonts w:cs="Times New Roman" w:hAnsi="Times New Roman" w:ascii="Times New Roman"/>
          <w:sz w:val="24"/>
          <w:szCs w:val="24"/>
        </w:rPr>
      </w:pPr>
    </w:p>
    <w:p w:rsidRDefault="00E05C5D" w:rsidP="00B4324D" w:rsidR="00E05C5D" w:rsidRPr="00B238E7">
      <w:pPr>
        <w:spacing w:lineRule="auto" w:line="240" w:after="0"/>
        <w:rPr>
          <w:rFonts w:cs="Times New Roman" w:hAnsi="Times New Roman" w:ascii="Times New Roman"/>
          <w:sz w:val="24"/>
          <w:szCs w:val="24"/>
        </w:rPr>
      </w:pPr>
    </w:p>
    <w:p w:rsidRDefault="00B4324D" w:rsidP="00B4324D" w:rsidR="00B4324D" w:rsidRPr="00B238E7">
      <w:pPr>
        <w:spacing w:lineRule="auto" w:line="240" w:after="0"/>
        <w:jc w:val="center"/>
        <w:rPr>
          <w:rFonts w:cs="Times New Roman" w:hAnsi="Times New Roman" w:ascii="Times New Roman"/>
          <w:sz w:val="24"/>
          <w:szCs w:val="24"/>
        </w:rPr>
      </w:pPr>
      <w:r w:rsidRPr="00B238E7">
        <w:rPr>
          <w:rFonts w:cs="Times New Roman" w:hAnsi="Times New Roman" w:ascii="Times New Roman"/>
          <w:sz w:val="24"/>
          <w:szCs w:val="24"/>
        </w:rPr>
        <w:t>Obrazloženje</w:t>
      </w:r>
    </w:p>
    <w:p w:rsidRDefault="00B4324D" w:rsidP="00B4324D" w:rsidR="00B4324D">
      <w:pPr>
        <w:spacing w:lineRule="auto" w:line="240" w:after="0"/>
        <w:jc w:val="both"/>
        <w:rPr>
          <w:rFonts w:cs="Times New Roman" w:hAnsi="Times New Roman" w:ascii="Times New Roman"/>
          <w:sz w:val="24"/>
          <w:szCs w:val="24"/>
        </w:rPr>
      </w:pPr>
    </w:p>
    <w:p w:rsidRDefault="008433FA" w:rsidP="00B4324D" w:rsidR="008433FA"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Predlagatelj je 15. travnja 2016. godine podnio prijedlog za otvaranjem stečajnog postupka nad dužnikom budući dužnik na dan 01. rujna 2015. godine u Očevidniku redoslijeda osnova za plaćanje ima evidentirane neizvršene osnove za plaćanje u neprekinutom razdoblju od 259 dana, u ukupnom iznosu od 19.481.496,31 kn.</w:t>
      </w:r>
    </w:p>
    <w:p w:rsidRDefault="00B4324D" w:rsidP="00B4324D" w:rsidR="00B4324D"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Uvidom u ovosudni upisnik ST utvrđeno je da je nad istim dužnikom u tijeku postupak pod posl. brojem: St-21/15.</w:t>
      </w:r>
    </w:p>
    <w:p w:rsidRDefault="00B4324D" w:rsidP="00B4324D" w:rsidR="00B4324D"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U tom postupku Financijska agencija je dana 13. siječnja 2015. godine podnijela prijedlog za otvaranjem stečajnog postupka nad istim dužnikom, a temeljem čl. 49. st. 2. Zakona o financijskom poslovanju i predstečajnoj nagodbi (Narodne novine broj 108/12 i 144/12: dalje: ZFPPN) jer je prijedlog za predstečajnu nagodbu odbačen.</w:t>
      </w:r>
    </w:p>
    <w:p w:rsidRDefault="00B4324D" w:rsidP="00B4324D" w:rsidR="00B4324D"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Međutim, u ranije po</w:t>
      </w:r>
      <w:r w:rsidR="00046690" w:rsidRPr="00B238E7">
        <w:rPr>
          <w:rFonts w:cs="Times New Roman" w:hAnsi="Times New Roman" w:ascii="Times New Roman"/>
          <w:sz w:val="24"/>
          <w:szCs w:val="24"/>
        </w:rPr>
        <w:t>krenutom postupku</w:t>
      </w:r>
      <w:r w:rsidR="00FE6AB2" w:rsidRPr="00B238E7">
        <w:rPr>
          <w:rFonts w:cs="Times New Roman" w:hAnsi="Times New Roman" w:ascii="Times New Roman"/>
          <w:sz w:val="24"/>
          <w:szCs w:val="24"/>
        </w:rPr>
        <w:t xml:space="preserve"> </w:t>
      </w:r>
      <w:r w:rsidRPr="00B238E7">
        <w:rPr>
          <w:rFonts w:cs="Times New Roman" w:hAnsi="Times New Roman" w:ascii="Times New Roman"/>
          <w:sz w:val="24"/>
          <w:szCs w:val="24"/>
        </w:rPr>
        <w:t xml:space="preserve">(po prijedlogu od 20. kolovoza 2014. godine) koji se pred Trgovačkim sudom u Rijeci </w:t>
      </w:r>
      <w:r w:rsidR="00FE6AB2" w:rsidRPr="00B238E7">
        <w:rPr>
          <w:rFonts w:cs="Times New Roman" w:hAnsi="Times New Roman" w:ascii="Times New Roman"/>
          <w:sz w:val="24"/>
          <w:szCs w:val="24"/>
        </w:rPr>
        <w:t xml:space="preserve">vodi </w:t>
      </w:r>
      <w:r w:rsidR="00046690" w:rsidRPr="00B238E7">
        <w:rPr>
          <w:rFonts w:cs="Times New Roman" w:hAnsi="Times New Roman" w:ascii="Times New Roman"/>
          <w:sz w:val="24"/>
          <w:szCs w:val="24"/>
        </w:rPr>
        <w:t xml:space="preserve">pod brojem: St-227/14, </w:t>
      </w:r>
      <w:r w:rsidRPr="00B238E7">
        <w:rPr>
          <w:rFonts w:cs="Times New Roman" w:hAnsi="Times New Roman" w:ascii="Times New Roman"/>
          <w:sz w:val="24"/>
          <w:szCs w:val="24"/>
        </w:rPr>
        <w:t xml:space="preserve">povodom prijedloga vjerovnika </w:t>
      </w:r>
      <w:r w:rsidR="00D63948">
        <w:rPr>
          <w:rFonts w:cs="Times New Roman" w:hAnsi="Times New Roman" w:ascii="Times New Roman"/>
          <w:sz w:val="24"/>
          <w:szCs w:val="24"/>
        </w:rPr>
        <w:t xml:space="preserve">Republike Hrvatske </w:t>
      </w:r>
      <w:r w:rsidRPr="00B238E7">
        <w:rPr>
          <w:rFonts w:cs="Times New Roman" w:hAnsi="Times New Roman" w:ascii="Times New Roman"/>
          <w:sz w:val="24"/>
          <w:szCs w:val="24"/>
        </w:rPr>
        <w:t>za otvaranje</w:t>
      </w:r>
      <w:r w:rsidR="00B238E7" w:rsidRPr="00B238E7">
        <w:rPr>
          <w:rFonts w:cs="Times New Roman" w:hAnsi="Times New Roman" w:ascii="Times New Roman"/>
          <w:sz w:val="24"/>
          <w:szCs w:val="24"/>
        </w:rPr>
        <w:t>m</w:t>
      </w:r>
      <w:r w:rsidRPr="00B238E7">
        <w:rPr>
          <w:rFonts w:cs="Times New Roman" w:hAnsi="Times New Roman" w:ascii="Times New Roman"/>
          <w:sz w:val="24"/>
          <w:szCs w:val="24"/>
        </w:rPr>
        <w:t xml:space="preserve"> stečajnog postupka nad </w:t>
      </w:r>
      <w:r w:rsidR="00046690" w:rsidRPr="00B238E7">
        <w:rPr>
          <w:rFonts w:cs="Times New Roman" w:hAnsi="Times New Roman" w:ascii="Times New Roman"/>
          <w:sz w:val="24"/>
          <w:szCs w:val="24"/>
        </w:rPr>
        <w:t xml:space="preserve">istim </w:t>
      </w:r>
      <w:r w:rsidRPr="00B238E7">
        <w:rPr>
          <w:rFonts w:cs="Times New Roman" w:hAnsi="Times New Roman" w:ascii="Times New Roman"/>
          <w:sz w:val="24"/>
          <w:szCs w:val="24"/>
        </w:rPr>
        <w:t>dužnikom</w:t>
      </w:r>
      <w:r w:rsidR="00046690" w:rsidRPr="00B238E7">
        <w:rPr>
          <w:rFonts w:cs="Times New Roman" w:hAnsi="Times New Roman" w:ascii="Times New Roman"/>
          <w:sz w:val="24"/>
          <w:szCs w:val="24"/>
        </w:rPr>
        <w:t>,</w:t>
      </w:r>
      <w:r w:rsidRPr="00B238E7">
        <w:rPr>
          <w:rFonts w:cs="Times New Roman" w:hAnsi="Times New Roman" w:ascii="Times New Roman"/>
          <w:sz w:val="24"/>
          <w:szCs w:val="24"/>
        </w:rPr>
        <w:t xml:space="preserve"> nakon što je vjerovnik podneskom od 25. rujna 2014. obavijestio sud da je dužnik pokrenuo postupak predstečajne nagodbe, rješenjem pod posl. br. 7 St-227/14-3 od 25. rujna 2014. postupak u toj pravnoj stvari je prekinut.</w:t>
      </w:r>
    </w:p>
    <w:p w:rsidRDefault="00046690" w:rsidP="00B4324D" w:rsidR="00046690"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 xml:space="preserve">Istim rješenjem je odlučeno da će se postupak nastaviti po pravomoćnosti odluke u postupku predstečajne nagodbe. </w:t>
      </w:r>
    </w:p>
    <w:p w:rsidRDefault="00B4324D" w:rsidP="00B4324D" w:rsidR="00046690"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r>
    </w:p>
    <w:p w:rsidRDefault="00046690" w:rsidP="00B4324D" w:rsidR="00046690"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Obzirom na navedeno, u postupku koji je pokrenut kod ovog suda posl. broj: St-21/15 rješenje</w:t>
      </w:r>
      <w:r w:rsidR="00FE6AB2" w:rsidRPr="00B238E7">
        <w:rPr>
          <w:rFonts w:cs="Times New Roman" w:hAnsi="Times New Roman" w:ascii="Times New Roman"/>
          <w:sz w:val="24"/>
          <w:szCs w:val="24"/>
        </w:rPr>
        <w:t>m</w:t>
      </w:r>
      <w:r w:rsidRPr="00B238E7">
        <w:rPr>
          <w:rFonts w:cs="Times New Roman" w:hAnsi="Times New Roman" w:ascii="Times New Roman"/>
          <w:sz w:val="24"/>
          <w:szCs w:val="24"/>
        </w:rPr>
        <w:t xml:space="preserve"> od 26. siječnja 2015. godine postupak je prekinut do donošenja odluke o prijedlogu za otvaranjem stečajnog postupka podnesenom u postupku pred Trgovačkim sudom u Rijeci posl. broj: St-227/14.</w:t>
      </w:r>
    </w:p>
    <w:p w:rsidRDefault="00046690" w:rsidP="00B4324D" w:rsidR="00046690" w:rsidRPr="00B238E7">
      <w:pPr>
        <w:spacing w:lineRule="auto" w:line="240" w:after="0"/>
        <w:jc w:val="both"/>
        <w:rPr>
          <w:rFonts w:cs="Times New Roman" w:hAnsi="Times New Roman" w:ascii="Times New Roman"/>
          <w:sz w:val="24"/>
          <w:szCs w:val="24"/>
        </w:rPr>
      </w:pPr>
    </w:p>
    <w:p w:rsidRDefault="00B238E7" w:rsidP="00B238E7" w:rsid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Odredbom čl. 16. st. 6. S</w:t>
      </w:r>
      <w:r w:rsidR="00D63948">
        <w:rPr>
          <w:rFonts w:cs="Times New Roman" w:hAnsi="Times New Roman" w:ascii="Times New Roman"/>
          <w:sz w:val="24"/>
          <w:szCs w:val="24"/>
        </w:rPr>
        <w:t>tečajnog zakona (Narodne novine broj 71/15, dalje: S</w:t>
      </w:r>
      <w:r w:rsidRPr="00B238E7">
        <w:rPr>
          <w:rFonts w:cs="Times New Roman" w:hAnsi="Times New Roman" w:ascii="Times New Roman"/>
          <w:sz w:val="24"/>
          <w:szCs w:val="24"/>
        </w:rPr>
        <w:t>Z</w:t>
      </w:r>
      <w:r w:rsidR="00D63948">
        <w:rPr>
          <w:rFonts w:cs="Times New Roman" w:hAnsi="Times New Roman" w:ascii="Times New Roman"/>
          <w:sz w:val="24"/>
          <w:szCs w:val="24"/>
        </w:rPr>
        <w:t xml:space="preserve">) </w:t>
      </w:r>
      <w:r w:rsidRPr="00B238E7">
        <w:rPr>
          <w:rFonts w:cs="Times New Roman" w:hAnsi="Times New Roman" w:ascii="Times New Roman"/>
          <w:sz w:val="24"/>
          <w:szCs w:val="24"/>
        </w:rPr>
        <w:t>propisano je</w:t>
      </w:r>
      <w:r w:rsidR="00D63948">
        <w:rPr>
          <w:rFonts w:cs="Times New Roman" w:hAnsi="Times New Roman" w:ascii="Times New Roman"/>
          <w:sz w:val="24"/>
          <w:szCs w:val="24"/>
        </w:rPr>
        <w:t>:</w:t>
      </w:r>
      <w:r w:rsidRPr="00B238E7">
        <w:rPr>
          <w:rFonts w:cs="Times New Roman" w:hAnsi="Times New Roman" w:ascii="Times New Roman"/>
          <w:sz w:val="24"/>
          <w:szCs w:val="24"/>
        </w:rPr>
        <w:t xml:space="preserve"> „</w:t>
      </w:r>
      <w:r w:rsidRPr="00B238E7">
        <w:rPr>
          <w:rFonts w:cs="Times New Roman" w:hAnsi="Times New Roman" w:ascii="Times New Roman"/>
          <w:sz w:val="24"/>
          <w:szCs w:val="24"/>
          <w:shd w:fill="FFFFFF" w:color="auto" w:val="clear"/>
        </w:rPr>
        <w:t xml:space="preserve">Ako su podnesena dva ili više prijedloga za otvaranje predstečajnoga ili stečajnoga postupka, sud će za sve prijedloge provesti jedinstveni postupak i donijeti zajedničku odluku.“ Međutim, u </w:t>
      </w:r>
      <w:r w:rsidRPr="00B238E7">
        <w:rPr>
          <w:rFonts w:cs="Times New Roman" w:hAnsi="Times New Roman" w:ascii="Times New Roman"/>
          <w:sz w:val="24"/>
          <w:szCs w:val="24"/>
        </w:rPr>
        <w:t>ovom slučaju se ne može primijeniti odredba čl. 16. st. 6. SZ-a t</w:t>
      </w:r>
      <w:r w:rsidRPr="00B238E7">
        <w:rPr>
          <w:rFonts w:cs="Times New Roman" w:hAnsi="Times New Roman" w:ascii="Times New Roman"/>
          <w:sz w:val="24"/>
          <w:szCs w:val="24"/>
          <w:shd w:fill="FFFFFF" w:color="auto" w:val="clear"/>
        </w:rPr>
        <w:t>o iz razloga što su stečajni postupci posl. broj: St-227/14 i St-21/15 pokrenuti za vrijeme važenja ranijeg Stečajnog zakona (</w:t>
      </w:r>
      <w:r w:rsidRPr="00B238E7">
        <w:rPr>
          <w:rFonts w:cs="Times New Roman" w:hAnsi="Times New Roman" w:ascii="Times New Roman"/>
          <w:sz w:val="24"/>
          <w:szCs w:val="24"/>
        </w:rPr>
        <w:t>(Narodne novine broj 44/96, 161/98, 29/99, 129/00, 123/03, 197/03, 187/04, 82/06, 116/10, 25/12, 133/12, 45/13, 71/15)</w:t>
      </w:r>
      <w:r w:rsidR="00D63948">
        <w:rPr>
          <w:rFonts w:cs="Times New Roman" w:hAnsi="Times New Roman" w:ascii="Times New Roman"/>
          <w:sz w:val="24"/>
          <w:szCs w:val="24"/>
        </w:rPr>
        <w:t xml:space="preserve">. </w:t>
      </w:r>
    </w:p>
    <w:p w:rsidRDefault="00D63948" w:rsidP="00B238E7" w:rsidR="00D63948" w:rsidRPr="00B238E7">
      <w:pPr>
        <w:spacing w:lineRule="auto" w:line="240" w:after="0"/>
        <w:jc w:val="both"/>
        <w:rPr>
          <w:rFonts w:cs="Times New Roman" w:hAnsi="Times New Roman" w:ascii="Times New Roman"/>
          <w:sz w:val="24"/>
          <w:szCs w:val="24"/>
        </w:rPr>
      </w:pPr>
    </w:p>
    <w:p w:rsidRDefault="00B238E7" w:rsidP="00B238E7" w:rsidR="00B238E7" w:rsidRPr="00B238E7">
      <w:pPr>
        <w:spacing w:lineRule="auto" w:line="240" w:after="0"/>
        <w:ind w:firstLine="708"/>
        <w:jc w:val="both"/>
        <w:rPr>
          <w:rFonts w:cs="Times New Roman" w:hAnsi="Times New Roman" w:ascii="Times New Roman"/>
          <w:sz w:val="24"/>
          <w:szCs w:val="24"/>
        </w:rPr>
      </w:pPr>
      <w:r w:rsidRPr="00B238E7">
        <w:rPr>
          <w:rFonts w:cs="Times New Roman" w:hAnsi="Times New Roman" w:ascii="Times New Roman"/>
          <w:sz w:val="24"/>
          <w:szCs w:val="24"/>
        </w:rPr>
        <w:t>Raniji stečajni zakon nije posebno regulirao slučaj kad</w:t>
      </w:r>
      <w:r w:rsidR="00D63948">
        <w:rPr>
          <w:rFonts w:cs="Times New Roman" w:hAnsi="Times New Roman" w:ascii="Times New Roman"/>
          <w:sz w:val="24"/>
          <w:szCs w:val="24"/>
        </w:rPr>
        <w:t>a su</w:t>
      </w:r>
      <w:r w:rsidRPr="00B238E7">
        <w:rPr>
          <w:rFonts w:cs="Times New Roman" w:hAnsi="Times New Roman" w:ascii="Times New Roman"/>
          <w:sz w:val="24"/>
          <w:szCs w:val="24"/>
        </w:rPr>
        <w:t xml:space="preserve"> podnesena dva ili više prijedloga za pokretanje stečajnog postupka</w:t>
      </w:r>
      <w:r w:rsidR="00D63948">
        <w:rPr>
          <w:rFonts w:cs="Times New Roman" w:hAnsi="Times New Roman" w:ascii="Times New Roman"/>
          <w:sz w:val="24"/>
          <w:szCs w:val="24"/>
        </w:rPr>
        <w:t xml:space="preserve"> (osim što se tiče početka tijeka rokova)</w:t>
      </w:r>
      <w:r w:rsidRPr="00B238E7">
        <w:rPr>
          <w:rFonts w:cs="Times New Roman" w:hAnsi="Times New Roman" w:ascii="Times New Roman"/>
          <w:sz w:val="24"/>
          <w:szCs w:val="24"/>
        </w:rPr>
        <w:t xml:space="preserve"> pa je u takvim slučajevima valjalo na odgovarajući način primijeniti odredbe </w:t>
      </w:r>
      <w:r w:rsidR="00D63948">
        <w:rPr>
          <w:rFonts w:cs="Times New Roman" w:hAnsi="Times New Roman" w:ascii="Times New Roman"/>
          <w:sz w:val="24"/>
          <w:szCs w:val="24"/>
        </w:rPr>
        <w:t>Zakona o parničnom postupku</w:t>
      </w:r>
      <w:r w:rsidRPr="00B238E7">
        <w:rPr>
          <w:rFonts w:cs="Times New Roman" w:hAnsi="Times New Roman" w:ascii="Times New Roman"/>
          <w:sz w:val="24"/>
          <w:szCs w:val="24"/>
        </w:rPr>
        <w:t xml:space="preserve">, a što je sud učinio i u ovom slučaju, budući da se </w:t>
      </w:r>
      <w:r w:rsidR="00D63948">
        <w:rPr>
          <w:rFonts w:cs="Times New Roman" w:hAnsi="Times New Roman" w:ascii="Times New Roman"/>
          <w:sz w:val="24"/>
          <w:szCs w:val="24"/>
        </w:rPr>
        <w:t xml:space="preserve">u konkretnom slučaju </w:t>
      </w:r>
      <w:r w:rsidRPr="00B238E7">
        <w:rPr>
          <w:rFonts w:cs="Times New Roman" w:hAnsi="Times New Roman" w:ascii="Times New Roman"/>
          <w:sz w:val="24"/>
          <w:szCs w:val="24"/>
        </w:rPr>
        <w:t>radi o postupcima koji su pokrenuti po različitim zakonima</w:t>
      </w:r>
      <w:r w:rsidR="00D63948">
        <w:rPr>
          <w:rFonts w:cs="Times New Roman" w:hAnsi="Times New Roman" w:ascii="Times New Roman"/>
          <w:sz w:val="24"/>
          <w:szCs w:val="24"/>
        </w:rPr>
        <w:t xml:space="preserve"> koji uređuju isti postupak</w:t>
      </w:r>
      <w:r w:rsidRPr="00B238E7">
        <w:rPr>
          <w:rFonts w:cs="Times New Roman" w:hAnsi="Times New Roman" w:ascii="Times New Roman"/>
          <w:sz w:val="24"/>
          <w:szCs w:val="24"/>
        </w:rPr>
        <w:t>.</w:t>
      </w:r>
    </w:p>
    <w:p w:rsidRDefault="00B238E7" w:rsidP="00B4324D" w:rsidR="00B238E7" w:rsidRPr="00B238E7">
      <w:pPr>
        <w:spacing w:lineRule="auto" w:line="240" w:after="0"/>
        <w:jc w:val="both"/>
        <w:rPr>
          <w:rFonts w:cs="Times New Roman" w:hAnsi="Times New Roman" w:ascii="Times New Roman"/>
          <w:sz w:val="24"/>
          <w:szCs w:val="24"/>
        </w:rPr>
      </w:pPr>
    </w:p>
    <w:p w:rsidRDefault="00B4324D" w:rsidP="00D63948" w:rsidR="00046690">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r>
      <w:r w:rsidR="00D63948">
        <w:rPr>
          <w:rFonts w:cs="Times New Roman" w:hAnsi="Times New Roman" w:ascii="Times New Roman"/>
          <w:sz w:val="24"/>
          <w:szCs w:val="24"/>
        </w:rPr>
        <w:t xml:space="preserve">U konkretnom slučaju sud je stava da je prije odlučivanja o prijedlogu za otvaranjem stečajnog postupka podnesenom u ovom postupku potrebno odlučiti o prijedlozima za otvaranje stečajnog postupka podnesenim prije njega (St-227/14 i St-21/15). </w:t>
      </w:r>
    </w:p>
    <w:p w:rsidRDefault="00D63948" w:rsidP="00B4324D" w:rsidR="00D63948"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U kasnije zaprimljenim prijedlozima postupak</w:t>
      </w:r>
      <w:r w:rsidR="00D63948">
        <w:rPr>
          <w:rFonts w:cs="Times New Roman" w:hAnsi="Times New Roman" w:ascii="Times New Roman"/>
          <w:sz w:val="24"/>
          <w:szCs w:val="24"/>
        </w:rPr>
        <w:t xml:space="preserve"> valja</w:t>
      </w:r>
      <w:r w:rsidRPr="00B238E7">
        <w:rPr>
          <w:rFonts w:cs="Times New Roman" w:hAnsi="Times New Roman" w:ascii="Times New Roman"/>
          <w:sz w:val="24"/>
          <w:szCs w:val="24"/>
        </w:rPr>
        <w:t xml:space="preserve"> prekinuti (</w:t>
      </w:r>
      <w:r w:rsidR="00D63948">
        <w:rPr>
          <w:rFonts w:cs="Times New Roman" w:hAnsi="Times New Roman" w:ascii="Times New Roman"/>
          <w:sz w:val="24"/>
          <w:szCs w:val="24"/>
        </w:rPr>
        <w:t xml:space="preserve"> </w:t>
      </w:r>
      <w:r w:rsidRPr="00B238E7">
        <w:rPr>
          <w:rFonts w:cs="Times New Roman" w:hAnsi="Times New Roman" w:ascii="Times New Roman"/>
          <w:sz w:val="24"/>
          <w:szCs w:val="24"/>
        </w:rPr>
        <w:t>čl. 213. u vezi s čl. 12. Z</w:t>
      </w:r>
      <w:r w:rsidR="00046690" w:rsidRPr="00B238E7">
        <w:rPr>
          <w:rFonts w:cs="Times New Roman" w:hAnsi="Times New Roman" w:ascii="Times New Roman"/>
          <w:sz w:val="24"/>
          <w:szCs w:val="24"/>
        </w:rPr>
        <w:t>akon o parničnom postupku (Narodne novine broj 53/91, 91/92, 112/99, 129/00, 88/01, 117/03, 88/05, 2/07, 96/08, 84/08, 123/08, 57/11, 25/13, 89/14, dalje: ZPP) te 10</w:t>
      </w:r>
      <w:r w:rsidRPr="00B238E7">
        <w:rPr>
          <w:rFonts w:cs="Times New Roman" w:hAnsi="Times New Roman" w:ascii="Times New Roman"/>
          <w:sz w:val="24"/>
          <w:szCs w:val="24"/>
        </w:rPr>
        <w:t>. S</w:t>
      </w:r>
      <w:r w:rsidR="00046690" w:rsidRPr="00B238E7">
        <w:rPr>
          <w:rFonts w:cs="Times New Roman" w:hAnsi="Times New Roman" w:ascii="Times New Roman"/>
          <w:sz w:val="24"/>
          <w:szCs w:val="24"/>
        </w:rPr>
        <w:t>tečajnog zakona (Narodne novein broj 71/15, dalje: S</w:t>
      </w:r>
      <w:r w:rsidRPr="00B238E7">
        <w:rPr>
          <w:rFonts w:cs="Times New Roman" w:hAnsi="Times New Roman" w:ascii="Times New Roman"/>
          <w:sz w:val="24"/>
          <w:szCs w:val="24"/>
        </w:rPr>
        <w:t>Z)</w:t>
      </w:r>
      <w:r w:rsidR="00D63948">
        <w:rPr>
          <w:rFonts w:cs="Times New Roman" w:hAnsi="Times New Roman" w:ascii="Times New Roman"/>
          <w:sz w:val="24"/>
          <w:szCs w:val="24"/>
        </w:rPr>
        <w:t xml:space="preserve"> )</w:t>
      </w:r>
      <w:r w:rsidRPr="00B238E7">
        <w:rPr>
          <w:rFonts w:cs="Times New Roman" w:hAnsi="Times New Roman" w:ascii="Times New Roman"/>
          <w:sz w:val="24"/>
          <w:szCs w:val="24"/>
        </w:rPr>
        <w:t xml:space="preserve"> do pravomoćnosti odluke o </w:t>
      </w:r>
      <w:r w:rsidR="00D63948">
        <w:rPr>
          <w:rFonts w:cs="Times New Roman" w:hAnsi="Times New Roman" w:ascii="Times New Roman"/>
          <w:sz w:val="24"/>
          <w:szCs w:val="24"/>
        </w:rPr>
        <w:t>ranijem</w:t>
      </w:r>
      <w:r w:rsidRPr="00B238E7">
        <w:rPr>
          <w:rFonts w:cs="Times New Roman" w:hAnsi="Times New Roman" w:ascii="Times New Roman"/>
          <w:sz w:val="24"/>
          <w:szCs w:val="24"/>
        </w:rPr>
        <w:t xml:space="preserve"> zaprimljenom prijedlogu, jer je pravomoćnost rješenja o </w:t>
      </w:r>
      <w:r w:rsidR="00D63948">
        <w:rPr>
          <w:rFonts w:cs="Times New Roman" w:hAnsi="Times New Roman" w:ascii="Times New Roman"/>
          <w:sz w:val="24"/>
          <w:szCs w:val="24"/>
        </w:rPr>
        <w:t>ranijem</w:t>
      </w:r>
      <w:r w:rsidRPr="00B238E7">
        <w:rPr>
          <w:rFonts w:cs="Times New Roman" w:hAnsi="Times New Roman" w:ascii="Times New Roman"/>
          <w:sz w:val="24"/>
          <w:szCs w:val="24"/>
        </w:rPr>
        <w:t xml:space="preserve"> prijedlogu prethodno pitanje za ocjenu dopustivosti svih kasnijih prijedloga.</w:t>
      </w:r>
    </w:p>
    <w:p w:rsidRDefault="00046690" w:rsidP="00B4324D" w:rsidR="00046690"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Ako povodom prvog zaprimljenog prijedloga nadležni sud pravomoćno otvori stečajni postupak nad dužnikom, odbacit će se kasnije zaprimljen</w:t>
      </w:r>
      <w:r w:rsidR="008433FA">
        <w:rPr>
          <w:rFonts w:cs="Times New Roman" w:hAnsi="Times New Roman" w:ascii="Times New Roman"/>
          <w:sz w:val="24"/>
          <w:szCs w:val="24"/>
        </w:rPr>
        <w:t>i</w:t>
      </w:r>
      <w:r w:rsidRPr="00B238E7">
        <w:rPr>
          <w:rFonts w:cs="Times New Roman" w:hAnsi="Times New Roman" w:ascii="Times New Roman"/>
          <w:sz w:val="24"/>
          <w:szCs w:val="24"/>
        </w:rPr>
        <w:t xml:space="preserve"> prijedlo</w:t>
      </w:r>
      <w:r w:rsidR="008433FA">
        <w:rPr>
          <w:rFonts w:cs="Times New Roman" w:hAnsi="Times New Roman" w:ascii="Times New Roman"/>
          <w:sz w:val="24"/>
          <w:szCs w:val="24"/>
        </w:rPr>
        <w:t>zi</w:t>
      </w:r>
      <w:r w:rsidRPr="00B238E7">
        <w:rPr>
          <w:rFonts w:cs="Times New Roman" w:hAnsi="Times New Roman" w:ascii="Times New Roman"/>
          <w:sz w:val="24"/>
          <w:szCs w:val="24"/>
        </w:rPr>
        <w:t xml:space="preserve"> za otvaranje stečajnog postupka.</w:t>
      </w:r>
    </w:p>
    <w:p w:rsidRDefault="00046690" w:rsidP="00B4324D" w:rsidR="00046690"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 xml:space="preserve">Ako prvi zaprimljeni prijedlog bude pravomoćno odbačen ili odbijen, sud će nastaviti postupak po prvom sljedećem zaprimljenom prijedlogu. </w:t>
      </w:r>
    </w:p>
    <w:p w:rsidRDefault="00046690" w:rsidP="00B4324D" w:rsidR="00046690"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 xml:space="preserve">Stečajni postupak je postupak generalne ovrhe koji se provodi nad ukupnom imovinom stečajnog dužnika, a stečajnom zapljenom obuhvaćena je cjelokupna dužnikova imovina, zbog čega nad jednim stečajnim dužnikom (nad imovinom) nije moguće voditi više istovremenih insolvencijskih postupaka. Doseg jedne stečajne odluke održava se na sveukupnoj dužnikovoj imovini, pa čak i na one njezine dijelove za koje se u vrijeme vođenja postupka nije znalo da postoji. </w:t>
      </w:r>
    </w:p>
    <w:p w:rsidRDefault="00046690" w:rsidP="00B4324D" w:rsidR="00046690"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t xml:space="preserve">Kako </w:t>
      </w:r>
      <w:r w:rsidR="00046690" w:rsidRPr="00B238E7">
        <w:rPr>
          <w:rFonts w:cs="Times New Roman" w:hAnsi="Times New Roman" w:ascii="Times New Roman"/>
          <w:sz w:val="24"/>
          <w:szCs w:val="24"/>
        </w:rPr>
        <w:t>su</w:t>
      </w:r>
      <w:r w:rsidRPr="00B238E7">
        <w:rPr>
          <w:rFonts w:cs="Times New Roman" w:hAnsi="Times New Roman" w:ascii="Times New Roman"/>
          <w:sz w:val="24"/>
          <w:szCs w:val="24"/>
        </w:rPr>
        <w:t xml:space="preserve">, dakle, prije podnošenja prijedloga za pokretanje stečajnog postupka u ovom postupku, dana 20. kolovoza 2014. godine </w:t>
      </w:r>
      <w:r w:rsidR="00046690" w:rsidRPr="00B238E7">
        <w:rPr>
          <w:rFonts w:cs="Times New Roman" w:hAnsi="Times New Roman" w:ascii="Times New Roman"/>
          <w:sz w:val="24"/>
          <w:szCs w:val="24"/>
        </w:rPr>
        <w:t xml:space="preserve">i dana 13. siječnja 2015. godine </w:t>
      </w:r>
      <w:r w:rsidRPr="00B238E7">
        <w:rPr>
          <w:rFonts w:cs="Times New Roman" w:hAnsi="Times New Roman" w:ascii="Times New Roman"/>
          <w:sz w:val="24"/>
          <w:szCs w:val="24"/>
        </w:rPr>
        <w:t>podnesen</w:t>
      </w:r>
      <w:r w:rsidR="008433FA">
        <w:rPr>
          <w:rFonts w:cs="Times New Roman" w:hAnsi="Times New Roman" w:ascii="Times New Roman"/>
          <w:sz w:val="24"/>
          <w:szCs w:val="24"/>
        </w:rPr>
        <w:t>i</w:t>
      </w:r>
      <w:r w:rsidRPr="00B238E7">
        <w:rPr>
          <w:rFonts w:cs="Times New Roman" w:hAnsi="Times New Roman" w:ascii="Times New Roman"/>
          <w:sz w:val="24"/>
          <w:szCs w:val="24"/>
        </w:rPr>
        <w:t xml:space="preserve"> raniji prijedlo</w:t>
      </w:r>
      <w:r w:rsidR="00046690" w:rsidRPr="00B238E7">
        <w:rPr>
          <w:rFonts w:cs="Times New Roman" w:hAnsi="Times New Roman" w:ascii="Times New Roman"/>
          <w:sz w:val="24"/>
          <w:szCs w:val="24"/>
        </w:rPr>
        <w:t xml:space="preserve">zi </w:t>
      </w:r>
      <w:r w:rsidRPr="00B238E7">
        <w:rPr>
          <w:rFonts w:cs="Times New Roman" w:hAnsi="Times New Roman" w:ascii="Times New Roman"/>
          <w:sz w:val="24"/>
          <w:szCs w:val="24"/>
        </w:rPr>
        <w:t xml:space="preserve">za pokretanje stečajnog postupka na </w:t>
      </w:r>
      <w:r w:rsidR="00046690" w:rsidRPr="00B238E7">
        <w:rPr>
          <w:rFonts w:cs="Times New Roman" w:hAnsi="Times New Roman" w:ascii="Times New Roman"/>
          <w:sz w:val="24"/>
          <w:szCs w:val="24"/>
        </w:rPr>
        <w:t xml:space="preserve">istim </w:t>
      </w:r>
      <w:r w:rsidRPr="00B238E7">
        <w:rPr>
          <w:rFonts w:cs="Times New Roman" w:hAnsi="Times New Roman" w:ascii="Times New Roman"/>
          <w:sz w:val="24"/>
          <w:szCs w:val="24"/>
        </w:rPr>
        <w:t>dužnikom valjalo je odlučiti kao u izreci.</w:t>
      </w:r>
    </w:p>
    <w:p w:rsidRDefault="00FE6AB2" w:rsidP="00B4324D" w:rsidR="00FE6AB2" w:rsidRPr="00B238E7">
      <w:pPr>
        <w:spacing w:lineRule="auto" w:line="240" w:after="0"/>
        <w:jc w:val="both"/>
        <w:rPr>
          <w:rFonts w:cs="Times New Roman" w:hAnsi="Times New Roman" w:ascii="Times New Roman"/>
          <w:sz w:val="24"/>
          <w:szCs w:val="24"/>
        </w:rPr>
      </w:pPr>
    </w:p>
    <w:p w:rsidRDefault="00FE6AB2" w:rsidP="00B4324D" w:rsidR="00046690"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ab/>
      </w:r>
    </w:p>
    <w:p w:rsidRDefault="00B4324D" w:rsidP="00B4324D" w:rsidR="00B4324D" w:rsidRPr="00B238E7">
      <w:pPr>
        <w:spacing w:lineRule="auto" w:line="240" w:after="0"/>
        <w:jc w:val="center"/>
        <w:rPr>
          <w:rFonts w:cs="Times New Roman" w:hAnsi="Times New Roman" w:ascii="Times New Roman"/>
          <w:sz w:val="24"/>
          <w:szCs w:val="24"/>
        </w:rPr>
      </w:pPr>
      <w:r w:rsidRPr="00B238E7">
        <w:rPr>
          <w:rFonts w:cs="Times New Roman" w:hAnsi="Times New Roman" w:ascii="Times New Roman"/>
          <w:sz w:val="24"/>
          <w:szCs w:val="24"/>
        </w:rPr>
        <w:t xml:space="preserve">U Pazinu, </w:t>
      </w:r>
      <w:r w:rsidR="00046690" w:rsidRPr="00B238E7">
        <w:rPr>
          <w:rFonts w:cs="Times New Roman" w:hAnsi="Times New Roman" w:ascii="Times New Roman"/>
          <w:sz w:val="24"/>
          <w:szCs w:val="24"/>
        </w:rPr>
        <w:t>02. kolovoza</w:t>
      </w:r>
      <w:r w:rsidRPr="00B238E7">
        <w:rPr>
          <w:rFonts w:cs="Times New Roman" w:hAnsi="Times New Roman" w:ascii="Times New Roman"/>
          <w:sz w:val="24"/>
          <w:szCs w:val="24"/>
        </w:rPr>
        <w:t xml:space="preserve"> 201</w:t>
      </w:r>
      <w:r w:rsidR="00046690" w:rsidRPr="00B238E7">
        <w:rPr>
          <w:rFonts w:cs="Times New Roman" w:hAnsi="Times New Roman" w:ascii="Times New Roman"/>
          <w:sz w:val="24"/>
          <w:szCs w:val="24"/>
        </w:rPr>
        <w:t>6</w:t>
      </w:r>
      <w:r w:rsidRPr="00B238E7">
        <w:rPr>
          <w:rFonts w:cs="Times New Roman" w:hAnsi="Times New Roman" w:ascii="Times New Roman"/>
          <w:sz w:val="24"/>
          <w:szCs w:val="24"/>
        </w:rPr>
        <w:t>. godine</w:t>
      </w:r>
    </w:p>
    <w:p w:rsidRDefault="00046690" w:rsidP="00B4324D" w:rsidR="00046690" w:rsidRPr="00B238E7">
      <w:pPr>
        <w:spacing w:lineRule="auto" w:line="240" w:after="0"/>
        <w:jc w:val="center"/>
        <w:rPr>
          <w:rFonts w:cs="Times New Roman" w:hAnsi="Times New Roman" w:ascii="Times New Roman"/>
          <w:sz w:val="24"/>
          <w:szCs w:val="24"/>
        </w:rPr>
      </w:pPr>
    </w:p>
    <w:p w:rsidRDefault="00B4324D" w:rsidP="00B4324D" w:rsidR="00B4324D" w:rsidRPr="00B238E7">
      <w:pPr>
        <w:spacing w:lineRule="auto" w:line="240" w:after="0"/>
        <w:rPr>
          <w:rFonts w:cs="Times New Roman" w:hAnsi="Times New Roman" w:ascii="Times New Roman"/>
          <w:sz w:val="24"/>
          <w:szCs w:val="24"/>
        </w:rPr>
      </w:pPr>
      <w:r w:rsidRPr="00B238E7">
        <w:rPr>
          <w:rFonts w:cs="Times New Roman" w:hAnsi="Times New Roman" w:ascii="Times New Roman"/>
          <w:sz w:val="24"/>
          <w:szCs w:val="24"/>
        </w:rPr>
        <w:t xml:space="preserve">                                                                                        </w:t>
      </w:r>
      <w:r w:rsidRPr="00B238E7">
        <w:rPr>
          <w:rFonts w:cs="Times New Roman" w:hAnsi="Times New Roman" w:ascii="Times New Roman"/>
          <w:sz w:val="24"/>
          <w:szCs w:val="24"/>
        </w:rPr>
        <w:tab/>
      </w:r>
      <w:r w:rsidRPr="00B238E7">
        <w:rPr>
          <w:rFonts w:cs="Times New Roman" w:hAnsi="Times New Roman" w:ascii="Times New Roman"/>
          <w:sz w:val="24"/>
          <w:szCs w:val="24"/>
        </w:rPr>
        <w:tab/>
        <w:t xml:space="preserve"> Stečajn</w:t>
      </w:r>
      <w:r w:rsidR="00FE6AB2" w:rsidRPr="00B238E7">
        <w:rPr>
          <w:rFonts w:cs="Times New Roman" w:hAnsi="Times New Roman" w:ascii="Times New Roman"/>
          <w:sz w:val="24"/>
          <w:szCs w:val="24"/>
        </w:rPr>
        <w:t>a</w:t>
      </w:r>
      <w:r w:rsidRPr="00B238E7">
        <w:rPr>
          <w:rFonts w:cs="Times New Roman" w:hAnsi="Times New Roman" w:ascii="Times New Roman"/>
          <w:sz w:val="24"/>
          <w:szCs w:val="24"/>
        </w:rPr>
        <w:t xml:space="preserve"> su</w:t>
      </w:r>
      <w:r w:rsidR="00FE6AB2" w:rsidRPr="00B238E7">
        <w:rPr>
          <w:rFonts w:cs="Times New Roman" w:hAnsi="Times New Roman" w:ascii="Times New Roman"/>
          <w:sz w:val="24"/>
          <w:szCs w:val="24"/>
        </w:rPr>
        <w:t>tkinja:</w:t>
      </w:r>
    </w:p>
    <w:p w:rsidRDefault="00B4324D" w:rsidP="00B4324D" w:rsidR="00B4324D" w:rsidRPr="00B238E7">
      <w:pPr>
        <w:spacing w:lineRule="auto" w:line="240" w:after="0"/>
        <w:rPr>
          <w:rFonts w:cs="Times New Roman" w:hAnsi="Times New Roman" w:ascii="Times New Roman"/>
          <w:sz w:val="24"/>
          <w:szCs w:val="24"/>
        </w:rPr>
      </w:pPr>
      <w:r w:rsidRPr="00B238E7">
        <w:rPr>
          <w:rFonts w:cs="Times New Roman" w:hAnsi="Times New Roman" w:ascii="Times New Roman"/>
          <w:sz w:val="24"/>
          <w:szCs w:val="24"/>
        </w:rPr>
        <w:t xml:space="preserve">                                                                                          </w:t>
      </w:r>
      <w:r w:rsidRPr="00B238E7">
        <w:rPr>
          <w:rFonts w:cs="Times New Roman" w:hAnsi="Times New Roman" w:ascii="Times New Roman"/>
          <w:sz w:val="24"/>
          <w:szCs w:val="24"/>
        </w:rPr>
        <w:tab/>
      </w:r>
      <w:r w:rsidRPr="00B238E7">
        <w:rPr>
          <w:rFonts w:cs="Times New Roman" w:hAnsi="Times New Roman" w:ascii="Times New Roman"/>
          <w:sz w:val="24"/>
          <w:szCs w:val="24"/>
        </w:rPr>
        <w:tab/>
        <w:t xml:space="preserve"> </w:t>
      </w:r>
      <w:r w:rsidR="00FE6AB2" w:rsidRPr="00B238E7">
        <w:rPr>
          <w:rFonts w:cs="Times New Roman" w:hAnsi="Times New Roman" w:ascii="Times New Roman"/>
          <w:sz w:val="24"/>
          <w:szCs w:val="24"/>
        </w:rPr>
        <w:t>Tijana Licul</w:t>
      </w:r>
      <w:r w:rsidR="00AE6919">
        <w:rPr>
          <w:rFonts w:cs="Times New Roman" w:hAnsi="Times New Roman" w:ascii="Times New Roman"/>
          <w:sz w:val="24"/>
          <w:szCs w:val="24"/>
        </w:rPr>
        <w:t>, v. r.</w:t>
      </w:r>
    </w:p>
    <w:p w:rsidRDefault="00046690" w:rsidP="00B4324D" w:rsidR="00046690" w:rsidRPr="00B238E7">
      <w:pPr>
        <w:spacing w:lineRule="auto" w:line="240" w:after="0"/>
        <w:jc w:val="both"/>
        <w:rPr>
          <w:rFonts w:cs="Times New Roman" w:hAnsi="Times New Roman" w:ascii="Times New Roman"/>
          <w:sz w:val="24"/>
          <w:szCs w:val="24"/>
        </w:rPr>
      </w:pPr>
    </w:p>
    <w:p w:rsidRDefault="00046690" w:rsidP="00B4324D" w:rsidR="00046690">
      <w:pPr>
        <w:spacing w:lineRule="auto" w:line="240" w:after="0"/>
        <w:jc w:val="both"/>
        <w:rPr>
          <w:rFonts w:cs="Times New Roman" w:hAnsi="Times New Roman" w:ascii="Times New Roman"/>
          <w:sz w:val="24"/>
          <w:szCs w:val="24"/>
        </w:rPr>
      </w:pPr>
    </w:p>
    <w:p w:rsidRDefault="00E05C5D" w:rsidP="00B4324D" w:rsidR="00E05C5D">
      <w:pPr>
        <w:spacing w:lineRule="auto" w:line="240" w:after="0"/>
        <w:jc w:val="both"/>
        <w:rPr>
          <w:rFonts w:cs="Times New Roman" w:hAnsi="Times New Roman" w:ascii="Times New Roman"/>
          <w:sz w:val="24"/>
          <w:szCs w:val="24"/>
        </w:rPr>
      </w:pPr>
    </w:p>
    <w:p w:rsidRDefault="00E05C5D" w:rsidP="00B4324D" w:rsidR="00E05C5D" w:rsidRPr="00B238E7">
      <w:pPr>
        <w:spacing w:lineRule="auto" w:line="240" w:after="0"/>
        <w:jc w:val="both"/>
        <w:rPr>
          <w:rFonts w:cs="Times New Roman" w:hAnsi="Times New Roman" w:ascii="Times New Roman"/>
          <w:sz w:val="24"/>
          <w:szCs w:val="24"/>
        </w:rPr>
      </w:pPr>
    </w:p>
    <w:p w:rsidRDefault="00B4324D" w:rsidP="00B4324D" w:rsidR="00B4324D" w:rsidRPr="00B238E7">
      <w:pPr>
        <w:spacing w:lineRule="auto" w:line="240" w:after="0"/>
        <w:jc w:val="both"/>
        <w:rPr>
          <w:rFonts w:cs="Times New Roman" w:hAnsi="Times New Roman" w:ascii="Times New Roman"/>
          <w:sz w:val="24"/>
          <w:szCs w:val="24"/>
        </w:rPr>
      </w:pPr>
      <w:r w:rsidRPr="00B238E7">
        <w:rPr>
          <w:rFonts w:cs="Times New Roman" w:hAnsi="Times New Roman" w:ascii="Times New Roman"/>
          <w:sz w:val="24"/>
          <w:szCs w:val="24"/>
        </w:rPr>
        <w:t>UPUTA O PRAVNOM LIJEKU:</w:t>
      </w:r>
    </w:p>
    <w:p w:rsidRDefault="00B4324D" w:rsidP="00046690" w:rsidR="00B4324D" w:rsidRPr="00B238E7">
      <w:pPr>
        <w:spacing w:lineRule="auto" w:line="240" w:after="0"/>
        <w:ind w:firstLine="708"/>
        <w:jc w:val="both"/>
        <w:rPr>
          <w:rFonts w:cs="Times New Roman" w:hAnsi="Times New Roman" w:ascii="Times New Roman"/>
          <w:sz w:val="24"/>
          <w:szCs w:val="24"/>
        </w:rPr>
      </w:pPr>
      <w:r w:rsidRPr="00B238E7">
        <w:rPr>
          <w:rFonts w:cs="Times New Roman" w:hAnsi="Times New Roman" w:ascii="Times New Roman"/>
          <w:sz w:val="24"/>
          <w:szCs w:val="24"/>
        </w:rPr>
        <w:t>Protiv ovog rješenja nezadovoljna stranka može izjaviti žalbu u roku od 8 dana od dana primitka ovog rješenja. Žalba se podnosi ovom sudu u tri istovjetna primjerka, a o žalbi odlučuje Visoki trgovački sud u Zagrebu.</w:t>
      </w:r>
    </w:p>
    <w:p w:rsidRDefault="00B4324D" w:rsidP="00B4324D" w:rsidR="00B4324D" w:rsidRPr="00B238E7">
      <w:pPr>
        <w:spacing w:lineRule="auto" w:line="240" w:after="0"/>
        <w:rPr>
          <w:rFonts w:cs="Times New Roman" w:hAnsi="Times New Roman" w:ascii="Times New Roman"/>
          <w:sz w:val="24"/>
          <w:szCs w:val="24"/>
        </w:rPr>
      </w:pPr>
    </w:p>
    <w:p w:rsidRDefault="00B4324D" w:rsidP="00B4324D" w:rsidR="00B4324D" w:rsidRPr="00B238E7">
      <w:pPr>
        <w:spacing w:lineRule="auto" w:line="240" w:after="0"/>
        <w:rPr>
          <w:rFonts w:cs="Times New Roman" w:hAnsi="Times New Roman" w:ascii="Times New Roman"/>
          <w:sz w:val="24"/>
          <w:szCs w:val="24"/>
        </w:rPr>
      </w:pPr>
      <w:r w:rsidRPr="00B238E7">
        <w:rPr>
          <w:rFonts w:cs="Times New Roman" w:hAnsi="Times New Roman" w:ascii="Times New Roman"/>
          <w:sz w:val="24"/>
          <w:szCs w:val="24"/>
        </w:rPr>
        <w:t>DNA:</w:t>
      </w:r>
    </w:p>
    <w:p w:rsidRDefault="00B4324D" w:rsidP="00046690" w:rsidR="00B4324D" w:rsidRPr="00B238E7">
      <w:pPr>
        <w:spacing w:lineRule="auto" w:line="240" w:after="0"/>
        <w:ind w:firstLine="708"/>
        <w:jc w:val="both"/>
        <w:rPr>
          <w:rFonts w:cs="Times New Roman" w:hAnsi="Times New Roman" w:ascii="Times New Roman"/>
          <w:sz w:val="24"/>
          <w:szCs w:val="24"/>
        </w:rPr>
      </w:pPr>
      <w:r w:rsidRPr="00B238E7">
        <w:rPr>
          <w:rFonts w:cs="Times New Roman" w:hAnsi="Times New Roman" w:ascii="Times New Roman"/>
          <w:sz w:val="24"/>
          <w:szCs w:val="24"/>
        </w:rPr>
        <w:t>-</w:t>
      </w:r>
      <w:r w:rsidR="00FE6AB2" w:rsidRPr="00B238E7">
        <w:rPr>
          <w:rFonts w:cs="Times New Roman" w:hAnsi="Times New Roman" w:ascii="Times New Roman"/>
          <w:sz w:val="24"/>
          <w:szCs w:val="24"/>
        </w:rPr>
        <w:t xml:space="preserve"> </w:t>
      </w:r>
      <w:r w:rsidRPr="00B238E7">
        <w:rPr>
          <w:rFonts w:cs="Times New Roman" w:hAnsi="Times New Roman" w:ascii="Times New Roman"/>
          <w:sz w:val="24"/>
          <w:szCs w:val="24"/>
        </w:rPr>
        <w:t xml:space="preserve">predlagatelj </w:t>
      </w:r>
    </w:p>
    <w:p w:rsidRDefault="00B4324D" w:rsidP="00046690" w:rsidR="00B4324D" w:rsidRPr="00B238E7">
      <w:pPr>
        <w:spacing w:lineRule="auto" w:line="240" w:after="0"/>
        <w:ind w:firstLine="708"/>
        <w:rPr>
          <w:rFonts w:cs="Times New Roman" w:hAnsi="Times New Roman" w:ascii="Times New Roman"/>
          <w:sz w:val="24"/>
          <w:szCs w:val="24"/>
        </w:rPr>
      </w:pPr>
      <w:r w:rsidRPr="00B238E7">
        <w:rPr>
          <w:rFonts w:cs="Times New Roman" w:hAnsi="Times New Roman" w:ascii="Times New Roman"/>
          <w:sz w:val="24"/>
          <w:szCs w:val="24"/>
        </w:rPr>
        <w:t>- sudski registar ovog suda</w:t>
      </w:r>
      <w:r w:rsidR="00D63948">
        <w:rPr>
          <w:rFonts w:cs="Times New Roman" w:hAnsi="Times New Roman" w:ascii="Times New Roman"/>
          <w:sz w:val="24"/>
          <w:szCs w:val="24"/>
        </w:rPr>
        <w:t xml:space="preserve"> radi zabilježbe da je podnesen prijedlog za otvaranjem stečajnog postupka</w:t>
      </w:r>
    </w:p>
    <w:p w:rsidRDefault="00B4324D" w:rsidP="00FE6AB2" w:rsidR="00B4324D" w:rsidRPr="00B238E7">
      <w:pPr>
        <w:spacing w:lineRule="auto" w:line="240" w:after="0"/>
        <w:ind w:firstLine="708"/>
        <w:rPr>
          <w:rFonts w:cs="Times New Roman" w:hAnsi="Times New Roman" w:ascii="Times New Roman"/>
          <w:sz w:val="24"/>
          <w:szCs w:val="24"/>
        </w:rPr>
      </w:pPr>
      <w:r w:rsidRPr="00B238E7">
        <w:rPr>
          <w:rFonts w:cs="Times New Roman" w:hAnsi="Times New Roman" w:ascii="Times New Roman"/>
          <w:sz w:val="24"/>
          <w:szCs w:val="24"/>
        </w:rPr>
        <w:t>- oglasna ploča suda 8 dana</w:t>
      </w:r>
    </w:p>
    <w:p w:rsidRDefault="00FE6AB2" w:rsidP="00FE6AB2" w:rsidR="00FE6AB2" w:rsidRPr="00B238E7">
      <w:pPr>
        <w:spacing w:lineRule="auto" w:line="240" w:after="0"/>
        <w:ind w:firstLine="708"/>
        <w:rPr>
          <w:rFonts w:cs="Times New Roman" w:hAnsi="Times New Roman" w:ascii="Times New Roman"/>
          <w:sz w:val="24"/>
          <w:szCs w:val="24"/>
        </w:rPr>
      </w:pPr>
      <w:r w:rsidRPr="00B238E7">
        <w:rPr>
          <w:rFonts w:cs="Times New Roman" w:hAnsi="Times New Roman" w:ascii="Times New Roman"/>
          <w:sz w:val="24"/>
          <w:szCs w:val="24"/>
        </w:rPr>
        <w:t>- TS RI na broj: St-227/14</w:t>
      </w:r>
      <w:r w:rsidR="00D63948">
        <w:rPr>
          <w:rFonts w:cs="Times New Roman" w:hAnsi="Times New Roman" w:ascii="Times New Roman"/>
          <w:sz w:val="24"/>
          <w:szCs w:val="24"/>
        </w:rPr>
        <w:t xml:space="preserve"> – po pravomoćnosti</w:t>
      </w:r>
    </w:p>
    <w:p w:rsidRDefault="00FE6AB2" w:rsidP="00FE6AB2" w:rsidR="00FE6AB2" w:rsidRPr="00B238E7">
      <w:pPr>
        <w:spacing w:lineRule="auto" w:line="240" w:after="0"/>
        <w:ind w:firstLine="708"/>
        <w:rPr>
          <w:rFonts w:cs="Times New Roman" w:hAnsi="Times New Roman" w:ascii="Times New Roman"/>
          <w:sz w:val="24"/>
          <w:szCs w:val="24"/>
        </w:rPr>
      </w:pPr>
      <w:r w:rsidRPr="00B238E7">
        <w:rPr>
          <w:rFonts w:cs="Times New Roman" w:hAnsi="Times New Roman" w:ascii="Times New Roman"/>
          <w:sz w:val="24"/>
          <w:szCs w:val="24"/>
        </w:rPr>
        <w:t>- ovosudni spis broj: St-21/15</w:t>
      </w:r>
      <w:r w:rsidR="00D63948">
        <w:rPr>
          <w:rFonts w:cs="Times New Roman" w:hAnsi="Times New Roman" w:ascii="Times New Roman"/>
          <w:sz w:val="24"/>
          <w:szCs w:val="24"/>
        </w:rPr>
        <w:t xml:space="preserve"> – po pravomoćnosti</w:t>
      </w:r>
    </w:p>
    <w:p w:rsidRDefault="00B4324D" w:rsidP="00B4324D" w:rsidR="00B4324D" w:rsidRPr="00B238E7">
      <w:pPr>
        <w:spacing w:lineRule="auto" w:line="240" w:after="0"/>
        <w:rPr>
          <w:rFonts w:cs="Times New Roman" w:hAnsi="Times New Roman" w:ascii="Times New Roman"/>
          <w:sz w:val="24"/>
          <w:szCs w:val="24"/>
        </w:rPr>
      </w:pPr>
    </w:p>
    <w:p w:rsidRDefault="000014E8" w:rsidP="00B4324D" w:rsidR="000014E8" w:rsidRPr="00B238E7">
      <w:pPr>
        <w:spacing w:lineRule="auto" w:line="240" w:after="0"/>
        <w:rPr>
          <w:rFonts w:cs="Times New Roman" w:hAnsi="Times New Roman" w:ascii="Times New Roman"/>
          <w:sz w:val="24"/>
          <w:szCs w:val="24"/>
        </w:rPr>
      </w:pPr>
    </w:p>
    <w:sectPr w:rsidSect="00B4324D" w:rsidR="000014E8" w:rsidRPr="00B238E7">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24D" w:rsidP="00B4324D" w:rsidR="00B4324D">
      <w:pPr>
        <w:spacing w:lineRule="auto" w:line="240" w:after="0"/>
      </w:pPr>
      <w:r>
        <w:separator/>
      </w:r>
    </w:p>
  </w:endnote>
  <w:endnote w:id="0" w:type="continuationSeparator">
    <w:p w:rsidRDefault="00B4324D" w:rsidP="00B4324D" w:rsidR="00B4324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9" w:usb1="4000ACFF" w:usb0="E1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24D" w:rsidP="00B4324D" w:rsidR="00B4324D">
      <w:pPr>
        <w:spacing w:lineRule="auto" w:line="240" w:after="0"/>
      </w:pPr>
      <w:r>
        <w:separator/>
      </w:r>
    </w:p>
  </w:footnote>
  <w:footnote w:id="0" w:type="continuationSeparator">
    <w:p w:rsidRDefault="00B4324D" w:rsidP="00B4324D" w:rsidR="00B4324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3408069"/>
      <w:docPartObj>
        <w:docPartGallery w:val="Page Numbers (Top of Page)"/>
        <w:docPartUnique/>
      </w:docPartObj>
    </w:sdtPr>
    <w:sdtEndPr>
      <w:rPr>
        <w:rFonts w:cs="Times New Roman" w:hAnsi="Times New Roman" w:ascii="Times New Roman"/>
        <w:sz w:val="24"/>
        <w:szCs w:val="24"/>
      </w:rPr>
    </w:sdtEndPr>
    <w:sdtContent>
      <w:p w:rsidRDefault="00B4324D" w:rsidP="00B4324D" w:rsidR="00B4324D" w:rsidRPr="00B4324D">
        <w:pPr>
          <w:pStyle w:val="Zaglavlje"/>
          <w:ind w:firstLine="4248"/>
          <w:jc w:val="center"/>
          <w:rPr>
            <w:rFonts w:cs="Times New Roman" w:hAnsi="Times New Roman" w:ascii="Times New Roman"/>
            <w:sz w:val="24"/>
            <w:szCs w:val="24"/>
          </w:rPr>
        </w:pPr>
        <w:r w:rsidRPr="00B4324D">
          <w:rPr>
            <w:rFonts w:cs="Times New Roman" w:hAnsi="Times New Roman" w:ascii="Times New Roman"/>
            <w:sz w:val="24"/>
            <w:szCs w:val="24"/>
          </w:rPr>
          <w:fldChar w:fldCharType="begin"/>
        </w:r>
        <w:r w:rsidRPr="00B4324D">
          <w:rPr>
            <w:rFonts w:cs="Times New Roman" w:hAnsi="Times New Roman" w:ascii="Times New Roman"/>
            <w:sz w:val="24"/>
            <w:szCs w:val="24"/>
          </w:rPr>
          <w:instrText>PAGE   \* MERGEFORMAT</w:instrText>
        </w:r>
        <w:r w:rsidRPr="00B4324D">
          <w:rPr>
            <w:rFonts w:cs="Times New Roman" w:hAnsi="Times New Roman" w:ascii="Times New Roman"/>
            <w:sz w:val="24"/>
            <w:szCs w:val="24"/>
          </w:rPr>
          <w:fldChar w:fldCharType="separate"/>
        </w:r>
        <w:r w:rsidR="00822481">
          <w:rPr>
            <w:rFonts w:cs="Times New Roman" w:hAnsi="Times New Roman" w:ascii="Times New Roman"/>
            <w:noProof/>
            <w:sz w:val="24"/>
            <w:szCs w:val="24"/>
          </w:rPr>
          <w:t>3</w:t>
        </w:r>
        <w:r w:rsidRPr="00B4324D">
          <w:rPr>
            <w:rFonts w:cs="Times New Roman" w:hAnsi="Times New Roman" w:ascii="Times New Roman"/>
            <w:sz w:val="24"/>
            <w:szCs w:val="24"/>
          </w:rPr>
          <w:fldChar w:fldCharType="end"/>
        </w:r>
        <w:r>
          <w:rPr>
            <w:rFonts w:cs="Times New Roman" w:hAnsi="Times New Roman" w:ascii="Times New Roman"/>
            <w:sz w:val="24"/>
            <w:szCs w:val="24"/>
          </w:rPr>
          <w:tab/>
        </w:r>
        <w:r>
          <w:rPr>
            <w:rFonts w:cs="Times New Roman" w:hAnsi="Times New Roman" w:ascii="Times New Roman"/>
            <w:sz w:val="24"/>
            <w:szCs w:val="24"/>
          </w:rPr>
          <w:tab/>
          <w:t>Posl. broj: 4 St-684/16 -</w:t>
        </w:r>
        <w:r w:rsidR="00AE6919">
          <w:rPr>
            <w:rFonts w:cs="Times New Roman" w:hAnsi="Times New Roman" w:ascii="Times New Roman"/>
            <w:sz w:val="24"/>
            <w:szCs w:val="24"/>
          </w:rPr>
          <w:t>3</w:t>
        </w:r>
      </w:p>
    </w:sdtContent>
  </w:sdt>
  <w:p w:rsidRDefault="00B4324D" w:rsidR="00B432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324D" w:rsidP="00B4324D" w:rsidR="00B4324D">
    <w:pPr>
      <w:pStyle w:val="Zaglavlje"/>
      <w:jc w:val="right"/>
    </w:pPr>
    <w:r>
      <w:rPr>
        <w:rFonts w:cs="Times New Roman" w:hAnsi="Times New Roman" w:ascii="Times New Roman"/>
        <w:sz w:val="24"/>
        <w:szCs w:val="24"/>
      </w:rPr>
      <w:t>Posl. broj: 4 St-684/16 -</w:t>
    </w:r>
    <w:r w:rsidR="00AE6919">
      <w:rPr>
        <w:rFonts w:cs="Times New Roman" w:hAnsi="Times New Roman" w:ascii="Times New Roman"/>
        <w:sz w:val="24"/>
        <w:szCs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BE1E29"/>
    <w:multiLevelType w:val="hybridMultilevel"/>
    <w:tmpl w:val="817AB6E0"/>
    <w:lvl w:tplc="66BE142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8"/>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24D"/>
    <w:rsid w:val="000014E8"/>
    <w:rsid w:val="00046690"/>
    <w:rsid w:val="001305A0"/>
    <w:rsid w:val="00822481"/>
    <w:rsid w:val="008433FA"/>
    <w:rsid w:val="00AE6919"/>
    <w:rsid w:val="00B238E7"/>
    <w:rsid w:val="00B4324D"/>
    <w:rsid w:val="00D63948"/>
    <w:rsid w:val="00E05C5D"/>
    <w:rsid w:val="00FE6A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32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f01" w:type="character">
    <w:name w:val="f01"/>
    <w:basedOn w:val="Zadanifontodlomka"/>
    <w:rsid w:val="00B4324D"/>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B4324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324D"/>
    <w:rPr>
      <w:rFonts w:cs="Tahoma" w:hAnsi="Tahoma" w:ascii="Tahoma"/>
      <w:sz w:val="16"/>
      <w:szCs w:val="16"/>
    </w:rPr>
  </w:style>
  <w:style w:styleId="Zaglavlje" w:type="paragraph">
    <w:name w:val="header"/>
    <w:basedOn w:val="Normal"/>
    <w:link w:val="ZaglavljeChar"/>
    <w:uiPriority w:val="99"/>
    <w:unhideWhenUsed/>
    <w:rsid w:val="00B4324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324D"/>
  </w:style>
  <w:style w:styleId="Podnoje" w:type="paragraph">
    <w:name w:val="footer"/>
    <w:basedOn w:val="Normal"/>
    <w:link w:val="PodnojeChar"/>
    <w:uiPriority w:val="99"/>
    <w:unhideWhenUsed/>
    <w:rsid w:val="00B4324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324D"/>
  </w:style>
  <w:style w:styleId="Odlomakpopisa" w:type="paragraph">
    <w:name w:val="List Paragraph"/>
    <w:basedOn w:val="Normal"/>
    <w:uiPriority w:val="34"/>
    <w:qFormat/>
    <w:rsid w:val="00046690"/>
    <w:pPr>
      <w:ind w:left="720"/>
      <w:contextualSpacing/>
    </w:pPr>
  </w:style>
  <w:style w:styleId="Tekstrezerviranogmjesta" w:type="character">
    <w:name w:val="Placeholder Text"/>
    <w:basedOn w:val="Zadanifontodlomka"/>
    <w:uiPriority w:val="99"/>
    <w:semiHidden/>
    <w:rsid w:val="00822481"/>
    <w:rPr>
      <w:color w:val="808080"/>
      <w:bdr w:space="0" w:sz="0" w:color="auto" w:val="none"/>
      <w:shd w:fill="auto" w:color="auto" w:val="clear"/>
    </w:rPr>
  </w:style>
  <w:style w:customStyle="true" w:styleId="eSPISCCParagraphDefaultFont" w:type="character">
    <w:name w:val="eSPIS_CC_Paragraph Default Font"/>
    <w:basedOn w:val="Zadanifontodlomka"/>
    <w:rsid w:val="008224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248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24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24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32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f01" w:type="character">
    <w:name w:val="f01"/>
    <w:basedOn w:val="Zadanifontodlomka"/>
    <w:rsid w:val="00B4324D"/>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B4324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324D"/>
    <w:rPr>
      <w:rFonts w:ascii="Tahoma" w:cs="Tahoma" w:hAnsi="Tahoma"/>
      <w:sz w:val="16"/>
      <w:szCs w:val="16"/>
    </w:rPr>
  </w:style>
  <w:style w:styleId="Zaglavlje" w:type="paragraph">
    <w:name w:val="header"/>
    <w:basedOn w:val="Normal"/>
    <w:link w:val="ZaglavljeChar"/>
    <w:uiPriority w:val="99"/>
    <w:unhideWhenUsed/>
    <w:rsid w:val="00B4324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324D"/>
  </w:style>
  <w:style w:styleId="Podnoje" w:type="paragraph">
    <w:name w:val="footer"/>
    <w:basedOn w:val="Normal"/>
    <w:link w:val="PodnojeChar"/>
    <w:uiPriority w:val="99"/>
    <w:unhideWhenUsed/>
    <w:rsid w:val="00B4324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324D"/>
  </w:style>
  <w:style w:styleId="Odlomakpopisa" w:type="paragraph">
    <w:name w:val="List Paragraph"/>
    <w:basedOn w:val="Normal"/>
    <w:uiPriority w:val="34"/>
    <w:qFormat/>
    <w:rsid w:val="00046690"/>
    <w:pPr>
      <w:ind w:left="720"/>
      <w:contextualSpacing/>
    </w:pPr>
  </w:style>
  <w:style w:styleId="Tekstrezerviranogmjesta" w:type="character">
    <w:name w:val="Placeholder Text"/>
    <w:basedOn w:val="Zadanifontodlomka"/>
    <w:uiPriority w:val="99"/>
    <w:semiHidden/>
    <w:rsid w:val="00822481"/>
    <w:rPr>
      <w:color w:val="808080"/>
      <w:bdr w:color="auto" w:space="0" w:sz="0" w:val="none"/>
      <w:shd w:color="auto" w:fill="auto" w:val="clear"/>
    </w:rPr>
  </w:style>
  <w:style w:customStyle="1" w:styleId="eSPISCCParagraphDefaultFont" w:type="character">
    <w:name w:val="eSPIS_CC_Paragraph Default Font"/>
    <w:basedOn w:val="Zadanifontodlomka"/>
    <w:rsid w:val="008224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248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24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24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0989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kolovoza 2016.</izvorni_sadrzaj>
    <derivirana_varijabla naziv="DomainObject.DatumDonosenjaOdluke_1">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NA UVIDU ST-21/15 13.05.2016.</izvorni_sadrzaj>
    <derivirana_varijabla naziv="DomainObject.Predmet.Opis_1">PRILEŽI NA UVIDU ST-21/15 13.05.2016.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St-684/2016</izvorni_sadrzaj>
    <derivirana_varijabla naziv="DomainObject.Predmet.OznakaBroj_1">St-684/2016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CODEN d.o.o. PULA</izvorni_sadrzaj>
    <derivirana_varijabla naziv="DomainObject.Predmet.ProtustrankaFormated_1">  CODEN d.o.o. PULA</derivirana_varijabla>
  </DomainObject.Predmet.ProtustrankaFormated>
  <DomainObject.Predmet.ProtustrankaFormatedOIB>
    <izvorni_sadrzaj>  CODEN d.o.o. PULA, OIB 87147808289</izvorni_sadrzaj>
    <derivirana_varijabla naziv="DomainObject.Predmet.ProtustrankaFormatedOIB_1">  CODEN d.o.o. PULA, OIB 87147808289</derivirana_varijabla>
  </DomainObject.Predmet.ProtustrankaFormatedOIB>
  <DomainObject.Predmet.ProtustrankaFormatedWithAdress>
    <izvorni_sadrzaj> CODEN d.o.o. PULA, Flaciusova 6, 52100 Pula</izvorni_sadrzaj>
    <derivirana_varijabla naziv="DomainObject.Predmet.ProtustrankaFormatedWithAdress_1"> CODEN d.o.o. PULA, Flaciusova 6, 52100 Pula</derivirana_varijabla>
  </DomainObject.Predmet.ProtustrankaFormatedWithAdress>
  <DomainObject.Predmet.ProtustrankaFormatedWithAdressOIB>
    <izvorni_sadrzaj> CODEN d.o.o. PULA, OIB 87147808289, Flaciusova 6, 52100 Pula</izvorni_sadrzaj>
    <derivirana_varijabla naziv="DomainObject.Predmet.ProtustrankaFormatedWithAdressOIB_1"> CODEN d.o.o. PULA, OIB 87147808289, Flaciusova 6, 52100 Pula</derivirana_varijabla>
  </DomainObject.Predmet.ProtustrankaFormatedWithAdressOIB>
  <DomainObject.Predmet.ProtustrankaWithAdress>
    <izvorni_sadrzaj>CODEN d.o.o. PULA Flaciusova 6, 52100 Pula</izvorni_sadrzaj>
    <derivirana_varijabla naziv="DomainObject.Predmet.ProtustrankaWithAdress_1">CODEN d.o.o. PULA Flaciusova 6, 52100 Pula</derivirana_varijabla>
  </DomainObject.Predmet.ProtustrankaWithAdress>
  <DomainObject.Predmet.ProtustrankaWithAdressOIB>
    <izvorni_sadrzaj>CODEN d.o.o. PULA, OIB 87147808289, Flaciusova 6, 52100 Pula</izvorni_sadrzaj>
    <derivirana_varijabla naziv="DomainObject.Predmet.ProtustrankaWithAdressOIB_1">CODEN d.o.o. PULA, OIB 87147808289, Flaciusova 6, 52100 Pula</derivirana_varijabla>
  </DomainObject.Predmet.ProtustrankaWithAdressOIB>
  <DomainObject.Predmet.ProtustrankaNazivFormated>
    <izvorni_sadrzaj>CODEN d.o.o. PULA</izvorni_sadrzaj>
    <derivirana_varijabla naziv="DomainObject.Predmet.ProtustrankaNazivFormated_1">CODEN d.o.o. PULA</derivirana_varijabla>
  </DomainObject.Predmet.ProtustrankaNazivFormated>
  <DomainObject.Predmet.ProtustrankaNazivFormatedOIB>
    <izvorni_sadrzaj>CODEN d.o.o. PULA, OIB 87147808289</izvorni_sadrzaj>
    <derivirana_varijabla naziv="DomainObject.Predmet.ProtustrankaNazivFormatedOIB_1">CODEN d.o.o. PULA, OIB 87147808289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19481496.31</izvorni_sadrzaj>
    <derivirana_varijabla naziv="DomainObject.Predmet.TrenutnaVrijednost_1">19481496.31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Ivić</izvorni_sadrzaj>
    <derivirana_varijabla naziv="DomainObject.Predmet.Zapisnicar_1">Danijela Ivić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CODEN d.o.o. PULA</item>
    </izvorni_sadrzaj>
    <derivirana_varijabla naziv="DomainObject.Predmet.ProtuStrankaListFormated_1">
      <item>CODEN d.o.o. PULA</item>
    </derivirana_varijabla>
  </DomainObject.Predmet.ProtuStrankaListFormated>
  <DomainObject.Predmet.ProtuStrankaListFormatedOIB>
    <izvorni_sadrzaj>
      <item>CODEN d.o.o. PULA, OIB 87147808289</item>
    </izvorni_sadrzaj>
    <derivirana_varijabla naziv="DomainObject.Predmet.ProtuStrankaListFormatedOIB_1">
      <item>CODEN d.o.o. PULA, OIB 87147808289</item>
    </derivirana_varijabla>
  </DomainObject.Predmet.ProtuStrankaListFormatedOIB>
  <DomainObject.Predmet.ProtuStrankaListFormatedWithAdress>
    <izvorni_sadrzaj>
      <item>CODEN d.o.o. PULA, Flaciusova 6, 52100 Pula</item>
    </izvorni_sadrzaj>
    <derivirana_varijabla naziv="DomainObject.Predmet.ProtuStrankaListFormatedWithAdress_1">
      <item>CODEN d.o.o. PULA, Flaciusova 6, 52100 Pula</item>
    </derivirana_varijabla>
  </DomainObject.Predmet.ProtuStrankaListFormatedWithAdress>
  <DomainObject.Predmet.ProtuStrankaListFormatedWithAdressOIB>
    <izvorni_sadrzaj>
      <item>CODEN d.o.o. PULA, OIB 87147808289, Flaciusova 6, 52100 Pula</item>
    </izvorni_sadrzaj>
    <derivirana_varijabla naziv="DomainObject.Predmet.ProtuStrankaListFormatedWithAdressOIB_1">
      <item>CODEN d.o.o. PULA, OIB 87147808289, Flaciusova 6, 52100 Pula</item>
    </derivirana_varijabla>
  </DomainObject.Predmet.ProtuStrankaListFormatedWithAdressOIB>
  <DomainObject.Predmet.ProtuStrankaListNazivFormated>
    <izvorni_sadrzaj>
      <item>CODEN d.o.o. PULA</item>
    </izvorni_sadrzaj>
    <derivirana_varijabla naziv="DomainObject.Predmet.ProtuStrankaListNazivFormated_1">
      <item>CODEN d.o.o. PULA</item>
    </derivirana_varijabla>
  </DomainObject.Predmet.ProtuStrankaListNazivFormated>
  <DomainObject.Predmet.ProtuStrankaListNazivFormatedOIB>
    <izvorni_sadrzaj>
      <item>CODEN d.o.o. PULA, OIB 87147808289</item>
    </izvorni_sadrzaj>
    <derivirana_varijabla naziv="DomainObject.Predmet.ProtuStrankaListNazivFormatedOIB_1">
      <item>CODEN d.o.o. PULA, OIB 87147808289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2016.</izvorni_sadrzaj>
    <derivirana_varijabla naziv="DomainObject.Datum_1">3.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CODEN d.o.o. PULA</izvorni_sadrzaj>
    <derivirana_varijabla naziv="DomainObject.Predmet.ProtustrankaIDrugi_1">CODEN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CODEN d.o.o. PULA, OIB 87147808289, Flaciusova 6, 52100 Pula</izvorni_sadrzaj>
    <derivirana_varijabla naziv="DomainObject.Predmet.ProtustrankaIDrugiAdressOIB_1">CODEN d.o.o. PULA, OIB 87147808289, Flaciusova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CODEN d.o.o. PULA</item>
    </izvorni_sadrzaj>
    <derivirana_varijabla naziv="DomainObject.Predmet.SudioniciListNaziv_1">
      <item>FINANCIJSKA AGENCIJA, RC RIJEKA, PODRUŽNICA PULA, PULA</item>
      <item>CODEN d.o.o. PULA</item>
    </derivirana_varijabla>
  </DomainObject.Predmet.SudioniciListNaziv>
  <DomainObject.Predmet.SudioniciListAdressOIB>
    <izvorni_sadrzaj>
      <item>FINANCIJSKA AGENCIJA, RC RIJEKA, PODRUŽNICA PULA, PULA, OIB 85821130368, Ulica grada Vukovara 70,10000 Zagreb</item>
      <item>CODEN d.o.o. PULA, OIB 87147808289, Flaciusova 6,52100 Pula</item>
    </izvorni_sadrzaj>
    <derivirana_varijabla naziv="DomainObject.Predmet.SudioniciListAdressOIB_1">
      <item>FINANCIJSKA AGENCIJA, RC RIJEKA, PODRUŽNICA PULA, PULA, OIB 85821130368, Ulica grada Vukovara 70,10000 Zagreb</item>
      <item>CODEN d.o.o. PULA, OIB 87147808289, Flaciusova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87147808289</item>
    </izvorni_sadrzaj>
    <derivirana_varijabla naziv="DomainObject.Predmet.SudioniciListNazivOIB_1">
      <item>, OIB 85821130368</item>
      <item>, OIB 87147808289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06EE1B-7117-4A15-AC72-EDC9901052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4799</properties:Characters>
  <properties:Lines>121</properties:Lines>
  <properties:Paragraphs>36</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2016-08-02T10:33:00Z</dcterms:created>
  <dc:creator>Tijana Licul</dc:creator>
  <cp:lastModifiedBy>Jasmina Matika</cp:lastModifiedBy>
  <cp:lastPrinted>2016-08-03T10:16:00Z</cp:lastPrinted>
  <dcterms:modified xmlns:xsi="http://www.w3.org/2001/XMLSchema-instance" xsi:type="dcterms:W3CDTF">2016-08-03T11:40:00Z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