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951e" w14:paraId="fb3951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F6FD9" w:rsidP="003F6FD9" w:rsidR="003F6FD9">
      <w:pPr>
        <w:jc w:val="right"/>
        <w:rPr>
          <w:rFonts w:cs="Arial" w:hAnsi="Arial" w:ascii="Arial"/>
          <w:b/>
          <w:bCs/>
        </w:rPr>
      </w:pPr>
      <w:r>
        <w:rPr>
          <w:rFonts w:cs="Arial" w:hAnsi="Arial" w:ascii="Arial"/>
        </w:rPr>
        <w:t>7 St-1369/2016-2</w:t>
      </w:r>
      <w:r w:rsidR="00BB427B">
        <w:rPr>
          <w:rFonts w:cs="Arial" w:hAnsi="Arial" w:ascii="Arial"/>
        </w:rPr>
        <w:t>4</w:t>
      </w:r>
      <w:bookmarkStart w:name="_GoBack" w:id="0"/>
      <w:bookmarkEnd w:id="0"/>
      <w:r>
        <w:rPr>
          <w:rFonts w:cs="Arial" w:hAnsi="Arial" w:ascii="Arial"/>
        </w:rPr>
        <w:t>.</w:t>
      </w:r>
      <w:r>
        <w:rPr>
          <w:rFonts w:cs="Arial" w:hAnsi="Arial" w:ascii="Arial"/>
          <w:b/>
          <w:bCs/>
        </w:rPr>
        <w:t xml:space="preserve"> </w:t>
      </w:r>
    </w:p>
    <w:p w:rsidRDefault="003F6FD9" w:rsidP="003F6FD9" w:rsidR="003F6FD9">
      <w:pPr>
        <w:jc w:val="right"/>
        <w:rPr>
          <w:rFonts w:cs="Arial" w:hAnsi="Arial" w:ascii="Arial"/>
          <w:b/>
          <w:bCs/>
        </w:rPr>
      </w:pPr>
    </w:p>
    <w:p w:rsidRDefault="003F6FD9" w:rsidP="003F6FD9" w:rsidR="003F6FD9">
      <w:pPr>
        <w:jc w:val="center"/>
        <w:rPr>
          <w:rFonts w:cs="Arial" w:hAnsi="Arial" w:ascii="Arial"/>
          <w:b/>
          <w:bCs/>
        </w:rPr>
      </w:pPr>
      <w:r>
        <w:rPr>
          <w:rFonts w:cs="Arial" w:hAnsi="Arial" w:ascii="Arial"/>
          <w:b/>
          <w:bCs/>
        </w:rPr>
        <w:t>R E P U B L I K A   H R V A T S K A</w:t>
      </w:r>
    </w:p>
    <w:p w:rsidRDefault="003F6FD9" w:rsidP="003F6FD9" w:rsidR="003F6FD9">
      <w:pPr>
        <w:jc w:val="center"/>
        <w:rPr>
          <w:rFonts w:cs="Arial" w:hAnsi="Arial" w:ascii="Arial"/>
          <w:b/>
          <w:bCs/>
        </w:rPr>
      </w:pPr>
    </w:p>
    <w:p w:rsidRDefault="003F6FD9" w:rsidP="003F6FD9" w:rsidR="003F6FD9">
      <w:pPr>
        <w:jc w:val="center"/>
        <w:rPr>
          <w:rFonts w:cs="Arial" w:hAnsi="Arial" w:ascii="Arial"/>
          <w:b/>
          <w:bCs/>
        </w:rPr>
      </w:pPr>
      <w:r>
        <w:rPr>
          <w:rFonts w:cs="Arial" w:hAnsi="Arial" w:ascii="Arial"/>
          <w:b/>
          <w:bCs/>
        </w:rPr>
        <w:t>R J E Š E N J E</w:t>
      </w:r>
    </w:p>
    <w:p w:rsidRDefault="003F6FD9" w:rsidP="003F6FD9" w:rsidR="003F6FD9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 xml:space="preserve">                                       </w:t>
      </w:r>
    </w:p>
    <w:p w:rsidRDefault="003F6FD9" w:rsidP="003F6FD9" w:rsidR="003F6FD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stečajnom postupku nad stečajnim dužnikom GEO GRADNJA 2010 d.o.o. za fotogrametrijske i geodetske poslove u stečaju iz Zagreba, </w:t>
      </w:r>
      <w:proofErr w:type="spellStart"/>
      <w:r>
        <w:rPr>
          <w:rFonts w:cs="Arial" w:hAnsi="Arial" w:ascii="Arial"/>
        </w:rPr>
        <w:t>Kajfešov</w:t>
      </w:r>
      <w:proofErr w:type="spellEnd"/>
      <w:r>
        <w:rPr>
          <w:rFonts w:cs="Arial" w:hAnsi="Arial" w:ascii="Arial"/>
        </w:rPr>
        <w:t xml:space="preserve"> brijeg 4, OIB 88566206716, temeljem čl.342.Zakona o parničnom postupku, dana 12. srpnja 2017. godine</w:t>
      </w:r>
    </w:p>
    <w:p w:rsidRDefault="003F6FD9" w:rsidP="003F6FD9" w:rsidR="003F6FD9">
      <w:pPr>
        <w:jc w:val="both"/>
        <w:rPr>
          <w:rFonts w:cs="Arial" w:hAnsi="Arial" w:ascii="Arial"/>
        </w:rPr>
      </w:pPr>
    </w:p>
    <w:p w:rsidRDefault="003F6FD9" w:rsidP="003F6FD9" w:rsidR="003F6FD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 j e</w:t>
      </w:r>
    </w:p>
    <w:p w:rsidRDefault="003F6FD9" w:rsidP="003F6FD9" w:rsidR="003F6FD9">
      <w:pPr>
        <w:ind w:firstLine="720" w:right="-14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>Ispravlja</w:t>
      </w:r>
      <w:proofErr w:type="spellEnd"/>
      <w:r>
        <w:rPr>
          <w:rFonts w:cs="Arial" w:hAnsi="Arial" w:ascii="Arial"/>
        </w:rPr>
        <w:t xml:space="preserve"> se zaključak ovog suda poslovni broj St-1369/2016-21 od 28. lipnja 2017. godine u točki III. br.2. redak šesti odozgor tako da umjesto "kupuje nekretninu" treba pisati "kupuje imovinu".</w:t>
      </w:r>
      <w:r>
        <w:rPr>
          <w:rFonts w:cs="Arial" w:hAnsi="Arial" w:ascii="Arial"/>
        </w:rPr>
        <w:tab/>
      </w:r>
    </w:p>
    <w:p w:rsidRDefault="003F6FD9" w:rsidP="003F6FD9" w:rsidR="003F6FD9">
      <w:pPr>
        <w:ind w:firstLine="720" w:right="-14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II.</w:t>
      </w:r>
      <w:r>
        <w:rPr>
          <w:rFonts w:cs="Arial" w:hAnsi="Arial" w:ascii="Arial"/>
        </w:rPr>
        <w:t>Ispravlja</w:t>
      </w:r>
      <w:proofErr w:type="spellEnd"/>
      <w:r>
        <w:rPr>
          <w:rFonts w:cs="Arial" w:hAnsi="Arial" w:ascii="Arial"/>
        </w:rPr>
        <w:t xml:space="preserve"> se zaključak ovog suda poslovni broj St-1369/2016-21 od 28. lipnja 2017. godine u točki III.br.2. redak osmi odozgor tako da umjesto "vrijednosti nekretnine", treba pisati "vrijednosti imovine".</w:t>
      </w:r>
    </w:p>
    <w:p w:rsidRDefault="003F6FD9" w:rsidP="003F6FD9" w:rsidR="003F6FD9">
      <w:pPr>
        <w:ind w:firstLine="720" w:right="-14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</w:t>
      </w:r>
      <w:r>
        <w:rPr>
          <w:rFonts w:cs="Arial" w:hAnsi="Arial" w:ascii="Arial"/>
        </w:rPr>
        <w:t>Ispravlja</w:t>
      </w:r>
      <w:proofErr w:type="spellEnd"/>
      <w:r>
        <w:rPr>
          <w:rFonts w:cs="Arial" w:hAnsi="Arial" w:ascii="Arial"/>
        </w:rPr>
        <w:t xml:space="preserve"> se zaključak ovog suda poslovni broj St-1369/2016-21 od 28. lipnja 2017. godine u točki III.br.3. redak deseti odozgor tako da umjesto "utvrđene vrijednosti nekretnine", treba pisati "utvrđene vrijednosti imovine". </w:t>
      </w:r>
    </w:p>
    <w:p w:rsidRDefault="003F6FD9" w:rsidP="003F6FD9" w:rsidR="003F6FD9">
      <w:pPr>
        <w:ind w:firstLine="720" w:right="-141"/>
        <w:jc w:val="both"/>
        <w:rPr>
          <w:rFonts w:cs="Arial" w:hAnsi="Arial" w:ascii="Arial"/>
          <w:b/>
        </w:rPr>
      </w:pPr>
    </w:p>
    <w:p w:rsidRDefault="003F6FD9" w:rsidP="003F6FD9" w:rsidR="003F6FD9">
      <w:pPr>
        <w:tabs>
          <w:tab w:pos="3520" w:val="left"/>
          <w:tab w:pos="5066" w:val="center"/>
        </w:tabs>
        <w:ind w:left="720"/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3F6FD9" w:rsidP="003F6FD9" w:rsidR="003F6FD9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U zaključku ovog suda pod poslovnim brojem 7 St-1369/2016-21 od 28. lipnja</w:t>
      </w:r>
      <w:r>
        <w:rPr>
          <w:rFonts w:hAnsi="Arial" w:ascii="Arial"/>
        </w:rPr>
        <w:t xml:space="preserve"> 2017. godine,</w:t>
      </w:r>
      <w:r>
        <w:rPr>
          <w:rFonts w:cs="Arial" w:hAnsi="Arial" w:ascii="Arial"/>
        </w:rPr>
        <w:t xml:space="preserve"> došlo je do pogreške u pisanju pa je po službenoj dužnosti donijeto ovo rješenje temeljem čl.342.st.1. i st.2.Zakona o parničnom postupku. </w:t>
      </w:r>
      <w:r>
        <w:rPr>
          <w:rFonts w:hAnsi="Arial" w:ascii="Arial"/>
        </w:rPr>
        <w:t xml:space="preserve">                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3F6FD9" w:rsidP="003F6FD9" w:rsidR="003F6FD9">
      <w:pPr>
        <w:ind w:right="-141"/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Bjelovaru, 12. srpnja 2017. godine</w:t>
      </w:r>
    </w:p>
    <w:p w:rsidRDefault="003F6FD9" w:rsidP="003F6FD9" w:rsidR="003F6FD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SUDAC</w:t>
      </w:r>
    </w:p>
    <w:p w:rsidRDefault="003F6FD9" w:rsidP="003F6FD9" w:rsidR="003F6FD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TOMISLAV MRAZOVIĆ</w:t>
      </w:r>
    </w:p>
    <w:p w:rsidRDefault="003F6FD9" w:rsidP="003F6FD9" w:rsidR="003F6FD9">
      <w:pPr>
        <w:rPr>
          <w:rFonts w:cs="Arial" w:hAnsi="Arial" w:ascii="Arial"/>
        </w:rPr>
      </w:pPr>
    </w:p>
    <w:p w:rsidRDefault="003F6FD9" w:rsidP="003F6FD9" w:rsidR="003F6FD9">
      <w:pPr>
        <w:jc w:val="both"/>
        <w:rPr>
          <w:rFonts w:cs="Times New Roman" w:hAnsi="Arial" w:ascii="Arial"/>
          <w:szCs w:val="20"/>
        </w:rPr>
      </w:pPr>
      <w:r>
        <w:rPr>
          <w:rFonts w:cs="Arial" w:hAnsi="Arial" w:ascii="Arial"/>
        </w:rPr>
        <w:t>POUKA O PRAVNOM LIJEKU:</w:t>
      </w:r>
      <w:r>
        <w:rPr>
          <w:rFonts w:hAnsi="Arial" w:ascii="Arial"/>
        </w:rPr>
        <w:t xml:space="preserve"> PRAVNA POUKA: Protiv ovog rješenja pravo žalbe imaju stečajni upravitelj i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vjerovnici. Žalba se podnosi u roku od 8 dana računajući od dana primitka pisanog </w:t>
      </w:r>
      <w:proofErr w:type="spellStart"/>
      <w:r>
        <w:rPr>
          <w:rFonts w:hAnsi="Arial" w:ascii="Arial"/>
        </w:rPr>
        <w:t>otpravka</w:t>
      </w:r>
      <w:proofErr w:type="spellEnd"/>
      <w:r>
        <w:rPr>
          <w:rFonts w:hAnsi="Arial" w:ascii="Arial"/>
        </w:rPr>
        <w:t>, na Visoki trgovački sud RH u Zagrebu, a putem ovog suda. Žalba se podnosi u 3 primjerka.</w:t>
      </w:r>
    </w:p>
    <w:p w:rsidRDefault="003F6FD9" w:rsidP="003F6FD9" w:rsidR="003F6FD9">
      <w:pPr>
        <w:jc w:val="both"/>
        <w:rPr>
          <w:rFonts w:cs="Arial" w:hAnsi="Arial" w:ascii="Arial"/>
        </w:rPr>
      </w:pPr>
    </w:p>
    <w:p w:rsidRDefault="003F6FD9" w:rsidP="003F6FD9" w:rsidR="003F6FD9">
      <w:pPr>
        <w:jc w:val="both"/>
        <w:rPr>
          <w:rFonts w:cs="Arial" w:hAnsi="Arial" w:ascii="Arial"/>
        </w:rPr>
      </w:pPr>
    </w:p>
    <w:p w:rsidRDefault="003F6FD9" w:rsidP="003F6FD9" w:rsidR="003F6FD9">
      <w:pPr>
        <w:jc w:val="both"/>
        <w:rPr>
          <w:rFonts w:cs="Arial" w:hAnsi="Arial" w:ascii="Arial"/>
        </w:rPr>
      </w:pPr>
    </w:p>
    <w:p w:rsidRDefault="003F6FD9" w:rsidP="003F6FD9" w:rsidR="003F6FD9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3F6FD9" w:rsidP="003F6FD9" w:rsidR="003F6FD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Dna:stečajnom upravitelju putem  pošte</w:t>
      </w:r>
    </w:p>
    <w:p w:rsidRDefault="003F6FD9" w:rsidP="003F6FD9" w:rsidR="003F6FD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vjerovnicima putem e-oglasne ploče</w:t>
      </w:r>
    </w:p>
    <w:p w:rsidRDefault="003F6FD9" w:rsidP="003F6FD9" w:rsidR="003F6FD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FINI Zagreb putem e-oglasne ploče</w:t>
      </w:r>
    </w:p>
    <w:p w:rsidRDefault="003F6FD9" w:rsidP="003F6FD9" w:rsidR="003F6FD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e-oglasna ploča suda</w:t>
      </w:r>
    </w:p>
    <w:p w:rsidRDefault="003F6FD9" w:rsidP="003F6FD9" w:rsidR="003F6FD9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Sc.pravomoćnost</w:t>
      </w:r>
      <w:proofErr w:type="spellEnd"/>
    </w:p>
    <w:p w:rsidRDefault="003F6FD9" w:rsidP="003F6FD9" w:rsidR="003F6FD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Bj.12.07.2017.g.</w:t>
      </w:r>
    </w:p>
    <w:p w:rsidRDefault="003F6FD9" w:rsidP="003F6FD9" w:rsidR="003F6FD9">
      <w:pPr>
        <w:jc w:val="both"/>
        <w:rPr>
          <w:rFonts w:cs="Arial" w:hAnsi="Arial" w:ascii="Arial"/>
        </w:rPr>
      </w:pPr>
    </w:p>
    <w:p w:rsidRDefault="003F6FD9" w:rsidP="003F6FD9" w:rsidR="003F6FD9">
      <w:pPr>
        <w:jc w:val="both"/>
        <w:rPr>
          <w:rFonts w:cs="Arial" w:hAnsi="Arial" w:ascii="Arial"/>
        </w:rPr>
      </w:pPr>
    </w:p>
    <w:p w:rsidRDefault="003F6FD9" w:rsidP="003F6FD9" w:rsidR="003F6FD9">
      <w:pPr>
        <w:jc w:val="both"/>
        <w:rPr>
          <w:rFonts w:cs="Arial" w:hAnsi="Arial" w:ascii="Arial"/>
        </w:rPr>
      </w:pPr>
    </w:p>
    <w:p w:rsidRDefault="003F6FD9" w:rsidP="003F6FD9" w:rsidR="003F6FD9">
      <w:pPr>
        <w:jc w:val="both"/>
        <w:rPr>
          <w:rFonts w:cs="Arial" w:hAnsi="Arial" w:ascii="Arial"/>
        </w:rPr>
      </w:pPr>
    </w:p>
    <w:p w:rsidRDefault="003F6FD9" w:rsidP="003F6FD9" w:rsidR="003F6FD9">
      <w:pPr>
        <w:jc w:val="both"/>
        <w:rPr>
          <w:rFonts w:cs="Arial" w:hAnsi="Arial" w:ascii="Arial"/>
        </w:rPr>
      </w:pPr>
    </w:p>
    <w:p w:rsidRDefault="003F6FD9" w:rsidP="003F6FD9" w:rsidR="003F6FD9">
      <w:pPr>
        <w:rPr>
          <w:rFonts w:cs="Arial" w:hAnsi="Arial" w:ascii="Arial"/>
        </w:rPr>
      </w:pPr>
    </w:p>
    <w:p w:rsidRDefault="003F6FD9" w:rsidP="003F6FD9" w:rsidR="003F6FD9">
      <w:pPr>
        <w:rPr>
          <w:rFonts w:cs="Arial" w:hAnsi="Arial" w:ascii="Arial"/>
        </w:rPr>
      </w:pPr>
    </w:p>
    <w:p w:rsidRDefault="003F6FD9" w:rsidP="003F6FD9" w:rsidR="003F6FD9">
      <w:pPr>
        <w:rPr>
          <w:rFonts w:cs="Arial" w:hAnsi="Arial" w:ascii="Arial"/>
        </w:rPr>
      </w:pPr>
    </w:p>
    <w:p w:rsidRDefault="003F6FD9" w:rsidP="003F6FD9" w:rsidR="003F6FD9">
      <w:pPr>
        <w:rPr>
          <w:rFonts w:cs="Arial" w:hAnsi="Arial" w:ascii="Arial"/>
        </w:rPr>
      </w:pPr>
    </w:p>
    <w:p w:rsidRDefault="003F6FD9" w:rsidP="003F6FD9" w:rsidR="003F6FD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</w:t>
      </w:r>
    </w:p>
    <w:p w:rsidRDefault="003F6FD9" w:rsidP="003F6FD9" w:rsidR="003F6FD9">
      <w:pPr>
        <w:rPr>
          <w:rFonts w:cs="Arial" w:hAnsi="Arial" w:ascii="Arial"/>
        </w:rPr>
      </w:pPr>
    </w:p>
    <w:p w:rsidRDefault="003F6FD9" w:rsidP="003F6FD9" w:rsidR="003F6FD9">
      <w:pPr>
        <w:rPr>
          <w:rFonts w:cs="Arial" w:hAnsi="Arial" w:ascii="Arial"/>
        </w:rPr>
      </w:pPr>
    </w:p>
    <w:p w:rsidRDefault="003F6FD9" w:rsidP="003F6FD9" w:rsidR="003F6FD9">
      <w:pPr>
        <w:rPr>
          <w:rFonts w:cs="Arial" w:hAnsi="Arial" w:ascii="Arial"/>
        </w:rPr>
      </w:pPr>
    </w:p>
    <w:p w:rsidRDefault="003F6FD9" w:rsidP="003F6FD9" w:rsidR="003F6FD9">
      <w:pPr>
        <w:rPr>
          <w:rFonts w:cs="Arial" w:hAnsi="Arial" w:ascii="Arial"/>
        </w:rPr>
      </w:pPr>
    </w:p>
    <w:p w:rsidRDefault="003F6FD9" w:rsidP="003F6FD9" w:rsidR="003F6FD9">
      <w:pPr>
        <w:rPr>
          <w:rFonts w:cs="Arial" w:hAnsi="Arial" w:ascii="Arial"/>
        </w:rPr>
      </w:pPr>
    </w:p>
    <w:p w:rsidRDefault="003F6FD9" w:rsidP="003F6FD9" w:rsidR="003F6FD9">
      <w:pPr>
        <w:rPr>
          <w:rFonts w:cs="Arial" w:hAnsi="Arial" w:ascii="Arial"/>
        </w:rPr>
      </w:pPr>
    </w:p>
    <w:p w:rsidRDefault="003F6FD9" w:rsidP="003F6FD9" w:rsidR="003F6FD9">
      <w:pPr>
        <w:rPr>
          <w:rFonts w:cs="Arial" w:hAnsi="Arial" w:ascii="Arial"/>
        </w:rPr>
      </w:pPr>
    </w:p>
    <w:p w:rsidRDefault="003F6FD9" w:rsidP="003F6FD9" w:rsidR="003F6FD9">
      <w:pPr>
        <w:rPr>
          <w:rFonts w:cs="Arial" w:hAnsi="Arial" w:ascii="Arial"/>
        </w:rPr>
      </w:pPr>
    </w:p>
    <w:p w:rsidRDefault="003F6FD9" w:rsidP="003F6FD9" w:rsidR="003F6FD9">
      <w:pPr>
        <w:rPr>
          <w:rFonts w:cs="Arial" w:hAnsi="Arial" w:ascii="Arial"/>
        </w:rPr>
      </w:pPr>
    </w:p>
    <w:p w:rsidRDefault="003F6FD9" w:rsidP="003F6FD9" w:rsidR="003F6FD9">
      <w:pPr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C44" w:rsidP="00537B78" w:rsidR="00210C44">
      <w:r>
        <w:separator/>
      </w:r>
    </w:p>
  </w:endnote>
  <w:endnote w:id="0" w:type="continuationSeparator">
    <w:p w:rsidRDefault="00210C44" w:rsidP="00537B78" w:rsidR="00210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C44" w:rsidP="00537B78" w:rsidR="00210C44">
      <w:r>
        <w:separator/>
      </w:r>
    </w:p>
  </w:footnote>
  <w:footnote w:id="0" w:type="continuationSeparator">
    <w:p w:rsidRDefault="00210C44" w:rsidP="00537B78" w:rsidR="00210C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0C44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6FD9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427B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St-1369/2016-24</izvorni_sadrzaj>
    <derivirana_varijabla naziv="DomainObject.Oznaka_1">St-1369/2016-24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</item>
    </izvorni_sadrzaj>
    <derivirana_varijabla naziv="DomainObject.Predmet.OstaliListFormatedOIB_1">
      <item>STEFANO BILJECKI, OIB 76592646501</item>
      <item>Županijsko državno odvjetništvo u Bjelovaru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</item>
    </izvorni_sadrzaj>
    <derivirana_varijabla naziv="DomainObject.Predmet.OstaliListFormatedWithAdressOIB_1">
      <item>STEFANO BILJECKI, OIB 76592646501, Kajfešov brijeg 4, 10000 Zagreb</item>
      <item>Županijsko državno odvjetništvo u Bjelovaru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</item>
    </izvorni_sadrzaj>
    <derivirana_varijabla naziv="DomainObject.Predmet.OstaliListNazivFormatedOIB_1">
      <item>STEFANO BILJECKI, OIB 76592646501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St-1369/2016-24</izvorni_sadrzaj>
    <derivirana_varijabla naziv="DomainObject.PoslovniBrojDokumenta_1">St-1369/2016-24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0B92A7-C27C-4E5A-B7AF-7FB5164DF4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279</properties:Words>
  <properties:Characters>1507</properties:Characters>
  <properties:Lines>67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2017-07-12T12:40:00Z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St-1369/2016-24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