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9c07388" w14:paraId="9c07388" w:rsidRDefault="001C4B34" w:rsidR="001C4B34">
      <w:pPr>
        <w15:collapsed w:val="false"/>
        <w:rPr>
          <w:b/>
          <w:bCs/>
          <w:sz w:val="20"/>
          <w:szCs w:val="20"/>
        </w:rPr>
      </w:pPr>
      <w:bookmarkStart w:name="_GoBack" w:id="0"/>
      <w:bookmarkEnd w:id="0"/>
      <w:r>
        <w:rPr>
          <w:b/>
          <w:bCs/>
          <w:sz w:val="20"/>
          <w:szCs w:val="20"/>
        </w:rPr>
        <w:t xml:space="preserve">Zlatni bregi d.o.o.  </w:t>
      </w:r>
      <w:r>
        <w:rPr>
          <w:b/>
          <w:bCs/>
          <w:sz w:val="20"/>
          <w:szCs w:val="20"/>
        </w:rPr>
        <w:tab/>
      </w:r>
      <w:r>
        <w:rPr>
          <w:b/>
          <w:bCs/>
          <w:sz w:val="20"/>
          <w:szCs w:val="20"/>
        </w:rPr>
        <w:tab/>
      </w:r>
      <w:r>
        <w:rPr>
          <w:b/>
          <w:bCs/>
          <w:sz w:val="20"/>
          <w:szCs w:val="20"/>
        </w:rPr>
        <w:tab/>
        <w:t xml:space="preserve">                </w:t>
      </w:r>
      <w:r>
        <w:rPr>
          <w:b/>
          <w:bCs/>
          <w:sz w:val="20"/>
          <w:szCs w:val="20"/>
        </w:rPr>
        <w:tab/>
        <w:t xml:space="preserve">  </w:t>
      </w:r>
      <w:r>
        <w:rPr>
          <w:b/>
          <w:bCs/>
          <w:i/>
          <w:sz w:val="20"/>
          <w:szCs w:val="20"/>
        </w:rPr>
        <w:t>Privremena s</w:t>
      </w:r>
      <w:r>
        <w:rPr>
          <w:b/>
          <w:bCs/>
          <w:i/>
          <w:iCs/>
          <w:sz w:val="20"/>
          <w:szCs w:val="20"/>
        </w:rPr>
        <w:t>tečajna upraviteljica Ivana Kalkan</w:t>
      </w:r>
    </w:p>
    <w:p w:rsidRDefault="001C4B34" w:rsidR="001C4B34">
      <w:pPr>
        <w:rPr>
          <w:b/>
          <w:sz w:val="20"/>
          <w:szCs w:val="20"/>
        </w:rPr>
      </w:pPr>
      <w:r>
        <w:rPr>
          <w:b/>
          <w:bCs/>
          <w:sz w:val="20"/>
          <w:szCs w:val="20"/>
        </w:rPr>
        <w:t>Donje Vino 1c</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 xml:space="preserve">Županijska 2 </w:t>
      </w:r>
      <w:r>
        <w:rPr>
          <w:b/>
          <w:bCs/>
          <w:sz w:val="20"/>
          <w:szCs w:val="20"/>
        </w:rPr>
        <w:t xml:space="preserve">  49 217 Donje Vino (Općina Krapinske Toplice)          </w:t>
      </w:r>
      <w:r>
        <w:rPr>
          <w:b/>
          <w:bCs/>
          <w:i/>
          <w:iCs/>
          <w:sz w:val="20"/>
          <w:szCs w:val="20"/>
        </w:rPr>
        <w:t xml:space="preserve">         </w:t>
      </w:r>
      <w:r>
        <w:rPr>
          <w:b/>
          <w:bCs/>
          <w:i/>
          <w:iCs/>
          <w:sz w:val="20"/>
          <w:szCs w:val="20"/>
        </w:rPr>
        <w:tab/>
      </w:r>
      <w:r>
        <w:rPr>
          <w:b/>
          <w:bCs/>
          <w:i/>
          <w:iCs/>
          <w:sz w:val="20"/>
          <w:szCs w:val="20"/>
        </w:rPr>
        <w:tab/>
        <w:t xml:space="preserve">                                             31 000 Osijek</w:t>
      </w:r>
      <w:r>
        <w:rPr>
          <w:b/>
          <w:bCs/>
          <w:sz w:val="20"/>
          <w:szCs w:val="20"/>
        </w:rPr>
        <w:t xml:space="preserve">                         OIB: 63933035073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Tel: 031/209-960, Fax: 031/496-306</w:t>
      </w:r>
    </w:p>
    <w:p w:rsidRDefault="001C4B34" w:rsidR="001C4B34">
      <w:r>
        <w:rPr>
          <w:b/>
          <w:sz w:val="20"/>
          <w:szCs w:val="20"/>
        </w:rPr>
        <w:tab/>
        <w:t xml:space="preserve">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sz w:val="20"/>
          <w:szCs w:val="20"/>
        </w:rPr>
        <w:tab/>
        <w:t xml:space="preserve">        </w:t>
      </w:r>
      <w:r>
        <w:rPr>
          <w:b/>
          <w:bCs/>
          <w:i/>
          <w:iCs/>
          <w:sz w:val="20"/>
          <w:szCs w:val="20"/>
        </w:rPr>
        <w:t>Mob: 099/7323788</w:t>
      </w:r>
    </w:p>
    <w:p w:rsidRDefault="00143A22" w:rsidR="001C4B34">
      <w:pPr>
        <w:jc w:val="right"/>
        <w:rPr>
          <w:b/>
          <w:bCs/>
          <w:i/>
          <w:iCs/>
          <w:sz w:val="20"/>
          <w:szCs w:val="20"/>
        </w:rPr>
      </w:pPr>
      <w:hyperlink r:id="rId7" w:history="true">
        <w:r w:rsidR="001C4B34">
          <w:rPr>
            <w:rStyle w:val="Hiperveza"/>
            <w:b/>
            <w:bCs/>
            <w:i/>
            <w:iCs/>
            <w:sz w:val="20"/>
            <w:szCs w:val="20"/>
          </w:rPr>
          <w:t>odvjetnica.ivana.kalkan@gmail.com</w:t>
        </w:r>
      </w:hyperlink>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right"/>
        <w:rPr>
          <w:b/>
          <w:bCs/>
          <w:i/>
          <w:iCs/>
          <w:sz w:val="20"/>
          <w:szCs w:val="20"/>
        </w:rPr>
      </w:pPr>
    </w:p>
    <w:p w:rsidRDefault="001C4B34" w:rsidR="001C4B34">
      <w:pPr>
        <w:jc w:val="both"/>
        <w:rPr>
          <w:b/>
          <w:bCs/>
        </w:rPr>
      </w:pPr>
    </w:p>
    <w:p w:rsidRDefault="001C4B34" w:rsidR="001C4B34">
      <w:pPr>
        <w:jc w:val="both"/>
        <w:rPr>
          <w:b/>
          <w:bCs/>
        </w:rPr>
      </w:pPr>
    </w:p>
    <w:p w:rsidRDefault="001C4B34" w:rsidR="001C4B34">
      <w:pPr>
        <w:jc w:val="right"/>
        <w:rPr>
          <w:b/>
          <w:bCs/>
        </w:rPr>
      </w:pPr>
      <w:r>
        <w:rPr>
          <w:b/>
          <w:bCs/>
        </w:rPr>
        <w:t>Trgovački sud u Bjelovaru</w:t>
      </w:r>
    </w:p>
    <w:p w:rsidRDefault="001C4B34" w:rsidR="001C4B34">
      <w:pPr>
        <w:jc w:val="right"/>
        <w:rPr>
          <w:bCs/>
          <w:iCs/>
        </w:rPr>
      </w:pPr>
      <w:r>
        <w:rPr>
          <w:b/>
          <w:bCs/>
        </w:rPr>
        <w:t>43 000 Bjelovar</w:t>
      </w:r>
    </w:p>
    <w:p w:rsidRDefault="001C4B34" w:rsidR="001C4B34">
      <w:pPr>
        <w:jc w:val="both"/>
        <w:rPr>
          <w:bCs/>
          <w:iCs/>
        </w:rPr>
      </w:pPr>
      <w:r>
        <w:rPr>
          <w:bCs/>
          <w:iCs/>
        </w:rPr>
        <w:t>Stečajna stvar.</w:t>
      </w:r>
    </w:p>
    <w:p w:rsidRDefault="001C4B34" w:rsidR="001C4B34">
      <w:pPr>
        <w:jc w:val="both"/>
        <w:rPr>
          <w:b/>
          <w:bCs/>
          <w:iCs/>
        </w:rPr>
      </w:pPr>
      <w:r>
        <w:rPr>
          <w:bCs/>
          <w:iCs/>
        </w:rPr>
        <w:t xml:space="preserve">Na broj: </w:t>
      </w:r>
      <w:r>
        <w:rPr>
          <w:b/>
          <w:bCs/>
          <w:iCs/>
        </w:rPr>
        <w:t>St-348/2018</w:t>
      </w:r>
    </w:p>
    <w:p w:rsidRDefault="001C4B34" w:rsidR="001C4B34">
      <w:pPr>
        <w:jc w:val="both"/>
        <w:rPr>
          <w:b/>
          <w:bCs/>
          <w:iCs/>
        </w:rPr>
      </w:pPr>
    </w:p>
    <w:p w:rsidRDefault="001C4B34" w:rsidR="001C4B34">
      <w:pPr>
        <w:spacing w:lineRule="auto" w:line="360"/>
      </w:pPr>
    </w:p>
    <w:p w:rsidRDefault="001C4B34" w:rsidR="001C4B34">
      <w:pPr>
        <w:spacing w:lineRule="auto" w:line="360"/>
      </w:pPr>
      <w:r>
        <w:rPr>
          <w:bCs/>
          <w:iCs/>
        </w:rPr>
        <w:t xml:space="preserve">Dužnik: </w:t>
      </w:r>
      <w:r>
        <w:rPr>
          <w:rFonts w:cs="Tahoma" w:eastAsia="Lucida Sans Unicode"/>
          <w:b/>
          <w:bCs/>
          <w:spacing w:val="-3"/>
        </w:rPr>
        <w:t xml:space="preserve">Zlatni bregi d.o.o. </w:t>
      </w:r>
      <w:r>
        <w:rPr>
          <w:rFonts w:cs="Tahoma" w:eastAsia="Lucida Sans Unicode"/>
          <w:bCs/>
          <w:spacing w:val="-3"/>
        </w:rPr>
        <w:t>iz Donje Vino, Donje Vino 45, OIB: 63933035073</w:t>
      </w:r>
      <w:r>
        <w:rPr>
          <w:rFonts w:cs="Tahoma" w:eastAsia="Lucida Sans Unicode"/>
          <w:b/>
          <w:bCs/>
          <w:spacing w:val="-3"/>
        </w:rPr>
        <w:t xml:space="preserve"> </w:t>
      </w:r>
      <w:r>
        <w:rPr>
          <w:rFonts w:cs="Tahoma" w:eastAsia="Lucida Sans Unicode"/>
          <w:spacing w:val="-3"/>
        </w:rPr>
        <w:t xml:space="preserve"> </w:t>
      </w:r>
    </w:p>
    <w:p w:rsidRDefault="001C4B34" w:rsidR="001C4B34">
      <w:pPr>
        <w:spacing w:lineRule="auto" w:line="360"/>
      </w:pPr>
    </w:p>
    <w:p w:rsidRDefault="001C4B34" w:rsidR="001C4B34">
      <w:pPr>
        <w:spacing w:lineRule="auto" w:line="360"/>
        <w:jc w:val="center"/>
      </w:pPr>
      <w:r>
        <w:rPr>
          <w:rFonts w:cs="Tahoma" w:eastAsia="Lucida Sans Unicode"/>
          <w:b/>
          <w:spacing w:val="-3"/>
        </w:rPr>
        <w:t>Izvješće privremene stečajne upraviteljice</w:t>
      </w:r>
    </w:p>
    <w:p w:rsidRDefault="001C4B34" w:rsidR="001C4B34">
      <w:pPr>
        <w:spacing w:lineRule="auto" w:line="360"/>
        <w:jc w:val="center"/>
      </w:pPr>
    </w:p>
    <w:p w:rsidRDefault="001C4B34" w:rsidR="001C4B34">
      <w:pPr>
        <w:spacing w:lineRule="auto" w:line="240"/>
        <w:jc w:val="both"/>
        <w:rPr>
          <w:rFonts w:cs="Tahoma" w:eastAsia="Lucida Sans Unicode"/>
          <w:spacing w:val="-3"/>
        </w:rPr>
      </w:pPr>
      <w:r>
        <w:rPr>
          <w:rFonts w:cs="Tahoma" w:eastAsia="Lucida Sans Unicode"/>
          <w:spacing w:val="-3"/>
        </w:rPr>
        <w:t xml:space="preserve">Rješenjem naslovnog suda broj St-348/18-16 od 7. studenog 2018. g. imenovana sam privremenom stečajnom upraviteljicom dužniku te je zakazano ročište radi izjašnjenja o prijedlogu za dan 11. prosinca 2018. g. </w:t>
      </w:r>
    </w:p>
    <w:p w:rsidRDefault="001C4B34" w:rsidR="001C4B34">
      <w:pPr>
        <w:spacing w:lineRule="auto" w:line="240"/>
        <w:jc w:val="both"/>
        <w:rPr>
          <w:rFonts w:cs="Tahoma" w:eastAsia="Lucida Sans Unicode"/>
          <w:spacing w:val="-3"/>
        </w:rPr>
      </w:pPr>
    </w:p>
    <w:p w:rsidRDefault="001C4B34" w:rsidR="001C4B34">
      <w:pPr>
        <w:spacing w:lineRule="auto" w:line="240"/>
        <w:jc w:val="both"/>
      </w:pPr>
      <w:r>
        <w:rPr>
          <w:rFonts w:cs="Tahoma" w:eastAsia="Lucida Sans Unicode"/>
          <w:spacing w:val="-3"/>
        </w:rPr>
        <w:t xml:space="preserve">Prijedlog za otvaranjem stečajnog postupka nad dužnikom podnjela je Financijska agencija 18. siječnja 2018. g. radi blokade računa dužnika u neprekinutom razdoblju od 120 dana i evidentiranih nepodmirenih obveza u iznosu od </w:t>
      </w:r>
      <w:r>
        <w:t>3.555.484,21 Kn. Temeljem ovog prijedloga naslovni sud je dana 28. rujna 2018. g. održao ročište radi izjašnjenja o prijedlogu i rasprave o uvjetima za otvaranje stečajnog postupka, te je istog dana donio rješenje kojim se pozivaju vjerovnici na uplatu predujma za pokriće troškova prethodnog i stečajnog postupka. Dana 12. listopada 2018. g. Hrvatska banka za obnovu i razvitak podnjela je prijedlog za otvaranjem stečajnog postupka nad dužnikom uz uplatu predujma u iznosu od 11.000,00 Kn. Naslovni sud je dana 7. studenog 2018. g. ponovno održao ročište radi izjašnjenja o prijedlogu i rasprave o uvjetima za otvaranje stečajnog postupka.</w:t>
      </w:r>
    </w:p>
    <w:p w:rsidRDefault="001C4B34" w:rsidR="001C4B34">
      <w:pPr>
        <w:spacing w:lineRule="auto" w:line="240"/>
        <w:jc w:val="both"/>
      </w:pPr>
    </w:p>
    <w:p w:rsidRDefault="001C4B34" w:rsidR="001C4B34">
      <w:pPr>
        <w:jc w:val="both"/>
        <w:rPr>
          <w:b/>
          <w:bCs/>
        </w:rPr>
      </w:pPr>
      <w:r>
        <w:t xml:space="preserve">Radi utvrđivanja financijsko gospodarskog stanja dužnika zakonskom zastupniku dužniku Mariu Vuglecu iz </w:t>
      </w:r>
      <w:r>
        <w:rPr>
          <w:bCs/>
        </w:rPr>
        <w:t>Donje Vino, Donje Vino 1/c, dostavljen je poziv za dostavom knjigovodstvene i poslovne dokumentacije dužnika koji se vratio neuručen s napomenom ''obaviješten – nije podigao pošiljku''. No s istim je naknadno uspostavljen telefonski kontakt te je isti dostavio traženu dokumentaciju i podatke.</w:t>
      </w:r>
    </w:p>
    <w:p w:rsidRDefault="001C4B34" w:rsidR="001C4B34">
      <w:pPr>
        <w:jc w:val="both"/>
        <w:rPr>
          <w:b/>
          <w:bCs/>
        </w:rPr>
      </w:pPr>
      <w:r>
        <w:rPr>
          <w:b/>
          <w:bCs/>
        </w:rPr>
        <w:lastRenderedPageBreak/>
        <w:t>OPĆI PODACI O DUŽNIKU</w:t>
      </w:r>
    </w:p>
    <w:p w:rsidRDefault="001C4B34" w:rsidR="001C4B34">
      <w:pPr>
        <w:jc w:val="both"/>
        <w:rPr>
          <w:b/>
          <w:bCs/>
        </w:rPr>
      </w:pPr>
    </w:p>
    <w:p w:rsidRDefault="001C4B34" w:rsidR="001C4B34">
      <w:pPr>
        <w:jc w:val="both"/>
        <w:rPr>
          <w:bCs/>
        </w:rPr>
      </w:pPr>
      <w:r>
        <w:rPr>
          <w:bCs/>
        </w:rPr>
        <w:t>Dužnik je društvo s ograničenom odgovornošću osnovano izjavom o osnivanju od 14. svibnja 2010. g. od osnivača Maria Vugleca iz Donje Vino, Donje Vino 1/c, OIB: 11540912449, koji je i zakonski zastupnik dužnika. Dužnik je osnovan pod tvrtkom Vuglec breg d.o.o. koja je promjenjena u Zlatni bregi d.o.o. odlukom jedinog člana duštva od 15. prosinca 2017. g.</w:t>
      </w:r>
    </w:p>
    <w:p w:rsidRDefault="001C4B34" w:rsidR="001C4B34">
      <w:pPr>
        <w:jc w:val="both"/>
        <w:rPr>
          <w:bCs/>
        </w:rPr>
      </w:pPr>
      <w:r>
        <w:rPr>
          <w:bCs/>
        </w:rPr>
        <w:t>Temeljni kapital dužnika iznosi 2.379.600,00 Kn. Isti je po osnivanju iznosio 20.000,00 Kn, da bi izjavom o osnivanju od 2. srpnja 2014. g.  bio povećan na iznos od 722.600,00 Kn, izjavom o osnivanju od 31. ožujka 2015. g. bio povećan na iznos od 1.542.900,00 Kn, te izjavom o osnivanju od 6. svibnja 2016. g. povećan na iznos od 2.379.600,00 Kn.</w:t>
      </w:r>
    </w:p>
    <w:p w:rsidRDefault="001C4B34" w:rsidR="001C4B34">
      <w:pPr>
        <w:jc w:val="both"/>
        <w:rPr>
          <w:bCs/>
        </w:rPr>
      </w:pPr>
    </w:p>
    <w:p w:rsidRDefault="001C4B34" w:rsidR="001C4B34">
      <w:pPr>
        <w:jc w:val="both"/>
        <w:rPr>
          <w:bCs/>
        </w:rPr>
      </w:pPr>
      <w:r>
        <w:rPr>
          <w:bCs/>
        </w:rPr>
        <w:t>Registrirana djelatnost dužnika je: hoteli i sličan smještaj razvrstana brojčanom oznakom 5510 prema NKD-u 2007.</w:t>
      </w:r>
    </w:p>
    <w:p w:rsidRDefault="001C4B34" w:rsidR="001C4B34">
      <w:pPr>
        <w:jc w:val="both"/>
        <w:rPr>
          <w:bCs/>
        </w:rPr>
      </w:pPr>
    </w:p>
    <w:p w:rsidRDefault="001C4B34" w:rsidR="001C4B34">
      <w:pPr>
        <w:jc w:val="both"/>
        <w:rPr>
          <w:bCs/>
        </w:rPr>
      </w:pPr>
      <w:r>
        <w:rPr>
          <w:bCs/>
        </w:rPr>
        <w:t>Dužnik je poslovao i posluje putem slijedećih žiroračuna:</w:t>
      </w:r>
    </w:p>
    <w:p w:rsidRDefault="001C4B34" w:rsidR="001C4B34">
      <w:pPr>
        <w:numPr>
          <w:ilvl w:val="0"/>
          <w:numId w:val="2"/>
        </w:numPr>
        <w:jc w:val="both"/>
        <w:rPr>
          <w:bCs/>
        </w:rPr>
      </w:pPr>
      <w:r>
        <w:rPr>
          <w:bCs/>
        </w:rPr>
        <w:t>HR6223400091110437556 pri Privrednoj banci Zagreb d.d. koji je bio aktivan od 21.6.2010 do 22.3.2018., s blokadama od 23.2.2017 do 9.3.2017. g.,od 23.8.2017 do 4.9.2017. g., te od 15.9.2017 do 22.3.2018.,</w:t>
      </w:r>
    </w:p>
    <w:p w:rsidRDefault="001C4B34" w:rsidR="001C4B34">
      <w:pPr>
        <w:numPr>
          <w:ilvl w:val="0"/>
          <w:numId w:val="2"/>
        </w:numPr>
        <w:jc w:val="both"/>
        <w:rPr>
          <w:bCs/>
        </w:rPr>
      </w:pPr>
      <w:r>
        <w:rPr>
          <w:bCs/>
        </w:rPr>
        <w:t>HR2724840081106873944 pri Raiffeisenbank Austria d.d.RIA d.d. koji je aktivan od 27.3.2014. g., te u blokadi od 23.2.2017 do 9.3.2017. g., od 23.8.2017 do 4.9.2017. g., i od 15.9.2017. g. do danas,</w:t>
      </w:r>
    </w:p>
    <w:p w:rsidRDefault="001C4B34" w:rsidR="001C4B34">
      <w:pPr>
        <w:numPr>
          <w:ilvl w:val="0"/>
          <w:numId w:val="2"/>
        </w:numPr>
        <w:jc w:val="both"/>
        <w:rPr>
          <w:bCs/>
        </w:rPr>
      </w:pPr>
      <w:r>
        <w:rPr>
          <w:bCs/>
        </w:rPr>
        <w:t>HR0425000091101453321 pri Addiko bank d.d. koji je aktivan od 16.12.2016. g., te u blokadi od 23.2.2017 do 9.3.2017. g., od 23.8.2017 do 4.9.2017. g., te od 15.9.2017. g. do danas.</w:t>
      </w:r>
    </w:p>
    <w:p w:rsidRDefault="001C4B34" w:rsidR="001C4B34">
      <w:pPr>
        <w:jc w:val="both"/>
        <w:rPr>
          <w:bCs/>
        </w:rPr>
      </w:pPr>
    </w:p>
    <w:p w:rsidRDefault="001C4B34" w:rsidR="001C4B34">
      <w:pPr>
        <w:jc w:val="both"/>
        <w:rPr>
          <w:bCs/>
        </w:rPr>
      </w:pPr>
      <w:r>
        <w:rPr>
          <w:bCs/>
        </w:rPr>
        <w:t>Prema potvrdi HZMO dužnik nema zaposlenih radnika.</w:t>
      </w:r>
    </w:p>
    <w:p w:rsidRDefault="001C4B34" w:rsidR="001C4B34">
      <w:pPr>
        <w:jc w:val="both"/>
        <w:rPr>
          <w:bCs/>
        </w:rPr>
      </w:pPr>
    </w:p>
    <w:p w:rsidRDefault="001C4B34" w:rsidR="001C4B34">
      <w:pPr>
        <w:jc w:val="both"/>
        <w:rPr>
          <w:b/>
          <w:bCs/>
        </w:rPr>
      </w:pPr>
    </w:p>
    <w:p w:rsidRDefault="001C4B34" w:rsidR="001C4B34">
      <w:pPr>
        <w:jc w:val="both"/>
        <w:rPr>
          <w:b/>
          <w:bCs/>
        </w:rPr>
      </w:pPr>
      <w:r>
        <w:rPr>
          <w:b/>
          <w:bCs/>
        </w:rPr>
        <w:t>OPIS POSLOVANJA DUŽNIKA</w:t>
      </w:r>
    </w:p>
    <w:p w:rsidRDefault="001C4B34" w:rsidR="001C4B34">
      <w:pPr>
        <w:jc w:val="both"/>
        <w:rPr>
          <w:b/>
          <w:bCs/>
        </w:rPr>
      </w:pPr>
    </w:p>
    <w:p w:rsidRDefault="001C4B34" w:rsidR="001C4B34">
      <w:pPr>
        <w:jc w:val="both"/>
        <w:rPr>
          <w:bCs/>
        </w:rPr>
      </w:pPr>
      <w:r>
        <w:rPr>
          <w:bCs/>
        </w:rPr>
        <w:t>Dužnik se bavio ugostiteljsko-hoteljerskom djelatnošću s vlastitim smještajnim kapacitetima. Radi velike kreditne opterećenosti te visokih obveza prema Republci Hrvatskoj tijekom 2017. g. dužnik unatoč ostvarenim prihodima nije mogao pravodobno podmirivati dospjele obveze te je nastupila blokada računa dužnika, otpuštanje radnika i konačno potpuni prestanak poslovanja.</w:t>
      </w:r>
    </w:p>
    <w:p w:rsidRDefault="001C4B34" w:rsidR="001C4B34">
      <w:pPr>
        <w:jc w:val="both"/>
        <w:rPr>
          <w:bCs/>
        </w:rPr>
      </w:pPr>
    </w:p>
    <w:p w:rsidRDefault="001C4B34" w:rsidR="001C4B34">
      <w:pPr>
        <w:jc w:val="both"/>
        <w:rPr>
          <w:b/>
          <w:bCs/>
        </w:rPr>
      </w:pPr>
    </w:p>
    <w:p w:rsidRDefault="001C4B34" w:rsidR="001C4B34">
      <w:pPr>
        <w:jc w:val="both"/>
        <w:rPr>
          <w:b/>
          <w:bCs/>
        </w:rPr>
      </w:pPr>
      <w:r>
        <w:rPr>
          <w:b/>
          <w:bCs/>
        </w:rPr>
        <w:t>FINANCIJSKO GOSPODARSKO POSLOVANJE DUŽNIKA</w:t>
      </w:r>
    </w:p>
    <w:p w:rsidRDefault="001C4B34" w:rsidR="001C4B34">
      <w:pPr>
        <w:jc w:val="both"/>
        <w:rPr>
          <w:b/>
          <w:bCs/>
        </w:rPr>
      </w:pPr>
    </w:p>
    <w:p w:rsidRDefault="001C4B34" w:rsidR="001C4B34">
      <w:pPr>
        <w:jc w:val="both"/>
        <w:rPr>
          <w:bCs/>
        </w:rPr>
      </w:pPr>
      <w:r>
        <w:rPr>
          <w:bCs/>
        </w:rPr>
        <w:t>Od knjigovodstvenog servisa dužnika dobivena je tražena dokumentacija za razdoblje od 2014. g. do danas iz koje je razvidno slijedeće:</w:t>
      </w: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numPr>
          <w:ilvl w:val="0"/>
          <w:numId w:val="1"/>
        </w:numPr>
        <w:jc w:val="both"/>
        <w:rPr>
          <w:b/>
          <w:bCs/>
        </w:rPr>
      </w:pPr>
      <w:r>
        <w:rPr>
          <w:b/>
          <w:bCs/>
        </w:rPr>
        <w:lastRenderedPageBreak/>
        <w:t>bilanca</w:t>
      </w:r>
    </w:p>
    <w:p w:rsidRDefault="001C4B34" w:rsidR="001C4B34">
      <w:pPr>
        <w:jc w:val="both"/>
        <w:rPr>
          <w:b/>
          <w:bCs/>
        </w:rPr>
      </w:pPr>
    </w:p>
    <w:p w:rsidRDefault="00143A22" w:rsidR="001C4B34">
      <w:pPr>
        <w:jc w:val="both"/>
        <w:rPr>
          <w:rFonts w:cs="Times New Roman" w:eastAsia="Times New Roman"/>
          <w:bCs/>
          <w:sz w:val="20"/>
          <w:szCs w:val="20"/>
          <w:lang w:bidi="ar-SA" w:eastAsia="ar-SA" w:val="en-GB"/>
        </w:rPr>
      </w:pPr>
      <w:r>
        <w:rPr>
          <w:noProof/>
          <w:lang w:bidi="ar-SA" w:eastAsia="hr-HR"/>
        </w:rPr>
        <w:pict>
          <v:shapetype id="_x0000_t202" coordsize="21600,21600" path="m,l,21600r21600,l21600,xe" o:spt="202.0">
            <v:stroke joinstyle="miter"/>
            <v:path o:connecttype="rect" gradientshapeok="t"/>
          </v:shapetype>
          <v:shape stroked="f" o:spid="_x0000_s1026" id="Text Box 2" style="position:absolute;left:0;text-align:left;margin-left:0;margin-top:3.8pt;width:553.25pt;height:439.7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type="#_x0000_t202" o:gfxdata="">
            <v:fill opacity="0"/>
            <v:textbox inset="0,0,0,0">
              <w:txbxContent>
                <w:tbl>
                  <w:tblPr>
                    <w:tblW w:type="auto" w:w="0"/>
                    <w:tblInd w:type="dxa" w:w="108"/>
                    <w:tblLayout w:type="fixed"/>
                    <w:tblLook w:val="0000" w:noVBand="0" w:noHBand="0" w:lastColumn="0" w:firstColumn="0" w:lastRow="0" w:firstRow="0"/>
                  </w:tblPr>
                  <w:tblGrid>
                    <w:gridCol w:w="2976"/>
                    <w:gridCol w:w="1985"/>
                    <w:gridCol w:w="1984"/>
                    <w:gridCol w:w="1985"/>
                    <w:gridCol w:w="2136"/>
                  </w:tblGrid>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Pozicija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2014</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2015</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2016</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
                            <w:bCs/>
                          </w:rPr>
                          <w:t>2017</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
                            <w:bCs/>
                          </w:rPr>
                          <w:t>AKTIVA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Dugotrajna imovina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2,392,964.00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9,680,517.00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9,141,072.00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12,611,037.00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Nematerijalna imovina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1,565.00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17,527.00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17,257.00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Materijalna imovina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2,391,399.00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9,680,517.00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9,123,545.00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11,065,525.00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Potraživanja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1,527,985.00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Kratkotrajna imovina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2,015,835.00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3,094,723.00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3,621,848.00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141,099.00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i/>
                            <w:iCs/>
                          </w:rPr>
                        </w:pPr>
                        <w:r>
                          <w:rPr>
                            <w:bCs/>
                            <w:i/>
                            <w:iCs/>
                          </w:rPr>
                          <w:t>Zalihe</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1,564,211.00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2,408,447.00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2,409,688.00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i/>
                            <w:iCs/>
                          </w:rPr>
                        </w:pPr>
                        <w:r>
                          <w:rPr>
                            <w:bCs/>
                            <w:i/>
                            <w:iCs/>
                          </w:rPr>
                          <w:t>Potraživanja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164,915.00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376,969.00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431,064.00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69,877.00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i/>
                            <w:iCs/>
                          </w:rPr>
                        </w:pPr>
                        <w:r>
                          <w:rPr>
                            <w:bCs/>
                            <w:i/>
                            <w:iCs/>
                          </w:rPr>
                          <w:t>Kratkotrajna financijska imovina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162,537.00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44,538.00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752,616.00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71,222.00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i/>
                            <w:iCs/>
                          </w:rPr>
                        </w:pPr>
                        <w:r>
                          <w:rPr>
                            <w:bCs/>
                            <w:i/>
                            <w:iCs/>
                          </w:rPr>
                          <w:t>Novac u banci i blagajni</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124,172.00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264,769.00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28,480.00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Plaćeni troškovi budućeg razdoblja i obračunati prihodi</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43,272.00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109,780.00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UKUPNO AKTIVA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4,452,071.00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12,885,020.00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12,762,920.00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
                            <w:bCs/>
                          </w:rPr>
                          <w:t>12,752,136.00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
                            <w:bCs/>
                          </w:rPr>
                          <w:t>PASIVA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Kapital i rezerve</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3,395,075.00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4,051,795.00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3,698,581.00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2,864,840.00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Temeljni kapital</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722,600.00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1,542,900.00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2,379,600.00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2,379,600.00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Revalorizacijske rezerve</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1,750,528.00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1,570,517.00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1,196,247.00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1,196,247.00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Zadržana dobit ili preneseni gubitak</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101,615.00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101,648.00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101,648.00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122,735.00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i/>
                            <w:iCs/>
                          </w:rPr>
                          <w:t>Dobit ili gubitak poslovne godine</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820,332.00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836,730.00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21,086.00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-833,742.00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Dugoročne obveze</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96,261.00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7,545,905.00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7,500,000.00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7,500,000.00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Kratkoročne obveze</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523,103.00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849,688.00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1,503,621.00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2,326,578.00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Odgođeno plaćanje troškova i prihod budućeg razdoblja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437,632.00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437,632.00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60,718.00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60,718.00 kn</w:t>
                        </w:r>
                      </w:p>
                    </w:tc>
                  </w:tr>
                  <w:tr w:rsidR="001C4B34">
                    <w:trPr>
                      <w:trHeight w:val="300"/>
                    </w:trPr>
                    <w:tc>
                      <w:tcPr>
                        <w:tcW w:type="dxa" w:w="2976"/>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UKUPNO PASIVA</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4,452,071.00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12,885,020.00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12,762,920.00 kn</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
                            <w:bCs/>
                          </w:rPr>
                          <w:t>12,752,136.00 kn</w:t>
                        </w:r>
                      </w:p>
                    </w:tc>
                  </w:tr>
                </w:tbl>
                <w:p w:rsidRDefault="001C4B34" w:rsidR="001C4B34">
                  <w:r>
                    <w:t xml:space="preserve"> </w:t>
                  </w:r>
                </w:p>
              </w:txbxContent>
            </v:textbox>
            <w10:wrap anchorx="margin" type="square"/>
          </v:shape>
        </w:pict>
      </w:r>
      <w:bookmarkStart w:name="_1605076013" w:id="1"/>
      <w:bookmarkEnd w:id="1"/>
    </w:p>
    <w:p w:rsidRDefault="001C4B34" w:rsidR="001C4B34">
      <w:pPr>
        <w:numPr>
          <w:ilvl w:val="0"/>
          <w:numId w:val="1"/>
        </w:numPr>
        <w:jc w:val="both"/>
        <w:rPr>
          <w:rFonts w:cs="Times New Roman" w:eastAsia="Times New Roman"/>
          <w:bCs/>
          <w:sz w:val="20"/>
          <w:szCs w:val="20"/>
          <w:lang w:bidi="ar-SA" w:eastAsia="ar-SA" w:val="en-GB"/>
        </w:rPr>
      </w:pPr>
      <w:r>
        <w:rPr>
          <w:b/>
          <w:bCs/>
        </w:rPr>
        <w:t>račun dobiti i gubitka</w:t>
      </w:r>
    </w:p>
    <w:p w:rsidRDefault="001C4B34" w:rsidR="001C4B34">
      <w:pPr>
        <w:jc w:val="both"/>
        <w:rPr>
          <w:rFonts w:cs="Times New Roman" w:eastAsia="Times New Roman"/>
          <w:bCs/>
          <w:sz w:val="20"/>
          <w:szCs w:val="20"/>
          <w:lang w:bidi="ar-SA" w:eastAsia="ar-SA" w:val="en-GB"/>
        </w:rPr>
      </w:pPr>
      <w:bookmarkStart w:name="_1605076242" w:id="2"/>
      <w:bookmarkEnd w:id="2"/>
    </w:p>
    <w:tbl>
      <w:tblPr>
        <w:tblW w:type="auto" w:w="0"/>
        <w:tblInd w:type="dxa" w:w="-890"/>
        <w:tblLayout w:type="fixed"/>
        <w:tblLook w:val="0000" w:noVBand="0" w:noHBand="0" w:lastColumn="0" w:firstColumn="0" w:lastRow="0" w:firstRow="0"/>
      </w:tblPr>
      <w:tblGrid>
        <w:gridCol w:w="2978"/>
        <w:gridCol w:w="1984"/>
        <w:gridCol w:w="1985"/>
        <w:gridCol w:w="1984"/>
        <w:gridCol w:w="2137"/>
      </w:tblGrid>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Pozicija</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2014</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2015</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2016</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
                <w:bCs/>
              </w:rPr>
              <w:t>2017</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Poslovni prihodi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8,420,067.00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4,882,426.00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6,086,744.00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2,857,960.00 kn</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Poslovni rashodi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3,976,271.00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4,020,155.00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5,726,033.00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3,570,867.00 kn</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Financijski prihodi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413.00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762.00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2,454.00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5,144.00 kn</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Financijski rashodi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13,714.00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7,859.00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308,580.00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125,979.00 kn</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Izvanredni - ostali rashodi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2,261.00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snapToGrid w:val="false"/>
              <w:jc w:val="both"/>
              <w:rPr>
                <w:bCs/>
              </w:rPr>
            </w:pP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napToGrid w:val="false"/>
              <w:jc w:val="both"/>
              <w:rPr>
                <w:bCs/>
              </w:rPr>
            </w:pP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Ukupni prihodi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4,820,480.00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4,883,188.00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6,089,198.00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2,863,104.00 kn</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Ukupni rashodi</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3,990,576.00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4,030,275.00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6,034,613.00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3,696,846.00 kn</w:t>
            </w:r>
          </w:p>
        </w:tc>
      </w:tr>
      <w:tr w:rsidR="001C4B34">
        <w:trPr>
          <w:trHeight w:val="300"/>
        </w:trPr>
        <w:tc>
          <w:tcPr>
            <w:tcW w:type="dxa" w:w="2978"/>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Dobit ili gubitak razdoblja</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829,904.00 kn</w:t>
            </w:r>
          </w:p>
        </w:tc>
        <w:tc>
          <w:tcPr>
            <w:tcW w:type="dxa" w:w="1985"/>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852,913.00 kn</w:t>
            </w:r>
          </w:p>
        </w:tc>
        <w:tc>
          <w:tcPr>
            <w:tcW w:type="dxa" w:w="1984"/>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54,585.00 kn</w:t>
            </w:r>
          </w:p>
        </w:tc>
        <w:tc>
          <w:tcPr>
            <w:tcW w:type="dxa" w:w="2137"/>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-833,742.00 kn</w:t>
            </w:r>
          </w:p>
        </w:tc>
      </w:tr>
    </w:tbl>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jc w:val="both"/>
        <w:rPr>
          <w:bCs/>
        </w:rPr>
      </w:pPr>
    </w:p>
    <w:p w:rsidRDefault="001C4B34" w:rsidR="001C4B34">
      <w:pPr>
        <w:numPr>
          <w:ilvl w:val="0"/>
          <w:numId w:val="1"/>
        </w:numPr>
        <w:jc w:val="both"/>
        <w:rPr>
          <w:rFonts w:cs="Times New Roman" w:eastAsia="Times New Roman"/>
          <w:bCs/>
          <w:sz w:val="20"/>
          <w:szCs w:val="20"/>
          <w:lang w:bidi="ar-SA" w:eastAsia="ar-SA" w:val="en-GB"/>
        </w:rPr>
      </w:pPr>
      <w:r>
        <w:rPr>
          <w:b/>
          <w:bCs/>
        </w:rPr>
        <w:t>bruto bilanca s 31.10.2018.</w:t>
      </w:r>
    </w:p>
    <w:p w:rsidRDefault="001C4B34" w:rsidR="001C4B34">
      <w:pPr>
        <w:jc w:val="both"/>
        <w:rPr>
          <w:rFonts w:cs="Times New Roman" w:eastAsia="Times New Roman"/>
          <w:bCs/>
          <w:sz w:val="20"/>
          <w:szCs w:val="20"/>
          <w:lang w:bidi="ar-SA" w:eastAsia="ar-SA" w:val="en-GB"/>
        </w:rPr>
      </w:pPr>
      <w:bookmarkStart w:name="_1605077016" w:id="3"/>
      <w:bookmarkEnd w:id="3"/>
    </w:p>
    <w:tbl>
      <w:tblPr>
        <w:tblW w:type="auto" w:w="0"/>
        <w:tblInd w:type="dxa" w:w="-5"/>
        <w:tblLayout w:type="fixed"/>
        <w:tblLook w:val="0000" w:noVBand="0" w:noHBand="0" w:lastColumn="0" w:firstColumn="0" w:lastRow="0" w:firstRow="0"/>
      </w:tblPr>
      <w:tblGrid>
        <w:gridCol w:w="4361"/>
        <w:gridCol w:w="2136"/>
      </w:tblGrid>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
                <w:bCs/>
              </w:rPr>
            </w:pPr>
            <w:r>
              <w:rPr>
                <w:b/>
                <w:bCs/>
              </w:rPr>
              <w:t>Pozicija</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
                <w:bCs/>
              </w:rPr>
              <w:t>31.10.2018.</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Dugotrajna imovina</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11,086,051.65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Potraživanja od kupaca</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65,459.08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Potraživanje za dane pozajmice</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10,125.11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Potraživanje za udjele u dobiti</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1,527,984.60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Potraživanje od FINA-e</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5,000.00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Obveze prema dobavljačima</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1,063,590.06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Obveze za preuzete kredite i pozajmice</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547,452.12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Obveze za leasing</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11,359.81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Obveze po osnovi javnih davanja</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734,381.75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Obveze za neto plaće</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36,171.64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Gubitak poslovne godine</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833,742.66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Temeljni kapital</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2,379,600.00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Prijenos gubitka</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711,007.61 kn</w:t>
            </w:r>
          </w:p>
        </w:tc>
      </w:tr>
      <w:tr w:rsidR="001C4B34">
        <w:trPr>
          <w:trHeight w:val="300"/>
        </w:trPr>
        <w:tc>
          <w:tcPr>
            <w:tcW w:type="dxa" w:w="4361"/>
            <w:tcBorders>
              <w:top w:space="0" w:sz="4" w:color="000000" w:val="single"/>
              <w:left w:space="0" w:sz="4" w:color="000000" w:val="single"/>
              <w:bottom w:space="0" w:sz="4" w:color="000000" w:val="single"/>
            </w:tcBorders>
            <w:shd w:fill="auto" w:color="auto" w:val="clear"/>
          </w:tcPr>
          <w:p w:rsidRDefault="001C4B34" w:rsidR="001C4B34">
            <w:pPr>
              <w:jc w:val="both"/>
              <w:rPr>
                <w:bCs/>
              </w:rPr>
            </w:pPr>
            <w:r>
              <w:rPr>
                <w:bCs/>
              </w:rPr>
              <w:t>Obveze za dugoročni kredit HBOR</w:t>
            </w:r>
          </w:p>
        </w:tc>
        <w:tc>
          <w:tcPr>
            <w:tcW w:type="dxa" w:w="2136"/>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jc w:val="both"/>
            </w:pPr>
            <w:r>
              <w:rPr>
                <w:bCs/>
              </w:rPr>
              <w:t>7,500,000.00 kn</w:t>
            </w:r>
          </w:p>
        </w:tc>
      </w:tr>
    </w:tbl>
    <w:p w:rsidRDefault="001C4B34" w:rsidR="001C4B34">
      <w:pPr>
        <w:jc w:val="both"/>
        <w:rPr>
          <w:bCs/>
        </w:rPr>
      </w:pPr>
    </w:p>
    <w:p w:rsidRDefault="001C4B34" w:rsidR="001C4B34">
      <w:pPr>
        <w:jc w:val="both"/>
      </w:pPr>
    </w:p>
    <w:p w:rsidRDefault="001C4B34" w:rsidR="001C4B34">
      <w:pPr>
        <w:spacing w:lineRule="auto" w:line="240"/>
        <w:jc w:val="both"/>
        <w:rPr>
          <w:bCs/>
          <w:iCs/>
        </w:rPr>
      </w:pPr>
      <w:r>
        <w:rPr>
          <w:bCs/>
          <w:iCs/>
        </w:rPr>
        <w:t>Iz prikazanog je razvidno da je dužnik sve do 2017. g. poslovao s dobiti i mogao pravovremeno podmirivati obveze i troškove vlastitog poslovanja. No u 2017. g. došlo je do većeg kreditnog zaduženja dužnika uz istovremeno velike obveze po osnovi javnih davanja te dužnik nije bio u mogućnosti financirati sve nastale troškove i obveze te je 2017. g. okončao s gubitkom nakon čega je uslijedila i blokada računa dužnika koja nije mogla biti otklonjena.</w:t>
      </w:r>
    </w:p>
    <w:p w:rsidRDefault="001C4B34" w:rsidR="001C4B34">
      <w:pPr>
        <w:spacing w:lineRule="auto" w:line="240"/>
        <w:jc w:val="both"/>
        <w:rPr>
          <w:bCs/>
          <w:iCs/>
        </w:rPr>
      </w:pPr>
    </w:p>
    <w:p w:rsidRDefault="001C4B34" w:rsidR="001C4B34">
      <w:pPr>
        <w:spacing w:lineRule="auto" w:line="240"/>
        <w:jc w:val="both"/>
        <w:rPr>
          <w:bCs/>
          <w:iCs/>
        </w:rPr>
      </w:pPr>
      <w:r>
        <w:rPr>
          <w:bCs/>
          <w:iCs/>
        </w:rPr>
        <w:t>Prema podacima Općinskog suda u Zlataru, Zemljišnoknjižni odjel Krapina dužnik u svom vlasništvu ima slijedeće nekretnine:</w:t>
      </w:r>
    </w:p>
    <w:p w:rsidRDefault="001C4B34" w:rsidR="001C4B34">
      <w:pPr>
        <w:numPr>
          <w:ilvl w:val="0"/>
          <w:numId w:val="2"/>
        </w:numPr>
        <w:spacing w:lineRule="auto" w:line="240"/>
        <w:jc w:val="both"/>
        <w:rPr>
          <w:bCs/>
          <w:iCs/>
        </w:rPr>
      </w:pPr>
      <w:r>
        <w:rPr>
          <w:bCs/>
          <w:iCs/>
        </w:rPr>
        <w:t>kčbr. 323/4, zk.ul. 1979, k.o. 315257, Škarićevo, u naravi Vuglec breg koji se sastoji od puta površine 275 m2, livade površine 1674 m2, livade površine 23 m2, ukupne površine 1972 m2,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w:t>
      </w:r>
    </w:p>
    <w:p w:rsidRDefault="001C4B34" w:rsidR="001C4B34">
      <w:pPr>
        <w:spacing w:lineRule="auto" w:line="240"/>
        <w:ind w:left="720"/>
        <w:jc w:val="both"/>
        <w:rPr>
          <w:bCs/>
          <w:iCs/>
        </w:rPr>
      </w:pPr>
    </w:p>
    <w:p w:rsidRDefault="001C4B34" w:rsidR="001C4B34">
      <w:pPr>
        <w:numPr>
          <w:ilvl w:val="0"/>
          <w:numId w:val="2"/>
        </w:numPr>
        <w:rPr>
          <w:bCs/>
          <w:iCs/>
        </w:rPr>
      </w:pPr>
      <w:r>
        <w:rPr>
          <w:bCs/>
          <w:iCs/>
        </w:rPr>
        <w:t>kčbr. 325/1, zk.ul. 1821, k.o. 315257, Škarićevo, u naravi šuma i put, površine 237 m2, i kčbr. 326/1, zk.ul. 1821, k.o. 315257, Škarićevo, u naravi šuma površine 237 m2, ukupne površine 474 m2, obje nekretnine opterećene su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w:t>
      </w:r>
      <w:r>
        <w:t xml:space="preserve"> </w:t>
      </w:r>
      <w:r>
        <w:rPr>
          <w:bCs/>
          <w:iCs/>
        </w:rPr>
        <w:t>na istoj nekretnini izvršena je i uknjižba prava zaloga u korist društva Midfar d.o.o. na rok od 5 godina temeljem ugovora o zakupu od 24. siječnja 2017. g.,</w:t>
      </w:r>
    </w:p>
    <w:p w:rsidRDefault="001C4B34" w:rsidR="001C4B34">
      <w:pPr>
        <w:spacing w:lineRule="auto" w:line="240"/>
        <w:ind w:left="720"/>
        <w:jc w:val="both"/>
        <w:rPr>
          <w:bCs/>
          <w:iCs/>
        </w:rPr>
      </w:pPr>
    </w:p>
    <w:p w:rsidRDefault="001C4B34" w:rsidR="001C4B34">
      <w:pPr>
        <w:numPr>
          <w:ilvl w:val="0"/>
          <w:numId w:val="2"/>
        </w:numPr>
        <w:rPr>
          <w:bCs/>
          <w:iCs/>
        </w:rPr>
      </w:pPr>
      <w:r>
        <w:rPr>
          <w:bCs/>
          <w:iCs/>
        </w:rPr>
        <w:t xml:space="preserve">kčbr. 330/3, zk.ul. 1980, k.o. 315257, Škarićevo, u naravi dvorište površine 586 m2, i zgrada za iznajmljivanje površine 148 m2, ukupne površine 734 m2, ista nekretnina opterećena je založnim pravom u korist Hrvatske banke za obnovu i razvitak iz </w:t>
      </w:r>
      <w:r>
        <w:rPr>
          <w:bCs/>
          <w:iCs/>
        </w:rPr>
        <w:lastRenderedPageBreak/>
        <w:t>Zagreba, Trg Josipa Jurja Strossmayera 9, u iznosu od 7.500.000,00 Kn, založnim pravom u korist Midfar d.o.o. iz Zagreba, Ulica Matka Baštijana 48, u iznosu od 1.026.155,99 Kn, založnim pravom u korist Republike Hrvatske u iznosu od 220.079,15 Kn,</w:t>
      </w:r>
      <w:r>
        <w:t xml:space="preserve"> </w:t>
      </w:r>
      <w:r>
        <w:rPr>
          <w:bCs/>
          <w:iCs/>
        </w:rPr>
        <w:t>na istoj nekretnini izvršena je i uknjižba prava zaloga u korist društva Midfar d.o.o. na rok od 5 godina temeljem ugovora o zakupu od 24. siječnja 2017. g.,</w:t>
      </w:r>
    </w:p>
    <w:p w:rsidRDefault="001C4B34" w:rsidR="001C4B34">
      <w:pPr>
        <w:ind w:left="720"/>
        <w:rPr>
          <w:bCs/>
          <w:iCs/>
        </w:rPr>
      </w:pPr>
    </w:p>
    <w:p w:rsidRDefault="001C4B34" w:rsidR="001C4B34">
      <w:pPr>
        <w:numPr>
          <w:ilvl w:val="0"/>
          <w:numId w:val="2"/>
        </w:numPr>
        <w:rPr>
          <w:bCs/>
          <w:iCs/>
        </w:rPr>
      </w:pPr>
      <w:r>
        <w:rPr>
          <w:bCs/>
          <w:iCs/>
        </w:rPr>
        <w:t>kčbr. 329/1, zk.ul. 1505, k.o. 315257, Škarićevo, u naravi vinograd i put površine 357 m2,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pStyle w:val="Odlomakpopisa1"/>
        <w:rPr>
          <w:bCs/>
          <w:iCs/>
        </w:rPr>
      </w:pPr>
    </w:p>
    <w:p w:rsidRDefault="001C4B34" w:rsidR="001C4B34">
      <w:pPr>
        <w:ind w:left="720"/>
        <w:rPr>
          <w:bCs/>
          <w:iCs/>
        </w:rPr>
      </w:pPr>
    </w:p>
    <w:p w:rsidRDefault="001C4B34" w:rsidR="001C4B34">
      <w:pPr>
        <w:numPr>
          <w:ilvl w:val="0"/>
          <w:numId w:val="2"/>
        </w:numPr>
        <w:rPr>
          <w:bCs/>
          <w:iCs/>
        </w:rPr>
      </w:pPr>
      <w:r>
        <w:rPr>
          <w:bCs/>
          <w:iCs/>
        </w:rPr>
        <w:t>kčbr. 430, zk.ul. 1812, k.o. 315257, Škarićevo, u naravi vinograd, livada i put površine 1 jutro i 8 čhv,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ind w:left="720"/>
        <w:rPr>
          <w:bCs/>
          <w:iCs/>
        </w:rPr>
      </w:pPr>
    </w:p>
    <w:p w:rsidRDefault="001C4B34" w:rsidR="001C4B34">
      <w:pPr>
        <w:numPr>
          <w:ilvl w:val="0"/>
          <w:numId w:val="2"/>
        </w:numPr>
        <w:rPr>
          <w:bCs/>
          <w:iCs/>
        </w:rPr>
      </w:pPr>
      <w:r>
        <w:rPr>
          <w:bCs/>
          <w:iCs/>
        </w:rPr>
        <w:t>kčbr. 323/1, zk.ul. 1811, k.o. 315257, Škarićevo, u naravi šuma površine 1 jutro i 1327 kčhv, kčbr. 324, zk.ul. 1811, k.o. 315257, Škarićevo, u naravi pašnjak i vinograd površine 922 čhv, kčbr. 331, zk.ul. 1811, k.o. 315257, Škarićevo, u naravi dvorištepovršine 544 m2, kčbr. 333, zk.ul. 1811, k.o. 315257, Škarićevo, u naravi jarek površine 9231 m2, sve nekretnine opterećene su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rPr>
          <w:bCs/>
          <w:iCs/>
        </w:rPr>
      </w:pPr>
    </w:p>
    <w:p w:rsidRDefault="001C4B34" w:rsidR="001C4B34">
      <w:pPr>
        <w:numPr>
          <w:ilvl w:val="0"/>
          <w:numId w:val="2"/>
        </w:numPr>
        <w:rPr>
          <w:bCs/>
          <w:iCs/>
        </w:rPr>
      </w:pPr>
      <w:r>
        <w:rPr>
          <w:bCs/>
          <w:iCs/>
        </w:rPr>
        <w:t>kčbr. 325/2, zk.ul. 1006, k.o. 315257, Škarićevo, u naravi pašnjak i put površine 200 čhv, i kčbr. 334, zk.ul. 1006, k.o. 315257, Škarićevo, obje nekretnine opterećene su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rPr>
          <w:bCs/>
          <w:iCs/>
        </w:rPr>
      </w:pPr>
    </w:p>
    <w:p w:rsidRDefault="001C4B34" w:rsidR="001C4B34">
      <w:pPr>
        <w:numPr>
          <w:ilvl w:val="0"/>
          <w:numId w:val="2"/>
        </w:numPr>
        <w:rPr>
          <w:bCs/>
          <w:iCs/>
        </w:rPr>
      </w:pPr>
      <w:r>
        <w:rPr>
          <w:bCs/>
          <w:iCs/>
        </w:rPr>
        <w:t>kčbr. 326/2, zk.ul. 1641, k.o. 315257, Škarićevo, u naravi put Kiponšak, površine 59 čhv, na istoj nekretnini izvršena je i uknjižba prava zaloga u korist društva Midfar d.o.o. na rok od 5 godina temeljem ugovora o zakupu od 24. siječnja 2017. g.,</w:t>
      </w:r>
    </w:p>
    <w:p w:rsidRDefault="001C4B34" w:rsidR="001C4B34">
      <w:pPr>
        <w:rPr>
          <w:bCs/>
          <w:iCs/>
        </w:rPr>
      </w:pPr>
    </w:p>
    <w:p w:rsidRDefault="001C4B34" w:rsidR="001C4B34">
      <w:pPr>
        <w:numPr>
          <w:ilvl w:val="0"/>
          <w:numId w:val="2"/>
        </w:numPr>
        <w:rPr>
          <w:bCs/>
          <w:iCs/>
        </w:rPr>
      </w:pPr>
      <w:r>
        <w:rPr>
          <w:bCs/>
          <w:iCs/>
        </w:rPr>
        <w:t xml:space="preserve">kčbr. 323/3, zk.ul. 1438, k.o. 315257, Škarićevo, u naravi Vuglec Breg površine 6221 </w:t>
      </w:r>
      <w:r>
        <w:rPr>
          <w:bCs/>
          <w:iCs/>
        </w:rPr>
        <w:lastRenderedPageBreak/>
        <w:t>m2, koji se sastoji od livade površine 2963 m2, šume površine 1582 m2, i pašnjaka površine 1946 m2,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rPr>
          <w:bCs/>
          <w:iCs/>
        </w:rPr>
      </w:pPr>
    </w:p>
    <w:p w:rsidRDefault="001C4B34" w:rsidR="001C4B34">
      <w:pPr>
        <w:numPr>
          <w:ilvl w:val="0"/>
          <w:numId w:val="2"/>
        </w:numPr>
        <w:rPr>
          <w:bCs/>
          <w:iCs/>
        </w:rPr>
      </w:pPr>
      <w:r>
        <w:rPr>
          <w:bCs/>
          <w:iCs/>
        </w:rPr>
        <w:t>kčbr. 330/1, zk.ul. 1439, k.o. 315257, Škarićevo, u naravi dvorište površine 9152 m2, koje se sastoji od dvorišta površine 3410 m2, puta površine 1423 m2, sedam gospodarskih zgrada površine 647 m2, i voćnjaka povšrine 3672 m2,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pStyle w:val="Odlomakpopisa1"/>
        <w:rPr>
          <w:bCs/>
          <w:iCs/>
        </w:rPr>
      </w:pPr>
    </w:p>
    <w:p w:rsidRDefault="001C4B34" w:rsidR="001C4B34">
      <w:pPr>
        <w:numPr>
          <w:ilvl w:val="0"/>
          <w:numId w:val="2"/>
        </w:numPr>
        <w:rPr>
          <w:bCs/>
          <w:iCs/>
        </w:rPr>
      </w:pPr>
      <w:r>
        <w:rPr>
          <w:bCs/>
          <w:iCs/>
        </w:rPr>
        <w:t>kčbr. 328/1, zk.ul. 449, k.o. 315257, Škarićevo, u naravi livada, put i vinograd površine 883 čhv, koji se sastoji od livade površine 22 čhv, puta površine 14 čhv i vinograda površine 847 čhv,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pStyle w:val="Odlomakpopisa1"/>
        <w:rPr>
          <w:bCs/>
          <w:iCs/>
        </w:rPr>
      </w:pPr>
    </w:p>
    <w:p w:rsidRDefault="001C4B34" w:rsidR="001C4B34">
      <w:pPr>
        <w:numPr>
          <w:ilvl w:val="0"/>
          <w:numId w:val="2"/>
        </w:numPr>
        <w:rPr>
          <w:bCs/>
          <w:iCs/>
        </w:rPr>
      </w:pPr>
      <w:r>
        <w:rPr>
          <w:bCs/>
          <w:iCs/>
        </w:rPr>
        <w:t>kčbr. 328/2, zk.ul. 1642, k.o. 315257, Škarićevo, u naravi oranica, put i vinograd površine 600 čhv, koji se sastoji od oranice površine 250 čhv, puta površine 58 čhv i vinograda površine 292 čhv,</w:t>
      </w:r>
      <w:r>
        <w:t xml:space="preserve"> </w:t>
      </w:r>
      <w:r>
        <w:rPr>
          <w:bCs/>
          <w:iCs/>
        </w:rPr>
        <w:t>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rPr>
          <w:bCs/>
          <w:iCs/>
        </w:rPr>
      </w:pPr>
    </w:p>
    <w:p w:rsidRDefault="001C4B34" w:rsidR="001C4B34">
      <w:pPr>
        <w:numPr>
          <w:ilvl w:val="0"/>
          <w:numId w:val="2"/>
        </w:numPr>
        <w:rPr>
          <w:bCs/>
          <w:iCs/>
        </w:rPr>
      </w:pPr>
      <w:r>
        <w:rPr>
          <w:bCs/>
          <w:iCs/>
        </w:rPr>
        <w:t>kčbr. 332, zk.ul. 1825, k.o. 315257, Škarićevo, u naravi pašnjak, površine 22 čhv,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pStyle w:val="Odlomakpopisa1"/>
        <w:rPr>
          <w:bCs/>
          <w:iCs/>
        </w:rPr>
      </w:pPr>
    </w:p>
    <w:p w:rsidRDefault="001C4B34" w:rsidR="001C4B34">
      <w:pPr>
        <w:numPr>
          <w:ilvl w:val="0"/>
          <w:numId w:val="2"/>
        </w:numPr>
        <w:rPr>
          <w:bCs/>
          <w:iCs/>
        </w:rPr>
      </w:pPr>
      <w:r>
        <w:rPr>
          <w:bCs/>
          <w:iCs/>
        </w:rPr>
        <w:t xml:space="preserve">kčbr. 11/1, zk.ul. 1180, k.o. 315257, Škarićevo, u naravi oranica i vinograd površine 1487 čhv, koji se sastoji od oranice površine 953 čhv, i vinograda površine 534 čhv, ista nekretnina opterećena je založnim pravom u korist Hrvatske banke za obnovu i </w:t>
      </w:r>
      <w:r>
        <w:rPr>
          <w:bCs/>
          <w:iCs/>
        </w:rPr>
        <w:lastRenderedPageBreak/>
        <w:t>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pStyle w:val="Odlomakpopisa1"/>
        <w:rPr>
          <w:bCs/>
          <w:iCs/>
        </w:rPr>
      </w:pPr>
    </w:p>
    <w:p w:rsidRDefault="001C4B34" w:rsidR="001C4B34">
      <w:pPr>
        <w:numPr>
          <w:ilvl w:val="0"/>
          <w:numId w:val="2"/>
        </w:numPr>
        <w:rPr>
          <w:bCs/>
          <w:iCs/>
        </w:rPr>
      </w:pPr>
      <w:r>
        <w:rPr>
          <w:bCs/>
          <w:iCs/>
        </w:rPr>
        <w:t>kčbr. 433/3, zk.ul. 1147, k.o. k.o. 315257, Škarićevo, u šuma Jarek u Španički, površine 1 jutro i 87 čhv,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Pr>
        <w:rPr>
          <w:bCs/>
          <w:iCs/>
        </w:rPr>
      </w:pPr>
    </w:p>
    <w:p w:rsidRDefault="001C4B34" w:rsidR="001C4B34">
      <w:pPr>
        <w:numPr>
          <w:ilvl w:val="0"/>
          <w:numId w:val="2"/>
        </w:numPr>
      </w:pPr>
      <w:r>
        <w:rPr>
          <w:bCs/>
          <w:iCs/>
        </w:rPr>
        <w:t>kčbr. 323/2, zk.ul. 1813, k.o. 315257, Škarićevo, u naravi Vuglec Breg površine 4183 čhv, koji se sastoji od puta, površine 25 čhv, oranice površine 1845 čhv, i šume površine 2086 čhv, ista nekretnina opterećena je založnim pravom u korist Hrvatske banke za obnovu i razvitak iz Zagreba, Trg Josipa Jurja Strossmayera 9, u iznosu od 7.500.000,00 Kn, založnim pravom u korist Midfar d.o.o. iz Zagreba, Ulica Matka Baštijana 48, u iznosu od 1.026.155,99 Kn, založnim pravom u korist Republike Hrvatske u iznosu od 220.079,15 Kn, na istoj nekretnini izvršena je i uknjižba prava zaloga u korist društva Midfar d.o.o. na rok od 5 godina temeljem ugovora o zakupu od 24. siječnja 2017. g.</w:t>
      </w:r>
    </w:p>
    <w:p w:rsidRDefault="001C4B34" w:rsidR="001C4B34"/>
    <w:p w:rsidRDefault="001C4B34" w:rsidR="001C4B34">
      <w:pPr>
        <w:jc w:val="both"/>
      </w:pPr>
      <w:r>
        <w:rPr>
          <w:bCs/>
          <w:iCs/>
        </w:rPr>
        <w:t>Nekretnine u vlasništvu dužnika upisane u k.o. 315257, Škarićevo, i to zk.ul. 1439, kčbr. 330/1 i kčbr. 330/3, zk.ul. 1438, kčbr. 323/3, zk.ul. 1813, kčbr. 323/2 i 329/2, zk.ul. 1811, kčbr. 323/1, 324, 331 i 333, zk.ul. 1505, kčbr. 329/1, zk.ul. 1642, kčbr. 328/2, zk.ul. 449, kčbr. 328/1, zk.ul. 1812. kčbr. 430, zk.ul. 1821, kčbr. 325/1, zk.ul. 1147, kčbr. 433/3, zk.ul. 1006, kčbr. 325/2, zk.ul. 1825, kčbr. 332, zk.ul. 1180, kčbr. 11/1, zk.ul. 1941, kčbr. 326/2, dane su u zakup društvu Midfar d.o.o. iz Zagreba, Baštijanova 48, kao i pokretnine koje se nalaze u navedenim nekretninama i to oprema za proizvodnju vina, invetar u ugostiteljskom objektu i dr., temeljem ugovora o zakupu poslovnog prostora od 24. siječnja 2017. g. i aneksu ugovora o zakupu poslovnog prostora od 24. siječnja 2017. g. sklopljenog 21. studenog 2017. g. Ugovor o zakupu sklopljen je na razdoblje od 20 godina s ugovorenom godišnjom zakupinom od 144.000,00 Kn uvećanoj za porez na dodanu vrijednost.</w:t>
      </w:r>
    </w:p>
    <w:p w:rsidRDefault="001C4B34" w:rsidR="001C4B34">
      <w:pPr>
        <w:jc w:val="both"/>
      </w:pPr>
    </w:p>
    <w:p w:rsidRDefault="001C4B34" w:rsidR="001C4B34">
      <w:pPr>
        <w:jc w:val="both"/>
        <w:rPr>
          <w:bCs/>
          <w:iCs/>
        </w:rPr>
      </w:pPr>
      <w:r>
        <w:rPr>
          <w:bCs/>
          <w:iCs/>
        </w:rPr>
        <w:t>Dužnik je dana 27. studenog 2017. g. s društvom Midfar d.o.o. sklopio i ugovor o zakupu poslovnog prostora za kuću za smještaj gostiju s 8 dvokrevetnih soba, te svom pripadajućom opremom  na rok od 5 godina uz ugovorenu godišnju zakupninu od 12.000,00 Kn uvećanu za porez na dodanu vrijednost.</w:t>
      </w:r>
    </w:p>
    <w:p w:rsidRDefault="001C4B34" w:rsidR="001C4B34">
      <w:pPr>
        <w:ind w:left="360"/>
        <w:rPr>
          <w:bCs/>
          <w:iCs/>
        </w:rPr>
      </w:pPr>
    </w:p>
    <w:p w:rsidRDefault="001C4B34" w:rsidR="001C4B34">
      <w:pPr>
        <w:jc w:val="both"/>
        <w:rPr>
          <w:rFonts w:cs="Times New Roman" w:eastAsia="Times New Roman"/>
          <w:bCs/>
          <w:iCs/>
          <w:sz w:val="20"/>
          <w:szCs w:val="20"/>
          <w:lang w:bidi="ar-SA" w:eastAsia="ar-SA" w:val="en-GB"/>
        </w:rPr>
      </w:pPr>
      <w:r>
        <w:rPr>
          <w:bCs/>
          <w:iCs/>
        </w:rPr>
        <w:t>Prema bruto bilanci s danom 31. listopada 2018. g. dužnik u svom vlasništvu ima i slijedeće pokretnine:</w:t>
      </w:r>
    </w:p>
    <w:p w:rsidRDefault="001C4B34" w:rsidR="001C4B34">
      <w:pPr>
        <w:rPr>
          <w:rFonts w:cs="Times New Roman" w:eastAsia="Times New Roman"/>
          <w:bCs/>
          <w:iCs/>
          <w:sz w:val="20"/>
          <w:szCs w:val="20"/>
          <w:lang w:bidi="ar-SA" w:eastAsia="ar-SA" w:val="en-GB"/>
        </w:rPr>
      </w:pPr>
      <w:bookmarkStart w:name="_1605080328" w:id="4"/>
      <w:bookmarkEnd w:id="4"/>
    </w:p>
    <w:tbl>
      <w:tblPr>
        <w:tblW w:type="auto" w:w="0"/>
        <w:tblInd w:type="dxa" w:w="-5"/>
        <w:tblLayout w:type="fixed"/>
        <w:tblLook w:val="0000" w:noVBand="0" w:noHBand="0" w:lastColumn="0" w:firstColumn="0" w:lastRow="0" w:firstRow="0"/>
      </w:tblPr>
      <w:tblGrid>
        <w:gridCol w:w="723"/>
        <w:gridCol w:w="6602"/>
        <w:gridCol w:w="2710"/>
      </w:tblGrid>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
                <w:bCs/>
                <w:iCs/>
              </w:rPr>
            </w:pPr>
            <w:r>
              <w:rPr>
                <w:b/>
                <w:bCs/>
                <w:iCs/>
              </w:rPr>
              <w:t>RBR</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
                <w:bCs/>
                <w:iCs/>
              </w:rPr>
            </w:pPr>
            <w:r>
              <w:rPr>
                <w:b/>
                <w:bCs/>
                <w:iCs/>
              </w:rPr>
              <w:t>Opis</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
                <w:bCs/>
                <w:iCs/>
              </w:rPr>
              <w:t>Knjigovodstvena vrijednost</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1</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Elektronička računala oprema AOP</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29,679.66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2</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Fotokopirni aparati, telefoni, blagajne</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117,115.57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3</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Teh. postrojenja, uređaji rashladna postrojenja</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1,039,554.36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lastRenderedPageBreak/>
              <w:t>4</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Oprema TV</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13,580.75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5</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 xml:space="preserve">Strojevi i alati </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106,156.91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6</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Oprema i inventar Wine bar Pag</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643,703.10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7</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Pogonski i skladišni inventar</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6,820.00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8</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Pokućstvo, namještaj</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53,711.88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9</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Transportna sredstva</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68,000.90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10</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Dugotrajna imovina u pripremi - kuća Jagica</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2,409,812.30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11</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Inv. u tjeku - rashladna komora</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72,950.69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12</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Dugotrajna imovina u pripremi - sportski tereni, potporni zid</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28,400.00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13</w:t>
            </w: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Cs/>
                <w:iCs/>
              </w:rPr>
            </w:pPr>
            <w:r>
              <w:rPr>
                <w:bCs/>
                <w:iCs/>
              </w:rPr>
              <w:t>Osnovno stado - konji</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Cs/>
                <w:iCs/>
              </w:rPr>
              <w:t>34,440.00 kn</w:t>
            </w:r>
          </w:p>
        </w:tc>
      </w:tr>
      <w:tr w:rsidR="001C4B34">
        <w:trPr>
          <w:trHeight w:val="300"/>
        </w:trPr>
        <w:tc>
          <w:tcPr>
            <w:tcW w:type="dxa" w:w="723"/>
            <w:tcBorders>
              <w:top w:space="0" w:sz="4" w:color="000000" w:val="single"/>
              <w:left w:space="0" w:sz="4" w:color="000000" w:val="single"/>
              <w:bottom w:space="0" w:sz="4" w:color="000000" w:val="single"/>
            </w:tcBorders>
            <w:shd w:fill="auto" w:color="auto" w:val="clear"/>
          </w:tcPr>
          <w:p w:rsidRDefault="001C4B34" w:rsidR="001C4B34">
            <w:pPr>
              <w:snapToGrid w:val="false"/>
              <w:ind w:left="720"/>
              <w:rPr>
                <w:b/>
                <w:bCs/>
                <w:iCs/>
              </w:rPr>
            </w:pPr>
          </w:p>
        </w:tc>
        <w:tc>
          <w:tcPr>
            <w:tcW w:type="dxa" w:w="6602"/>
            <w:tcBorders>
              <w:top w:space="0" w:sz="4" w:color="000000" w:val="single"/>
              <w:left w:space="0" w:sz="4" w:color="000000" w:val="single"/>
              <w:bottom w:space="0" w:sz="4" w:color="000000" w:val="single"/>
            </w:tcBorders>
            <w:shd w:fill="auto" w:color="auto" w:val="clear"/>
          </w:tcPr>
          <w:p w:rsidRDefault="001C4B34" w:rsidR="001C4B34">
            <w:pPr>
              <w:rPr>
                <w:b/>
                <w:bCs/>
                <w:iCs/>
              </w:rPr>
            </w:pPr>
            <w:r>
              <w:rPr>
                <w:b/>
                <w:bCs/>
                <w:iCs/>
              </w:rPr>
              <w:t>UKUPNO</w:t>
            </w:r>
          </w:p>
        </w:tc>
        <w:tc>
          <w:tcPr>
            <w:tcW w:type="dxa" w:w="2710"/>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r>
              <w:rPr>
                <w:b/>
                <w:bCs/>
                <w:iCs/>
              </w:rPr>
              <w:t>4,623,926.12 kn</w:t>
            </w:r>
          </w:p>
        </w:tc>
      </w:tr>
    </w:tbl>
    <w:p w:rsidRDefault="001C4B34" w:rsidR="001C4B34">
      <w:pPr>
        <w:rPr>
          <w:bCs/>
          <w:iCs/>
        </w:rPr>
      </w:pPr>
    </w:p>
    <w:p w:rsidRDefault="001C4B34" w:rsidR="001C4B34">
      <w:pPr>
        <w:jc w:val="both"/>
        <w:rPr>
          <w:bCs/>
          <w:iCs/>
        </w:rPr>
      </w:pPr>
      <w:r>
        <w:rPr>
          <w:bCs/>
          <w:iCs/>
        </w:rPr>
        <w:t>Prema podacima dobivenim od zakonskog zastupnika dužnika isti ima u svom vlasništvu i slijedećeg:</w:t>
      </w:r>
    </w:p>
    <w:p w:rsidRDefault="001C4B34" w:rsidR="001C4B34">
      <w:pPr>
        <w:numPr>
          <w:ilvl w:val="0"/>
          <w:numId w:val="3"/>
        </w:numPr>
        <w:rPr>
          <w:bCs/>
          <w:iCs/>
        </w:rPr>
      </w:pPr>
      <w:r>
        <w:rPr>
          <w:bCs/>
          <w:iCs/>
        </w:rPr>
        <w:t>mehanička preša 1100 L, marka Hoffmann Landmaschienen, godina proizvodnje 1995,</w:t>
      </w:r>
    </w:p>
    <w:p w:rsidRDefault="001C4B34" w:rsidR="001C4B34">
      <w:pPr>
        <w:numPr>
          <w:ilvl w:val="0"/>
          <w:numId w:val="3"/>
        </w:numPr>
        <w:rPr>
          <w:bCs/>
          <w:iCs/>
        </w:rPr>
      </w:pPr>
      <w:r>
        <w:rPr>
          <w:bCs/>
          <w:iCs/>
        </w:rPr>
        <w:t>perilica čaša Dihr GS 37, serijski broj proizvodnje: DW/1010343, godine proizvodnje 2015,</w:t>
      </w:r>
    </w:p>
    <w:p w:rsidRDefault="001C4B34" w:rsidR="001C4B34">
      <w:pPr>
        <w:numPr>
          <w:ilvl w:val="0"/>
          <w:numId w:val="3"/>
        </w:numPr>
        <w:rPr>
          <w:bCs/>
          <w:iCs/>
        </w:rPr>
      </w:pPr>
      <w:r>
        <w:rPr>
          <w:bCs/>
          <w:iCs/>
        </w:rPr>
        <w:t>rashladna komora Luna Eco TM, serijski broj proizvodnje: AE 201004544, godina proizvodnje 2010,</w:t>
      </w:r>
    </w:p>
    <w:p w:rsidRDefault="001C4B34" w:rsidR="001C4B34">
      <w:pPr>
        <w:numPr>
          <w:ilvl w:val="0"/>
          <w:numId w:val="3"/>
        </w:numPr>
        <w:rPr>
          <w:bCs/>
          <w:iCs/>
        </w:rPr>
      </w:pPr>
      <w:r>
        <w:rPr>
          <w:bCs/>
          <w:iCs/>
        </w:rPr>
        <w:t>hlađeni pult s koritom za pranje, serijski broj proizvodnje KB650, marka: Konim B, godina proizvodnje 2006.,</w:t>
      </w:r>
    </w:p>
    <w:p w:rsidRDefault="001C4B34" w:rsidR="001C4B34">
      <w:pPr>
        <w:numPr>
          <w:ilvl w:val="0"/>
          <w:numId w:val="3"/>
        </w:numPr>
        <w:rPr>
          <w:bCs/>
          <w:iCs/>
        </w:rPr>
      </w:pPr>
      <w:r>
        <w:rPr>
          <w:bCs/>
          <w:iCs/>
        </w:rPr>
        <w:t>plinska konvekcijska pećnica, serijski broj proizvodnje 2S56873, marka: Olic, godina proizvodnje: 2006.,</w:t>
      </w:r>
    </w:p>
    <w:p w:rsidRDefault="001C4B34" w:rsidR="001C4B34">
      <w:pPr>
        <w:numPr>
          <w:ilvl w:val="0"/>
          <w:numId w:val="3"/>
        </w:numPr>
        <w:rPr>
          <w:bCs/>
          <w:iCs/>
        </w:rPr>
      </w:pPr>
      <w:r>
        <w:rPr>
          <w:bCs/>
          <w:iCs/>
        </w:rPr>
        <w:t>stroj za pranje čaša, serijski broj proizvodnje: DX20S64, marka: Dexion, godina proizvodnje: 2006.,</w:t>
      </w:r>
    </w:p>
    <w:p w:rsidRDefault="001C4B34" w:rsidR="001C4B34">
      <w:pPr>
        <w:numPr>
          <w:ilvl w:val="0"/>
          <w:numId w:val="3"/>
        </w:numPr>
        <w:rPr>
          <w:bCs/>
          <w:iCs/>
        </w:rPr>
      </w:pPr>
      <w:r>
        <w:rPr>
          <w:bCs/>
          <w:iCs/>
        </w:rPr>
        <w:t>stroj za pranje čaša, serijski broj proizvodnje: DX20S64, marka: Dexion, godina proizvodnje: 2006.,</w:t>
      </w:r>
    </w:p>
    <w:p w:rsidRDefault="001C4B34" w:rsidR="001C4B34">
      <w:pPr>
        <w:numPr>
          <w:ilvl w:val="0"/>
          <w:numId w:val="3"/>
        </w:numPr>
        <w:rPr>
          <w:bCs/>
          <w:iCs/>
        </w:rPr>
      </w:pPr>
      <w:r>
        <w:rPr>
          <w:bCs/>
          <w:iCs/>
        </w:rPr>
        <w:t>stroj za vakumiranjem serijski broj proizvodnje: NT4, marka: Boss, godina proizvodnje: 2010.,</w:t>
      </w:r>
    </w:p>
    <w:p w:rsidRDefault="001C4B34" w:rsidR="001C4B34">
      <w:pPr>
        <w:numPr>
          <w:ilvl w:val="0"/>
          <w:numId w:val="3"/>
        </w:numPr>
        <w:rPr>
          <w:bCs/>
          <w:iCs/>
        </w:rPr>
      </w:pPr>
      <w:r>
        <w:rPr>
          <w:bCs/>
          <w:iCs/>
        </w:rPr>
        <w:t>vitrina Cantineta GLX 700X650X1880, serijski broj proizvodnje: M41080, marka: LA Tecfrigo, godina proizvodnje 2011.,</w:t>
      </w:r>
    </w:p>
    <w:p w:rsidRDefault="001C4B34" w:rsidR="001C4B34">
      <w:pPr>
        <w:numPr>
          <w:ilvl w:val="0"/>
          <w:numId w:val="3"/>
        </w:numPr>
        <w:rPr>
          <w:bCs/>
          <w:iCs/>
        </w:rPr>
      </w:pPr>
      <w:r>
        <w:rPr>
          <w:bCs/>
          <w:iCs/>
        </w:rPr>
        <w:t>preša hidro VSPI-X-250LA, serijski broj proizvodnje: DWB1026964, marka: Lancmann, godina proizvodnje: 2012.,</w:t>
      </w:r>
    </w:p>
    <w:p w:rsidRDefault="001C4B34" w:rsidR="001C4B34">
      <w:pPr>
        <w:numPr>
          <w:ilvl w:val="0"/>
          <w:numId w:val="3"/>
        </w:numPr>
        <w:rPr>
          <w:bCs/>
          <w:iCs/>
        </w:rPr>
      </w:pPr>
      <w:r>
        <w:rPr>
          <w:bCs/>
          <w:iCs/>
        </w:rPr>
        <w:t>stroj za al.kapice za šampanjac, serijski broj proizvodnje: LNCM1724312, marka: Officine pesce, godina proizvodnje: 2011.,</w:t>
      </w:r>
    </w:p>
    <w:p w:rsidRDefault="001C4B34" w:rsidR="001C4B34">
      <w:pPr>
        <w:numPr>
          <w:ilvl w:val="0"/>
          <w:numId w:val="3"/>
        </w:numPr>
        <w:rPr>
          <w:bCs/>
          <w:iCs/>
        </w:rPr>
      </w:pPr>
      <w:r>
        <w:rPr>
          <w:bCs/>
          <w:iCs/>
        </w:rPr>
        <w:t>punilica s 4 izvoda visoka, serijski broj proizvodnje: 4231, marka: Toscana enologica mori, godina proizvodnje: 2015.,</w:t>
      </w:r>
    </w:p>
    <w:p w:rsidRDefault="001C4B34" w:rsidR="001C4B34">
      <w:pPr>
        <w:numPr>
          <w:ilvl w:val="0"/>
          <w:numId w:val="3"/>
        </w:numPr>
        <w:rPr>
          <w:bCs/>
          <w:iCs/>
        </w:rPr>
      </w:pPr>
      <w:r>
        <w:rPr>
          <w:bCs/>
          <w:iCs/>
        </w:rPr>
        <w:t>perilica čaša s ručnim deparaturom Dihr, serijski broj proizvodnje: DWB1026964, marka: Dihr, godina proizvodnje 2013.,</w:t>
      </w:r>
    </w:p>
    <w:p w:rsidRDefault="001C4B34" w:rsidR="001C4B34">
      <w:pPr>
        <w:numPr>
          <w:ilvl w:val="0"/>
          <w:numId w:val="3"/>
        </w:numPr>
        <w:rPr>
          <w:bCs/>
          <w:iCs/>
        </w:rPr>
      </w:pPr>
      <w:r>
        <w:rPr>
          <w:bCs/>
          <w:iCs/>
        </w:rPr>
        <w:t>vinska vitrina BoschKSW 38940, serijski broj proizvodnje: 2015386665, marka BoschKSW 38940, godina proizvodnje: 2015,</w:t>
      </w:r>
    </w:p>
    <w:p w:rsidRDefault="001C4B34" w:rsidR="001C4B34">
      <w:pPr>
        <w:numPr>
          <w:ilvl w:val="0"/>
          <w:numId w:val="3"/>
        </w:numPr>
        <w:rPr>
          <w:bCs/>
          <w:iCs/>
        </w:rPr>
      </w:pPr>
      <w:r>
        <w:rPr>
          <w:bCs/>
          <w:iCs/>
        </w:rPr>
        <w:t>hidromasažni bazenm serijski broj proizvodnje: T-14052, marka: Softub, model: Legend, godina proizvodnje: 2010.,</w:t>
      </w:r>
    </w:p>
    <w:p w:rsidRDefault="001C4B34" w:rsidR="001C4B34">
      <w:pPr>
        <w:numPr>
          <w:ilvl w:val="0"/>
          <w:numId w:val="3"/>
        </w:numPr>
        <w:rPr>
          <w:bCs/>
          <w:iCs/>
        </w:rPr>
      </w:pPr>
      <w:r>
        <w:rPr>
          <w:bCs/>
          <w:iCs/>
        </w:rPr>
        <w:t>rotaciona kosilica za traktor,</w:t>
      </w:r>
    </w:p>
    <w:p w:rsidRDefault="001C4B34" w:rsidR="001C4B34">
      <w:pPr>
        <w:numPr>
          <w:ilvl w:val="0"/>
          <w:numId w:val="3"/>
        </w:numPr>
        <w:rPr>
          <w:bCs/>
          <w:iCs/>
        </w:rPr>
      </w:pPr>
      <w:r>
        <w:rPr>
          <w:bCs/>
          <w:iCs/>
        </w:rPr>
        <w:t>prikolica za traktor tip 30 BR101NOS3T,</w:t>
      </w:r>
    </w:p>
    <w:p w:rsidRDefault="001C4B34" w:rsidR="001C4B34">
      <w:pPr>
        <w:numPr>
          <w:ilvl w:val="0"/>
          <w:numId w:val="3"/>
        </w:numPr>
        <w:rPr>
          <w:bCs/>
          <w:iCs/>
        </w:rPr>
      </w:pPr>
      <w:r>
        <w:rPr>
          <w:bCs/>
          <w:iCs/>
        </w:rPr>
        <w:t>priključak za traktor,</w:t>
      </w:r>
    </w:p>
    <w:p w:rsidRDefault="001C4B34" w:rsidR="001C4B34">
      <w:pPr>
        <w:numPr>
          <w:ilvl w:val="0"/>
          <w:numId w:val="3"/>
        </w:numPr>
        <w:rPr>
          <w:bCs/>
          <w:iCs/>
        </w:rPr>
      </w:pPr>
      <w:r>
        <w:rPr>
          <w:bCs/>
          <w:iCs/>
        </w:rPr>
        <w:t>antenska stanica,</w:t>
      </w:r>
    </w:p>
    <w:p w:rsidRDefault="001C4B34" w:rsidR="001C4B34">
      <w:pPr>
        <w:numPr>
          <w:ilvl w:val="0"/>
          <w:numId w:val="3"/>
        </w:numPr>
        <w:rPr>
          <w:bCs/>
          <w:iCs/>
        </w:rPr>
      </w:pPr>
      <w:r>
        <w:rPr>
          <w:bCs/>
          <w:iCs/>
        </w:rPr>
        <w:lastRenderedPageBreak/>
        <w:t>telefonska centrala (3 elementa) Panasonic,</w:t>
      </w:r>
    </w:p>
    <w:p w:rsidRDefault="001C4B34" w:rsidR="001C4B34">
      <w:pPr>
        <w:numPr>
          <w:ilvl w:val="0"/>
          <w:numId w:val="3"/>
        </w:numPr>
        <w:rPr>
          <w:bCs/>
          <w:iCs/>
        </w:rPr>
      </w:pPr>
      <w:r>
        <w:rPr>
          <w:bCs/>
          <w:iCs/>
        </w:rPr>
        <w:t>drveni šank Vinoteka Pag,</w:t>
      </w:r>
    </w:p>
    <w:p w:rsidRDefault="001C4B34" w:rsidR="001C4B34">
      <w:pPr>
        <w:numPr>
          <w:ilvl w:val="0"/>
          <w:numId w:val="3"/>
        </w:numPr>
        <w:rPr>
          <w:bCs/>
          <w:iCs/>
        </w:rPr>
      </w:pPr>
      <w:r>
        <w:rPr>
          <w:bCs/>
          <w:iCs/>
        </w:rPr>
        <w:t>šank inox 108X70X90,</w:t>
      </w:r>
    </w:p>
    <w:p w:rsidRDefault="001C4B34" w:rsidR="001C4B34">
      <w:pPr>
        <w:numPr>
          <w:ilvl w:val="0"/>
          <w:numId w:val="3"/>
        </w:numPr>
        <w:rPr>
          <w:bCs/>
          <w:iCs/>
        </w:rPr>
      </w:pPr>
      <w:r>
        <w:rPr>
          <w:bCs/>
          <w:iCs/>
        </w:rPr>
        <w:t>Felco 801 baterijske škare,</w:t>
      </w:r>
    </w:p>
    <w:p w:rsidRDefault="001C4B34" w:rsidR="001C4B34">
      <w:pPr>
        <w:numPr>
          <w:ilvl w:val="0"/>
          <w:numId w:val="3"/>
        </w:numPr>
        <w:rPr>
          <w:bCs/>
          <w:iCs/>
        </w:rPr>
      </w:pPr>
      <w:r>
        <w:rPr>
          <w:bCs/>
          <w:iCs/>
        </w:rPr>
        <w:t>Inox tank VIK 5000L,</w:t>
      </w:r>
    </w:p>
    <w:p w:rsidRDefault="001C4B34" w:rsidR="001C4B34">
      <w:pPr>
        <w:numPr>
          <w:ilvl w:val="0"/>
          <w:numId w:val="3"/>
        </w:numPr>
        <w:rPr>
          <w:bCs/>
          <w:iCs/>
        </w:rPr>
      </w:pPr>
      <w:r>
        <w:rPr>
          <w:bCs/>
          <w:iCs/>
        </w:rPr>
        <w:t>Inox bačva 3970L,</w:t>
      </w:r>
    </w:p>
    <w:p w:rsidRDefault="001C4B34" w:rsidR="001C4B34">
      <w:pPr>
        <w:numPr>
          <w:ilvl w:val="0"/>
          <w:numId w:val="3"/>
        </w:numPr>
        <w:rPr>
          <w:bCs/>
          <w:iCs/>
        </w:rPr>
      </w:pPr>
      <w:r>
        <w:rPr>
          <w:bCs/>
          <w:iCs/>
        </w:rPr>
        <w:t>Inox bačva 3970L,</w:t>
      </w:r>
    </w:p>
    <w:p w:rsidRDefault="001C4B34" w:rsidR="001C4B34">
      <w:pPr>
        <w:numPr>
          <w:ilvl w:val="0"/>
          <w:numId w:val="3"/>
        </w:numPr>
        <w:rPr>
          <w:bCs/>
          <w:iCs/>
        </w:rPr>
      </w:pPr>
      <w:r>
        <w:rPr>
          <w:bCs/>
          <w:iCs/>
        </w:rPr>
        <w:t>Inox bačva 3970L,</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tank KRD217HW10-19,</w:t>
      </w:r>
    </w:p>
    <w:p w:rsidRDefault="001C4B34" w:rsidR="001C4B34">
      <w:pPr>
        <w:numPr>
          <w:ilvl w:val="0"/>
          <w:numId w:val="3"/>
        </w:numPr>
        <w:rPr>
          <w:bCs/>
          <w:iCs/>
        </w:rPr>
      </w:pPr>
      <w:r>
        <w:rPr>
          <w:bCs/>
          <w:iCs/>
        </w:rPr>
        <w:t>projektor Benq TV, cinema 4-3.</w:t>
      </w:r>
    </w:p>
    <w:p w:rsidRDefault="001C4B34" w:rsidR="001C4B34">
      <w:pPr>
        <w:rPr>
          <w:bCs/>
          <w:iCs/>
        </w:rPr>
      </w:pPr>
    </w:p>
    <w:p w:rsidRDefault="001C4B34" w:rsidR="001C4B34">
      <w:pPr>
        <w:rPr>
          <w:bCs/>
          <w:iCs/>
        </w:rPr>
      </w:pPr>
      <w:r>
        <w:rPr>
          <w:bCs/>
          <w:iCs/>
        </w:rPr>
        <w:t>Navedene pokretnine opterećene su založnim pravom Hrvatske banke za obnovu i razvitak za iznos od 7.500.000,00 Kn</w:t>
      </w:r>
    </w:p>
    <w:p w:rsidRDefault="001C4B34" w:rsidR="001C4B34">
      <w:pPr>
        <w:rPr>
          <w:bCs/>
          <w:iCs/>
        </w:rPr>
      </w:pPr>
    </w:p>
    <w:p w:rsidRDefault="001C4B34" w:rsidR="001C4B34">
      <w:pPr>
        <w:spacing w:lineRule="auto" w:line="240"/>
        <w:jc w:val="both"/>
        <w:rPr>
          <w:bCs/>
          <w:iCs/>
        </w:rPr>
      </w:pPr>
      <w:r>
        <w:rPr>
          <w:bCs/>
          <w:iCs/>
        </w:rPr>
        <w:t>Prema prometu kupaca od 31. listopada 2018. g. dužnik ima potraživanja u ukupnom iznos od 62.921,41 Kn.</w:t>
      </w:r>
    </w:p>
    <w:p w:rsidRDefault="001C4B34" w:rsidR="001C4B34">
      <w:pPr>
        <w:spacing w:lineRule="auto" w:line="240"/>
        <w:jc w:val="both"/>
        <w:rPr>
          <w:bCs/>
          <w:iCs/>
        </w:rPr>
      </w:pPr>
    </w:p>
    <w:p w:rsidRDefault="001C4B34" w:rsidR="001C4B34">
      <w:pPr>
        <w:spacing w:lineRule="auto" w:line="240"/>
        <w:jc w:val="both"/>
        <w:rPr>
          <w:bCs/>
          <w:iCs/>
        </w:rPr>
      </w:pPr>
      <w:r>
        <w:rPr>
          <w:bCs/>
          <w:iCs/>
        </w:rPr>
        <w:t>Prema uvjerenju CVH od 14. studenog 2018. g. dužnik nije evidentiran kao vlasnik vozila.</w:t>
      </w:r>
    </w:p>
    <w:p w:rsidRDefault="001C4B34" w:rsidR="001C4B34">
      <w:pPr>
        <w:spacing w:lineRule="auto" w:line="240"/>
        <w:jc w:val="both"/>
        <w:rPr>
          <w:bCs/>
          <w:iCs/>
        </w:rPr>
      </w:pPr>
    </w:p>
    <w:p w:rsidRDefault="001C4B34" w:rsidR="001C4B34">
      <w:pPr>
        <w:spacing w:lineRule="auto" w:line="240"/>
        <w:jc w:val="both"/>
        <w:rPr>
          <w:bCs/>
          <w:iCs/>
        </w:rPr>
      </w:pPr>
      <w:r>
        <w:rPr>
          <w:bCs/>
          <w:iCs/>
        </w:rPr>
        <w:t xml:space="preserve">Prema potvrdi Porezne uprave od 13. studenog 2018. g. dužnika ima nepodmirene obveze po osnovi javnih davanja u ukupnom iznosu od 504.433,37 Kn. </w:t>
      </w:r>
    </w:p>
    <w:p w:rsidRDefault="001C4B34" w:rsidR="001C4B34">
      <w:pPr>
        <w:spacing w:lineRule="auto" w:line="240"/>
        <w:jc w:val="both"/>
        <w:rPr>
          <w:bCs/>
          <w:iCs/>
        </w:rPr>
      </w:pPr>
    </w:p>
    <w:p w:rsidRDefault="001C4B34" w:rsidR="001C4B34">
      <w:pPr>
        <w:spacing w:lineRule="auto" w:line="240"/>
        <w:jc w:val="both"/>
        <w:rPr>
          <w:bCs/>
          <w:iCs/>
        </w:rPr>
      </w:pPr>
      <w:r>
        <w:rPr>
          <w:bCs/>
          <w:iCs/>
        </w:rPr>
        <w:t>Prema potvrdi Financijske agencije od 30. studenog 2018. g. dužnik ima evidentiranu blokadu računa u neprekidnom trajanju od 441 dana radi nepodmirenih obveze evidentiranih u Očevidniku redoslijeda osnova za plaćanje u visini od 11.438.406,41 Kn.</w:t>
      </w:r>
    </w:p>
    <w:p w:rsidRDefault="001C4B34" w:rsidR="001C4B34">
      <w:pPr>
        <w:spacing w:lineRule="auto" w:line="240"/>
        <w:jc w:val="both"/>
        <w:rPr>
          <w:bCs/>
          <w:iCs/>
        </w:rPr>
      </w:pPr>
    </w:p>
    <w:p w:rsidRDefault="001C4B34" w:rsidR="001C4B34">
      <w:pPr>
        <w:spacing w:lineRule="auto" w:line="240"/>
        <w:jc w:val="both"/>
        <w:rPr>
          <w:b/>
          <w:bCs/>
          <w:iCs/>
        </w:rPr>
      </w:pPr>
      <w:r>
        <w:rPr>
          <w:b/>
          <w:bCs/>
          <w:iCs/>
        </w:rPr>
        <w:t>ZAKLJUČAK</w:t>
      </w:r>
    </w:p>
    <w:p w:rsidRDefault="001C4B34" w:rsidR="001C4B34">
      <w:pPr>
        <w:spacing w:lineRule="auto" w:line="240"/>
        <w:jc w:val="both"/>
        <w:rPr>
          <w:b/>
          <w:bCs/>
          <w:iCs/>
        </w:rPr>
      </w:pPr>
    </w:p>
    <w:p w:rsidRDefault="001C4B34" w:rsidR="001C4B34">
      <w:pPr>
        <w:spacing w:lineRule="auto" w:line="240"/>
        <w:jc w:val="both"/>
        <w:rPr>
          <w:bCs/>
          <w:iCs/>
        </w:rPr>
      </w:pPr>
      <w:r>
        <w:rPr>
          <w:bCs/>
          <w:iCs/>
        </w:rPr>
        <w:t>Dužnik nema zaposlenih radnika i ne obavlja gospodarsku djelatnost. Dužnik ima nekretnina i pokretnina u svom vlasništvu knjigovodstvene  vrijednosti 11.083.051,65 Kn, te potraživanja prema kupcima u iznosu od 62.921,41 Kn. Dužnik ima kratkoročne i dugoročne obveze u iznosu od 9.892.955,38 kn, te nepodmirene obveze po osnovi javnih davanja u iznosu od 504.433,37 Kn, kao i nepodmirene obveze u Očevidniku redoslijeda osnova za plaćanje u visini od 11.438.406,41 Kn. Temeljem iznesenog kod dužnika je ostvaren stečajni razlog prezaduženosti iz čl. 7. Stečajnog zakona.</w:t>
      </w:r>
    </w:p>
    <w:p w:rsidRDefault="001C4B34" w:rsidR="001C4B34">
      <w:pPr>
        <w:spacing w:lineRule="auto" w:line="240"/>
        <w:jc w:val="both"/>
        <w:rPr>
          <w:bCs/>
          <w:iCs/>
        </w:rPr>
      </w:pPr>
    </w:p>
    <w:p w:rsidRDefault="001C4B34" w:rsidR="001C4B34">
      <w:pPr>
        <w:spacing w:lineRule="auto" w:line="240"/>
        <w:jc w:val="both"/>
        <w:rPr>
          <w:bCs/>
          <w:iCs/>
        </w:rPr>
      </w:pPr>
      <w:r>
        <w:rPr>
          <w:bCs/>
          <w:iCs/>
        </w:rPr>
        <w:t>Dužnik ima evidentiranu blokadu računa u neprekidnom trajanju od 441 dana čime je ostvaren stečajni razlog nesposobnosti za plaćanje iz čl. 6. Stečajnog zakona.</w:t>
      </w:r>
    </w:p>
    <w:p w:rsidRDefault="001C4B34" w:rsidR="001C4B34">
      <w:pPr>
        <w:spacing w:lineRule="auto" w:line="240"/>
        <w:jc w:val="both"/>
        <w:rPr>
          <w:bCs/>
          <w:iCs/>
        </w:rPr>
      </w:pPr>
    </w:p>
    <w:p w:rsidRDefault="001C4B34" w:rsidR="001C4B34">
      <w:pPr>
        <w:spacing w:lineRule="auto" w:line="240"/>
        <w:jc w:val="both"/>
        <w:rPr>
          <w:bCs/>
          <w:iCs/>
        </w:rPr>
      </w:pPr>
      <w:r>
        <w:rPr>
          <w:bCs/>
          <w:iCs/>
        </w:rPr>
        <w:t>Predvidivi troškovi prethodnog i stečajnog postupka dužnika iznose 829.696,15 Kn a sastoje se u slijedećem:</w:t>
      </w:r>
    </w:p>
    <w:p w:rsidRDefault="001C4B34" w:rsidR="001C4B34">
      <w:pPr>
        <w:spacing w:lineRule="auto" w:line="240"/>
        <w:jc w:val="both"/>
        <w:rPr>
          <w:bCs/>
          <w:iCs/>
        </w:rPr>
      </w:pPr>
    </w:p>
    <w:p w:rsidRDefault="00143A22" w:rsidR="001C4B34">
      <w:pPr>
        <w:spacing w:lineRule="auto" w:line="240"/>
        <w:jc w:val="both"/>
        <w:rPr>
          <w:bCs/>
          <w:iCs/>
        </w:rPr>
      </w:pPr>
      <w:r>
        <w:rPr>
          <w:noProof/>
          <w:lang w:bidi="ar-SA" w:eastAsia="hr-HR"/>
        </w:rPr>
        <w:lastRenderedPageBreak/>
        <w:pict>
          <v:shape stroked="f" o:spid="_x0000_s1027" id="Text Box 3" style="position:absolute;left:0;text-align:left;margin-left:0;margin-top:2.9pt;width:503.7pt;height:225.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">
            <v:fill opacity="0"/>
            <v:textbox inset="0,0,0,0">
              <w:txbxContent>
                <w:tbl>
                  <w:tblPr>
                    <w:tblW w:type="auto" w:w="0"/>
                    <w:tblInd w:type="dxa" w:w="108"/>
                    <w:tblLayout w:type="fixed"/>
                    <w:tblLook w:val="0000" w:noVBand="0" w:noHBand="0" w:lastColumn="0" w:firstColumn="0" w:lastRow="0" w:firstRow="0"/>
                  </w:tblPr>
                  <w:tblGrid>
                    <w:gridCol w:w="8364"/>
                    <w:gridCol w:w="1711"/>
                  </w:tblGrid>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
                            <w:bCs/>
                            <w:iCs/>
                          </w:rPr>
                        </w:pPr>
                        <w:r>
                          <w:rPr>
                            <w:b/>
                            <w:bCs/>
                            <w:iCs/>
                          </w:rPr>
                          <w:t>OPIS TROŠKA</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
                            <w:bCs/>
                            <w:iCs/>
                          </w:rPr>
                          <w:t>IZNOS</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Izrada pečata</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150.00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Trošak javnog bilježnika radi ovjere potpisa stečajnog upravitelja</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47.50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Trošak javnog bilježnika radi izdavanja rješenja o ovrsi</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3,000.00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Otvaranje, održavanje i zatvaranje žiroračuna</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Nagrada vještaku radi procjene nekretnina dužnika</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10,000.00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Nagrada vještaku radi procjene pokretnina dužnika</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10,000.00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Naknada FINA-e radi provedbe elektroničke javne dražbe</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17,200.00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Trošak oglašavanja prodaje imovine</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30,000.00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Arhiviranje poslovne dokumentacije</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2,000.00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Bruto nagrada privremenom stečajnom upravitelju</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3,000.00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Bruto nagrada stečajnom upravitelju (prema knjigovodstvenoj vrijednosti imovine)</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737,298.65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Materijalni troškovi (poštarina, uredski materijal i sl.)</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Cs/>
                            <w:iCs/>
                          </w:rPr>
                        </w:pPr>
                        <w:r>
                          <w:rPr>
                            <w:bCs/>
                            <w:iCs/>
                          </w:rPr>
                          <w:t>Knjigovodstvene usluge za jednu godinu (12 x 1250,00 kn)</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Cs/>
                            <w:iCs/>
                          </w:rPr>
                          <w:t>15,000.00 kn</w:t>
                        </w:r>
                      </w:p>
                    </w:tc>
                  </w:tr>
                  <w:tr w:rsidR="001C4B34">
                    <w:trPr>
                      <w:trHeight w:val="300"/>
                    </w:trPr>
                    <w:tc>
                      <w:tcPr>
                        <w:tcW w:type="dxa" w:w="8364"/>
                        <w:tcBorders>
                          <w:top w:space="0" w:sz="4" w:color="000000" w:val="single"/>
                          <w:left w:space="0" w:sz="4" w:color="000000" w:val="single"/>
                          <w:bottom w:space="0" w:sz="4" w:color="000000" w:val="single"/>
                        </w:tcBorders>
                        <w:shd w:fill="auto" w:color="auto" w:val="clear"/>
                      </w:tcPr>
                      <w:p w:rsidRDefault="001C4B34" w:rsidR="001C4B34">
                        <w:pPr>
                          <w:spacing w:lineRule="auto" w:line="240"/>
                          <w:jc w:val="both"/>
                          <w:rPr>
                            <w:b/>
                            <w:bCs/>
                            <w:iCs/>
                          </w:rPr>
                        </w:pPr>
                        <w:r>
                          <w:rPr>
                            <w:b/>
                            <w:bCs/>
                            <w:iCs/>
                          </w:rPr>
                          <w:t>UKUPNO</w:t>
                        </w:r>
                      </w:p>
                    </w:tc>
                    <w:tc>
                      <w:tcPr>
                        <w:tcW w:type="dxa" w:w="1711"/>
                        <w:tcBorders>
                          <w:top w:space="0" w:sz="4" w:color="000000" w:val="single"/>
                          <w:left w:space="0" w:sz="4" w:color="000000" w:val="single"/>
                          <w:bottom w:space="0" w:sz="4" w:color="000000" w:val="single"/>
                          <w:right w:space="0" w:sz="4" w:color="000000" w:val="single"/>
                        </w:tcBorders>
                        <w:shd w:fill="auto" w:color="auto" w:val="clear"/>
                      </w:tcPr>
                      <w:p w:rsidRDefault="001C4B34" w:rsidR="001C4B34">
                        <w:pPr>
                          <w:spacing w:lineRule="auto" w:line="240"/>
                          <w:jc w:val="both"/>
                        </w:pPr>
                        <w:r>
                          <w:rPr>
                            <w:b/>
                            <w:bCs/>
                            <w:iCs/>
                          </w:rPr>
                          <w:t>829,696.15 kn</w:t>
                        </w:r>
                      </w:p>
                    </w:tc>
                  </w:tr>
                </w:tbl>
                <w:p w:rsidRDefault="001C4B34" w:rsidR="001C4B34">
                  <w:r>
                    <w:t xml:space="preserve"> </w:t>
                  </w:r>
                </w:p>
              </w:txbxContent>
            </v:textbox>
            <w10:wrap anchorx="margin" type="square"/>
          </v:shape>
        </w:pict>
      </w:r>
      <w:r w:rsidR="001C4B34">
        <w:rPr>
          <w:bCs/>
          <w:iCs/>
        </w:rPr>
        <w:t xml:space="preserve"> </w:t>
      </w:r>
      <w:bookmarkStart w:name="_1605081621" w:id="5"/>
      <w:bookmarkEnd w:id="5"/>
    </w:p>
    <w:p w:rsidRDefault="001C4B34" w:rsidR="001C4B34">
      <w:pPr>
        <w:spacing w:lineRule="auto" w:line="240"/>
        <w:jc w:val="both"/>
        <w:rPr>
          <w:bCs/>
          <w:iCs/>
        </w:rPr>
      </w:pPr>
      <w:r>
        <w:rPr>
          <w:bCs/>
          <w:iCs/>
        </w:rPr>
        <w:t>S obzirom da je imovina dužnika dostatna za namirenje troškova prethodnog i stečajnog postupka predlaže se naslovnom sudu otvoriti stečajni postupak nad dužnikom.</w:t>
      </w:r>
    </w:p>
    <w:p w:rsidRDefault="001C4B34" w:rsidR="001C4B34">
      <w:pPr>
        <w:spacing w:lineRule="auto" w:line="240"/>
        <w:jc w:val="both"/>
        <w:rPr>
          <w:bCs/>
          <w:iCs/>
        </w:rPr>
      </w:pPr>
    </w:p>
    <w:p w:rsidRDefault="001C4B34" w:rsidR="001C4B34">
      <w:pPr>
        <w:spacing w:lineRule="auto" w:line="240"/>
        <w:jc w:val="both"/>
        <w:rPr>
          <w:bCs/>
          <w:iCs/>
        </w:rPr>
      </w:pPr>
      <w:r>
        <w:rPr>
          <w:bCs/>
          <w:iCs/>
        </w:rPr>
        <w:t>Prilog: - povijesni izvadak iz sudskog registra na ime dužnika,</w:t>
      </w:r>
    </w:p>
    <w:p w:rsidRDefault="001C4B34" w:rsidR="001C4B34">
      <w:pPr>
        <w:spacing w:lineRule="auto" w:line="240"/>
        <w:jc w:val="both"/>
        <w:rPr>
          <w:bCs/>
          <w:iCs/>
        </w:rPr>
      </w:pPr>
      <w:r>
        <w:rPr>
          <w:bCs/>
          <w:iCs/>
        </w:rPr>
        <w:tab/>
        <w:t>- ispis s portala insolvinfo.hr na ime dužnika,</w:t>
      </w:r>
    </w:p>
    <w:p w:rsidRDefault="001C4B34" w:rsidR="001C4B34">
      <w:pPr>
        <w:spacing w:lineRule="auto" w:line="240"/>
        <w:jc w:val="both"/>
        <w:rPr>
          <w:bCs/>
          <w:iCs/>
        </w:rPr>
      </w:pPr>
      <w:r>
        <w:rPr>
          <w:bCs/>
          <w:iCs/>
        </w:rPr>
        <w:tab/>
        <w:t>- preslika pozivu zz dužnika od 9. studenog 2018. g. s preslikom povratnice,</w:t>
      </w:r>
    </w:p>
    <w:p w:rsidRDefault="001C4B34" w:rsidR="001C4B34">
      <w:pPr>
        <w:spacing w:lineRule="auto" w:line="240"/>
        <w:jc w:val="both"/>
        <w:rPr>
          <w:bCs/>
          <w:iCs/>
        </w:rPr>
      </w:pPr>
      <w:r>
        <w:rPr>
          <w:bCs/>
          <w:iCs/>
        </w:rPr>
        <w:tab/>
        <w:t>- obavijest o razvrstavanju subjekta prema NKD-u na ime dužnika,</w:t>
      </w:r>
    </w:p>
    <w:p w:rsidRDefault="001C4B34" w:rsidR="001C4B34">
      <w:pPr>
        <w:spacing w:lineRule="auto" w:line="240"/>
        <w:jc w:val="both"/>
        <w:rPr>
          <w:bCs/>
          <w:iCs/>
        </w:rPr>
      </w:pPr>
      <w:r>
        <w:rPr>
          <w:bCs/>
          <w:iCs/>
        </w:rPr>
        <w:tab/>
        <w:t xml:space="preserve">- prijava poreza na dobit, bilanca i račun dobiti i gubitka za 2014., 2015., 2016. i </w:t>
      </w:r>
    </w:p>
    <w:p w:rsidRDefault="001C4B34" w:rsidR="001C4B34">
      <w:pPr>
        <w:spacing w:lineRule="auto" w:line="240"/>
        <w:jc w:val="both"/>
        <w:rPr>
          <w:bCs/>
          <w:iCs/>
        </w:rPr>
      </w:pPr>
      <w:r>
        <w:rPr>
          <w:bCs/>
          <w:iCs/>
        </w:rPr>
        <w:tab/>
        <w:t xml:space="preserve">   2017. g., </w:t>
      </w:r>
    </w:p>
    <w:p w:rsidRDefault="001C4B34" w:rsidR="001C4B34">
      <w:pPr>
        <w:spacing w:lineRule="auto" w:line="240"/>
        <w:jc w:val="both"/>
        <w:rPr>
          <w:bCs/>
          <w:iCs/>
        </w:rPr>
      </w:pPr>
      <w:r>
        <w:rPr>
          <w:bCs/>
          <w:iCs/>
        </w:rPr>
        <w:tab/>
        <w:t>- bruto bilanca s danom 31. listopad 2018. g.,</w:t>
      </w:r>
    </w:p>
    <w:p w:rsidRDefault="001C4B34" w:rsidR="001C4B34">
      <w:pPr>
        <w:spacing w:lineRule="auto" w:line="240"/>
        <w:jc w:val="both"/>
        <w:rPr>
          <w:bCs/>
          <w:iCs/>
        </w:rPr>
      </w:pPr>
      <w:r>
        <w:rPr>
          <w:bCs/>
          <w:iCs/>
        </w:rPr>
        <w:tab/>
        <w:t xml:space="preserve">- zk izvadak za </w:t>
      </w:r>
      <w:r>
        <w:t xml:space="preserve">k.o. Škarićevo, zk.ul. 1979, 1821, 1980, 1505, 1812, 1811, 1006, 1641, </w:t>
      </w:r>
      <w:r>
        <w:tab/>
        <w:t xml:space="preserve">  1438, 1439, 449, 1642, 1825, 1180, 1147, 1813,</w:t>
      </w:r>
    </w:p>
    <w:p w:rsidRDefault="001C4B34" w:rsidR="001C4B34">
      <w:pPr>
        <w:spacing w:lineRule="auto" w:line="240"/>
        <w:jc w:val="both"/>
        <w:rPr>
          <w:bCs/>
          <w:iCs/>
        </w:rPr>
      </w:pPr>
      <w:r>
        <w:rPr>
          <w:bCs/>
          <w:iCs/>
        </w:rPr>
        <w:tab/>
        <w:t xml:space="preserve">- preslika ugovora o zakupu od 24. siječnja 2017. g., aneksa ugovora o zakupu od 21. </w:t>
      </w:r>
      <w:r>
        <w:rPr>
          <w:bCs/>
          <w:iCs/>
        </w:rPr>
        <w:tab/>
        <w:t xml:space="preserve">   studenog 2017. g., i ugovora o zakupu od 27. studenog 2017. g.,</w:t>
      </w:r>
    </w:p>
    <w:p w:rsidRDefault="001C4B34" w:rsidR="001C4B34">
      <w:pPr>
        <w:spacing w:lineRule="auto" w:line="240"/>
        <w:jc w:val="both"/>
        <w:rPr>
          <w:bCs/>
          <w:iCs/>
        </w:rPr>
      </w:pPr>
      <w:r>
        <w:rPr>
          <w:bCs/>
          <w:iCs/>
        </w:rPr>
        <w:tab/>
        <w:t>- prijedlog za glavni upis HBOR-a od 14. lipnja 2017. g.,</w:t>
      </w:r>
    </w:p>
    <w:p w:rsidRDefault="001C4B34" w:rsidR="001C4B34">
      <w:pPr>
        <w:spacing w:lineRule="auto" w:line="240"/>
        <w:jc w:val="both"/>
        <w:rPr>
          <w:bCs/>
          <w:iCs/>
        </w:rPr>
      </w:pPr>
      <w:r>
        <w:rPr>
          <w:bCs/>
          <w:iCs/>
        </w:rPr>
        <w:tab/>
        <w:t>- promet kupaca od 31. listopada 2018. g.,</w:t>
      </w:r>
    </w:p>
    <w:p w:rsidRDefault="001C4B34" w:rsidR="001C4B34">
      <w:pPr>
        <w:spacing w:lineRule="auto" w:line="240"/>
        <w:jc w:val="both"/>
        <w:rPr>
          <w:bCs/>
          <w:iCs/>
        </w:rPr>
      </w:pPr>
      <w:r>
        <w:rPr>
          <w:bCs/>
          <w:iCs/>
        </w:rPr>
        <w:tab/>
        <w:t>- uvjerenje CVH od 14. studenog 2018. g.,</w:t>
      </w:r>
    </w:p>
    <w:p w:rsidRDefault="001C4B34" w:rsidR="001C4B34">
      <w:pPr>
        <w:spacing w:lineRule="auto" w:line="240"/>
        <w:jc w:val="both"/>
        <w:rPr>
          <w:bCs/>
          <w:iCs/>
        </w:rPr>
      </w:pPr>
      <w:r>
        <w:rPr>
          <w:bCs/>
          <w:iCs/>
        </w:rPr>
        <w:tab/>
        <w:t>- potvrda Porezne uprave od 13. studenog 2018. g.,</w:t>
      </w:r>
    </w:p>
    <w:p w:rsidRDefault="001C4B34" w:rsidR="001C4B34">
      <w:pPr>
        <w:spacing w:lineRule="auto" w:line="240"/>
        <w:jc w:val="both"/>
      </w:pPr>
      <w:r>
        <w:rPr>
          <w:bCs/>
          <w:iCs/>
        </w:rPr>
        <w:tab/>
        <w:t xml:space="preserve">- potvrda Financijske agencije od 30. studenog 2018. g. </w:t>
      </w:r>
    </w:p>
    <w:p w:rsidRDefault="001C4B34" w:rsidR="001C4B34">
      <w:pPr>
        <w:jc w:val="both"/>
      </w:pPr>
    </w:p>
    <w:p w:rsidRDefault="001C4B34" w:rsidR="001C4B34">
      <w:pPr>
        <w:jc w:val="right"/>
      </w:pPr>
    </w:p>
    <w:p w:rsidRDefault="001C4B34" w:rsidR="001C4B34">
      <w:pPr>
        <w:jc w:val="center"/>
        <w:rPr>
          <w:iCs/>
        </w:rPr>
      </w:pPr>
      <w:r>
        <w:rPr>
          <w:iCs/>
        </w:rPr>
        <w:t>U Osijeku, 3. prosinca 2018. g.</w:t>
      </w:r>
    </w:p>
    <w:p w:rsidRDefault="001C4B34" w:rsidR="001C4B34">
      <w:pPr>
        <w:jc w:val="center"/>
        <w:rPr>
          <w:iCs/>
        </w:rPr>
      </w:pPr>
    </w:p>
    <w:p w:rsidRDefault="001C4B34" w:rsidR="001C4B34">
      <w:pPr>
        <w:jc w:val="right"/>
        <w:rPr>
          <w:b/>
          <w:bCs/>
          <w:i/>
          <w:iCs/>
          <w:sz w:val="20"/>
          <w:szCs w:val="20"/>
        </w:rPr>
      </w:pPr>
      <w:r>
        <w:rPr>
          <w:iCs/>
        </w:rPr>
        <w:t>Ivana Kalkan, privremena stečajna upraviteljica</w:t>
      </w:r>
    </w:p>
    <w:p w:rsidRDefault="001C4B34" w:rsidR="001C4B34">
      <w:pPr>
        <w:rPr>
          <w:b/>
          <w:bCs/>
          <w:i/>
          <w:iCs/>
          <w:sz w:val="20"/>
          <w:szCs w:val="20"/>
        </w:rPr>
      </w:pPr>
    </w:p>
    <w:p w:rsidRDefault="001C4B34" w:rsidR="001C4B34"/>
    <w:sectPr w:rsidR="001C4B34">
      <w:pgSz w:h="16838" w:w="11906"/>
      <w:pgMar w:gutter="0" w:footer="720" w:header="720" w:left="1417" w:bottom="1417" w:right="1417" w:top="1417"/>
      <w:cols w:space="720"/>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cs="Times New Roman" w:hAnsi="Times New Roman" w:ascii="Times New Roman"/>
        <w:lang w:val="hr-HR"/>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hint="default"/>
        <w:bCs/>
        <w:iCs/>
      </w:rPr>
    </w:lvl>
  </w:abstractNum>
  <w:abstractNum w:abstractNumId="2">
    <w:nsid w:val="00000003"/>
    <w:multiLevelType w:val="multilevel"/>
    <w:tmpl w:val="0000000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3">
    <w:nsid w:val="00000004"/>
    <w:multiLevelType w:val="multilevel"/>
    <w:tmpl w:val="00000004"/>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309"/>
    <w:rsid w:val="00143A22"/>
    <w:rsid w:val="001B5309"/>
    <w:rsid w:val="001C4B34"/>
    <w:rsid w:val="002D7C38"/>
    <w:rsid w:val="00B068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spacing w:lineRule="atLeast" w:line="100"/>
    </w:pPr>
    <w:rPr>
      <w:rFonts w:cs="Mangal" w:eastAsia="SimSun"/>
      <w:kern w:val="1"/>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lang w:val="hr-HR"/>
    </w:rPr>
  </w:style>
  <w:style w:customStyle="true" w:styleId="WW8Num1z1" w:type="character">
    <w:name w:val="WW8Num1z1"/>
    <w:rPr>
      <w:rFonts w:cs="Courier New" w:hAnsi="Courier New" w:ascii="Courier New" w:hint="default"/>
    </w:rPr>
  </w:style>
  <w:style w:customStyle="true" w:styleId="WW8Num1z2" w:type="character">
    <w:name w:val="WW8Num1z2"/>
    <w:rPr>
      <w:rFonts w:cs="Wingdings" w:hAnsi="Wingdings" w:ascii="Wingdings" w:hint="default"/>
    </w:rPr>
  </w:style>
  <w:style w:customStyle="true" w:styleId="WW8Num1z3" w:type="character">
    <w:name w:val="WW8Num1z3"/>
    <w:rPr>
      <w:rFonts w:cs="Symbol" w:hAnsi="Symbol" w:ascii="Symbol" w:hint="default"/>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hint="default"/>
      <w:bCs/>
      <w:iCs/>
    </w:rPr>
  </w:style>
  <w:style w:customStyle="true" w:styleId="WW8Num2z1" w:type="character">
    <w:name w:val="WW8Num2z1"/>
    <w:rPr>
      <w:rFonts w:cs="Courier New" w:hAnsi="Courier New" w:ascii="Courier New" w:hint="default"/>
    </w:rPr>
  </w:style>
  <w:style w:customStyle="true" w:styleId="WW8Num2z2" w:type="character">
    <w:name w:val="WW8Num2z2"/>
    <w:rPr>
      <w:rFonts w:cs="Wingdings" w:hAnsi="Wingdings" w:ascii="Wingdings" w:hint="default"/>
    </w:rPr>
  </w:style>
  <w:style w:customStyle="true" w:styleId="WW8Num2z3" w:type="character">
    <w:name w:val="WW8Num2z3"/>
    <w:rPr>
      <w:rFonts w:cs="Symbol" w:hAnsi="Symbol" w:ascii="Symbol" w:hint="default"/>
    </w:rPr>
  </w:style>
  <w:style w:customStyle="true" w:styleId="WW8Num3z0" w:type="character">
    <w:name w:val="WW8Num3z0"/>
    <w:rPr>
      <w:rFonts w:cs="Times New Roman" w:eastAsia="SimSun" w:hAnsi="Times New Roman" w:ascii="Times New Roman" w:hint="default"/>
    </w:rPr>
  </w:style>
  <w:style w:customStyle="true" w:styleId="WW8Num3z1" w:type="character">
    <w:name w:val="WW8Num3z1"/>
    <w:rPr>
      <w:rFonts w:cs="Courier New" w:hAnsi="Courier New" w:ascii="Courier New" w:hint="default"/>
    </w:rPr>
  </w:style>
  <w:style w:customStyle="true" w:styleId="WW8Num3z2" w:type="character">
    <w:name w:val="WW8Num3z2"/>
    <w:rPr>
      <w:rFonts w:cs="Wingdings" w:hAnsi="Wingdings" w:ascii="Wingdings" w:hint="default"/>
    </w:rPr>
  </w:style>
  <w:style w:customStyle="true" w:styleId="WW8Num3z3" w:type="character">
    <w:name w:val="WW8Num3z3"/>
    <w:rPr>
      <w:rFonts w:cs="Symbol" w:hAnsi="Symbol" w:ascii="Symbol" w:hint="default"/>
    </w:rPr>
  </w:style>
  <w:style w:customStyle="true" w:styleId="Zadanifontodlomka1" w:type="character">
    <w:name w:val="Zadani font odlomka1"/>
  </w:style>
  <w:style w:customStyle="true" w:styleId="WW-DefaultParagraphFont" w:type="character">
    <w:name w:val="WW-Default Paragraph Font"/>
  </w:style>
  <w:style w:customStyle="true" w:styleId="WW-DefaultParagraphFont1" w:type="character">
    <w:name w:val="WW-Default Paragraph Font1"/>
  </w:style>
  <w:style w:styleId="Hiperveza" w:type="character">
    <w:name w:val="Hyperlink"/>
    <w:rPr>
      <w:color w:val="000080"/>
      <w:u w:val="single"/>
    </w:rPr>
  </w:style>
  <w:style w:styleId="Naglaeno" w:type="character">
    <w:name w:val="Strong"/>
    <w:qFormat/>
    <w:rPr>
      <w:b/>
      <w:bCs/>
    </w:rPr>
  </w:style>
  <w:style w:customStyle="true" w:styleId="Bullets" w:type="character">
    <w:name w:val="Bullets"/>
    <w:rPr>
      <w:rFonts w:cs="OpenSymbol" w:eastAsia="OpenSymbol" w:hAnsi="OpenSymbol" w:ascii="OpenSymbol"/>
    </w:rPr>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customStyle="true" w:styleId="Opisslike1" w:type="paragraph">
    <w:name w:val="Opis slike1"/>
    <w:basedOn w:val="Normal"/>
    <w:pPr>
      <w:suppressLineNumbers/>
      <w:spacing w:after="120" w:before="120"/>
    </w:pPr>
    <w:rPr>
      <w:i/>
      <w:iCs/>
    </w:rPr>
  </w:style>
  <w:style w:customStyle="true" w:styleId="Index" w:type="paragraph">
    <w:name w:val="Index"/>
    <w:basedOn w:val="Normal"/>
    <w:pPr>
      <w:suppressLineNumbers/>
    </w:pPr>
  </w:style>
  <w:style w:customStyle="true" w:styleId="Odlomakpopisa1" w:type="paragraph">
    <w:name w:val="Odlomak popisa1"/>
    <w:basedOn w:val="Normal"/>
    <w:pPr>
      <w:ind w:left="720"/>
    </w:pPr>
    <w:rPr>
      <w:szCs w:val="21"/>
    </w:rPr>
  </w:style>
  <w:style w:customStyle="true" w:styleId="Standard" w:type="paragraph">
    <w:name w:val="Standard"/>
    <w:pPr>
      <w:widowControl w:val="false"/>
      <w:suppressAutoHyphens/>
      <w:textAlignment w:val="baseline"/>
    </w:pPr>
    <w:rPr>
      <w:rFonts w:cs="Mangal" w:eastAsia="SimSun"/>
      <w:kern w:val="1"/>
      <w:sz w:val="24"/>
      <w:szCs w:val="24"/>
      <w:lang w:bidi="hi-IN" w:eastAsia="hi-IN" w:val="en-US"/>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customStyle="true" w:styleId="Framecontents" w:type="paragraph">
    <w:name w:val="Frame contents"/>
    <w:basedOn w:val="Tijeloteksta"/>
  </w:style>
  <w:style w:styleId="Tekstrezerviranogmjesta" w:type="character">
    <w:name w:val="Placeholder Text"/>
    <w:basedOn w:val="Zadanifontodlomka"/>
    <w:uiPriority w:val="99"/>
    <w:semiHidden/>
    <w:rsid w:val="00143A22"/>
    <w:rPr>
      <w:color w:val="808080"/>
      <w:bdr w:space="0" w:sz="0" w:color="auto" w:val="none"/>
      <w:shd w:fill="auto" w:color="auto" w:val="clear"/>
    </w:rPr>
  </w:style>
  <w:style w:customStyle="true" w:styleId="eSPISCCParagraphDefaultFont" w:type="character">
    <w:name w:val="eSPIS_CC_Paragraph Default Font"/>
    <w:basedOn w:val="Zadanifontodlomka"/>
    <w:rsid w:val="00143A22"/>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143A22"/>
    <w:rPr>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143A22"/>
    <w:rPr>
      <w:rFonts w:cs="Times New Roman" w:hAnsi="Times New Roman" w:ascii="Times New Roman"/>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143A22"/>
    <w:rPr>
      <w:rFonts w:cs="Times New Roman" w:hAnsi="Times New Roman" w:ascii="Times New Roman"/>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spacing w:line="100" w:lineRule="atLeast"/>
    </w:pPr>
    <w:rPr>
      <w:rFonts w:cs="Mangal" w:eastAsia="SimSun"/>
      <w:kern w:val="1"/>
      <w:sz w:val="24"/>
      <w:szCs w:val="24"/>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lang w:val="hr-HR"/>
    </w:rPr>
  </w:style>
  <w:style w:customStyle="1" w:styleId="WW8Num1z1" w:type="character">
    <w:name w:val="WW8Num1z1"/>
    <w:rPr>
      <w:rFonts w:ascii="Courier New" w:cs="Courier New" w:hAnsi="Courier New" w:hint="default"/>
    </w:rPr>
  </w:style>
  <w:style w:customStyle="1" w:styleId="WW8Num1z2" w:type="character">
    <w:name w:val="WW8Num1z2"/>
    <w:rPr>
      <w:rFonts w:ascii="Wingdings" w:cs="Wingdings" w:hAnsi="Wingdings" w:hint="default"/>
    </w:rPr>
  </w:style>
  <w:style w:customStyle="1" w:styleId="WW8Num1z3" w:type="character">
    <w:name w:val="WW8Num1z3"/>
    <w:rPr>
      <w:rFonts w:ascii="Symbol" w:cs="Symbol" w:hAnsi="Symbol" w:hint="default"/>
    </w:rPr>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hint="default"/>
      <w:bCs/>
      <w:iCs/>
    </w:rPr>
  </w:style>
  <w:style w:customStyle="1" w:styleId="WW8Num2z1" w:type="character">
    <w:name w:val="WW8Num2z1"/>
    <w:rPr>
      <w:rFonts w:ascii="Courier New" w:cs="Courier New" w:hAnsi="Courier New" w:hint="default"/>
    </w:rPr>
  </w:style>
  <w:style w:customStyle="1" w:styleId="WW8Num2z2" w:type="character">
    <w:name w:val="WW8Num2z2"/>
    <w:rPr>
      <w:rFonts w:ascii="Wingdings" w:cs="Wingdings" w:hAnsi="Wingdings" w:hint="default"/>
    </w:rPr>
  </w:style>
  <w:style w:customStyle="1" w:styleId="WW8Num2z3" w:type="character">
    <w:name w:val="WW8Num2z3"/>
    <w:rPr>
      <w:rFonts w:ascii="Symbol" w:cs="Symbol" w:hAnsi="Symbol" w:hint="default"/>
    </w:rPr>
  </w:style>
  <w:style w:customStyle="1" w:styleId="WW8Num3z0" w:type="character">
    <w:name w:val="WW8Num3z0"/>
    <w:rPr>
      <w:rFonts w:ascii="Times New Roman" w:cs="Times New Roman" w:eastAsia="SimSun" w:hAnsi="Times New Roman" w:hint="default"/>
    </w:rPr>
  </w:style>
  <w:style w:customStyle="1" w:styleId="WW8Num3z1" w:type="character">
    <w:name w:val="WW8Num3z1"/>
    <w:rPr>
      <w:rFonts w:ascii="Courier New" w:cs="Courier New" w:hAnsi="Courier New" w:hint="default"/>
    </w:rPr>
  </w:style>
  <w:style w:customStyle="1" w:styleId="WW8Num3z2" w:type="character">
    <w:name w:val="WW8Num3z2"/>
    <w:rPr>
      <w:rFonts w:ascii="Wingdings" w:cs="Wingdings" w:hAnsi="Wingdings" w:hint="default"/>
    </w:rPr>
  </w:style>
  <w:style w:customStyle="1" w:styleId="WW8Num3z3" w:type="character">
    <w:name w:val="WW8Num3z3"/>
    <w:rPr>
      <w:rFonts w:ascii="Symbol" w:cs="Symbol" w:hAnsi="Symbol" w:hint="default"/>
    </w:rPr>
  </w:style>
  <w:style w:customStyle="1" w:styleId="Zadanifontodlomka1" w:type="character">
    <w:name w:val="Zadani font odlomka1"/>
  </w:style>
  <w:style w:customStyle="1" w:styleId="WW-DefaultParagraphFont" w:type="character">
    <w:name w:val="WW-Default Paragraph Font"/>
  </w:style>
  <w:style w:customStyle="1" w:styleId="WW-DefaultParagraphFont1" w:type="character">
    <w:name w:val="WW-Default Paragraph Font1"/>
  </w:style>
  <w:style w:styleId="Hiperveza" w:type="character">
    <w:name w:val="Hyperlink"/>
    <w:rPr>
      <w:color w:val="000080"/>
      <w:u w:val="single"/>
    </w:rPr>
  </w:style>
  <w:style w:styleId="Naglaeno" w:type="character">
    <w:name w:val="Strong"/>
    <w:qFormat/>
    <w:rPr>
      <w:b/>
      <w:bCs/>
    </w:rPr>
  </w:style>
  <w:style w:customStyle="1" w:styleId="Bullets" w:type="character">
    <w:name w:val="Bullets"/>
    <w:rPr>
      <w:rFonts w:ascii="OpenSymbol" w:cs="OpenSymbol" w:eastAsia="OpenSymbol" w:hAnsi="OpenSymbol"/>
    </w:rPr>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customStyle="1" w:styleId="Opisslike1" w:type="paragraph">
    <w:name w:val="Opis slike1"/>
    <w:basedOn w:val="Normal"/>
    <w:pPr>
      <w:suppressLineNumbers/>
      <w:spacing w:after="120" w:before="120"/>
    </w:pPr>
    <w:rPr>
      <w:i/>
      <w:iCs/>
    </w:rPr>
  </w:style>
  <w:style w:customStyle="1" w:styleId="Index" w:type="paragraph">
    <w:name w:val="Index"/>
    <w:basedOn w:val="Normal"/>
    <w:pPr>
      <w:suppressLineNumbers/>
    </w:pPr>
  </w:style>
  <w:style w:customStyle="1" w:styleId="Odlomakpopisa1" w:type="paragraph">
    <w:name w:val="Odlomak popisa1"/>
    <w:basedOn w:val="Normal"/>
    <w:pPr>
      <w:ind w:left="720"/>
    </w:pPr>
    <w:rPr>
      <w:szCs w:val="21"/>
    </w:rPr>
  </w:style>
  <w:style w:customStyle="1" w:styleId="Standard" w:type="paragraph">
    <w:name w:val="Standard"/>
    <w:pPr>
      <w:widowControl w:val="0"/>
      <w:suppressAutoHyphens/>
      <w:textAlignment w:val="baseline"/>
    </w:pPr>
    <w:rPr>
      <w:rFonts w:cs="Mangal" w:eastAsia="SimSun"/>
      <w:kern w:val="1"/>
      <w:sz w:val="24"/>
      <w:szCs w:val="24"/>
      <w:lang w:bidi="hi-IN" w:eastAsia="hi-IN" w:val="en-US"/>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Framecontents" w:type="paragraph">
    <w:name w:val="Frame contents"/>
    <w:basedOn w:val="Tijeloteksta"/>
  </w:style>
  <w:style w:styleId="Tekstrezerviranogmjesta" w:type="character">
    <w:name w:val="Placeholder Text"/>
    <w:basedOn w:val="Zadanifontodlomka"/>
    <w:uiPriority w:val="99"/>
    <w:semiHidden/>
    <w:rsid w:val="00143A22"/>
    <w:rPr>
      <w:color w:val="808080"/>
      <w:bdr w:color="auto" w:space="0" w:sz="0" w:val="none"/>
      <w:shd w:color="auto" w:fill="auto" w:val="clear"/>
    </w:rPr>
  </w:style>
  <w:style w:customStyle="1" w:styleId="eSPISCCParagraphDefaultFont" w:type="character">
    <w:name w:val="eSPIS_CC_Paragraph Default Font"/>
    <w:basedOn w:val="Zadanifontodlomka"/>
    <w:rsid w:val="00143A22"/>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143A22"/>
    <w:rPr>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143A22"/>
    <w:rPr>
      <w:rFonts w:ascii="Times New Roman" w:cs="Times New Roman" w:hAnsi="Times New Roman"/>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143A22"/>
    <w:rPr>
      <w:rFonts w:ascii="Times New Roman" w:cs="Times New Roman" w:hAnsi="Times New Roman"/>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dvjetnica.ivana.kalk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3610</properties:Words>
  <properties:Characters>19504</properties:Characters>
  <properties:Lines>521</properties:Lines>
  <properties:Paragraphs>229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23156</properties:CharactersWithSpaces>
  <properties:SharedDoc>false</properties:SharedDoc>
  <properties:HLinks>
    <vt:vector size="6" baseType="variant">
      <vt:variant>
        <vt:i4>720946</vt:i4>
      </vt:variant>
      <vt:variant>
        <vt:i4>0</vt:i4>
      </vt:variant>
      <vt:variant>
        <vt:i4>0</vt:i4>
      </vt:variant>
      <vt:variant>
        <vt:i4>5</vt:i4>
      </vt:variant>
      <vt:variant>
        <vt:lpwstr>mailto:odvjetnica.ivana.kalkan@gmail.com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2018-12-04T13:12:00Z</dcterms:created>
  <dc:creator>Rudolf Kalkan</dc:creator>
  <cp:keywords/>
  <cp:lastModifiedBy>Vesna Dragišić</cp:lastModifiedBy>
  <cp:lastPrinted>2018-11-09T11:57:00Z</cp:lastPrinted>
  <dcterms:modified xmlns:xsi="http://www.w3.org/2001/XMLSchema-instance" xsi:type="dcterms:W3CDTF">2018-12-04T13:12:00Z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DocSecurity" pid="3" fmtid="{D5CDD505-2E9C-101B-9397-08002B2CF9AE}">
    <vt:r8>0.0</vt:r8>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St-348/2018-19 / Podnesak - Izvješće o financijsko-gospodarskom stanju dužnika (IVANA KALKAN izvješće ZLATNI BREGI.docx)</vt:lpwstr>
  </prop:property>
  <prop:property name="CC_coloring" pid="10" fmtid="{D5CDD505-2E9C-101B-9397-08002B2CF9AE}">
    <vt:bool>false</vt:bool>
  </prop:property>
  <prop:property name="BrojStranica" pid="11" fmtid="{D5CDD505-2E9C-101B-9397-08002B2CF9AE}">
    <vt:i4>10</vt:i4>
  </prop:property>
</prop:Properties>
</file>