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da4af" w14:paraId="62da4af" w:rsidRDefault="00BF30CF" w:rsidP="00BF30CF" w:rsidR="00BF30CF">
      <w:pPr>
        <w:jc w:val="right"/>
        <w15:collapsed w:val="false"/>
      </w:pPr>
      <w:r>
        <w:t>Broj: 6 St-</w:t>
      </w:r>
      <w:r w:rsidR="00E5241A">
        <w:t>1676</w:t>
      </w:r>
      <w:r w:rsidR="00C15A9A">
        <w:t>/16-</w:t>
      </w:r>
      <w:r w:rsidR="00E5241A">
        <w:t>12</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E5241A">
        <w:t xml:space="preserve">Financijska agencija OIB 85821130368, Regionalni centar Osijek, Podružnica Osijek L. Jagera 3, Osijek, za otvaranje stečajnog  postupka nad dužnikom </w:t>
      </w:r>
      <w:r w:rsidR="00E5241A">
        <w:rPr>
          <w:b/>
        </w:rPr>
        <w:t>PARAISO BELJEVINA j.d.o.o., Beljevina, Zelena 21, OIB: 18974156673, MBS: 030134404</w:t>
      </w:r>
      <w:r w:rsidRPr="00D14516">
        <w:t>,</w:t>
      </w:r>
      <w:r>
        <w:t xml:space="preserve"> dana </w:t>
      </w:r>
      <w:r w:rsidR="00D56EA7">
        <w:t>16</w:t>
      </w:r>
      <w:r w:rsidR="00D9130C">
        <w:t>. siječnja 2017</w:t>
      </w:r>
      <w:r w:rsidR="002859AC">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D56EA7">
        <w:rPr>
          <w:b/>
        </w:rPr>
        <w:t>PARAISO BELJEVINA j.d.o.o., Beljevina, Zelena 21, OIB: 18974156673, MBS: 030134404</w:t>
      </w:r>
      <w:r w:rsidR="00D9130C">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D56EA7" w:rsidRPr="00D56EA7">
        <w:rPr>
          <w:b/>
        </w:rPr>
        <w:t xml:space="preserve"> </w:t>
      </w:r>
      <w:r w:rsidR="00D56EA7" w:rsidRPr="00C74ECE">
        <w:rPr>
          <w:b/>
        </w:rPr>
        <w:t xml:space="preserve">Filip Babić dipl. oec. iz Osijeka, Trg bana Jelačića 18,  </w:t>
      </w:r>
      <w:r w:rsidR="00D56EA7" w:rsidRPr="00C74ECE">
        <w:rPr>
          <w:b/>
          <w:bCs/>
        </w:rPr>
        <w:t>OIB 57093086582</w:t>
      </w:r>
      <w:r w:rsidR="00D56EA7">
        <w:rPr>
          <w:b/>
          <w:bCs/>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D56EA7">
        <w:rPr>
          <w:b/>
        </w:rPr>
        <w:t>PARAISO BELJEVINA j.d.o.o., Beljevina, Zelena 21, OIB: 18974156673, MBS: 030134404</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D9130C" w:rsidP="00D9130C" w:rsidR="00D9130C"/>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D56EA7">
        <w:t>1676</w:t>
      </w:r>
      <w:r w:rsidR="00F01EE1">
        <w:t>/16</w:t>
      </w:r>
      <w:r w:rsidRPr="005E551C">
        <w:t xml:space="preserve"> od </w:t>
      </w:r>
      <w:r w:rsidR="00D56EA7">
        <w:t>2</w:t>
      </w:r>
      <w:r w:rsidR="00D9130C">
        <w:t>0. rujna</w:t>
      </w:r>
      <w:r>
        <w:t xml:space="preserve"> 2016</w:t>
      </w:r>
      <w:r w:rsidRPr="005E551C">
        <w:t xml:space="preserve">. g. pokrenut je postupak nad dužnikom </w:t>
      </w:r>
      <w:r w:rsidR="00D56EA7">
        <w:rPr>
          <w:b/>
        </w:rPr>
        <w:t>PARAISO BELJEVINA j.d.o.o., Beljevina, Zelena 21, OIB: 18974156673, MBS: 030134404</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85332E">
        <w:t>Filip Babić iz Osijek</w:t>
      </w:r>
      <w:r w:rsidR="00D9130C">
        <w:t xml:space="preserve"> dana </w:t>
      </w:r>
      <w:r w:rsidR="0085332E">
        <w:t>7</w:t>
      </w:r>
      <w:r w:rsidR="00D9130C">
        <w:t xml:space="preserve">. listopada 2016. g. </w:t>
      </w:r>
      <w:r w:rsidRPr="005E551C">
        <w:t xml:space="preserve"> te je za </w:t>
      </w:r>
      <w:r w:rsidR="0085332E">
        <w:t>8</w:t>
      </w:r>
      <w:r w:rsidR="00D9130C">
        <w:t>. studeni</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85332E">
        <w:t>8</w:t>
      </w:r>
      <w:r w:rsidR="00D9130C">
        <w:t>. studenog</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F01EE1" w:rsidP="00F01EE1" w:rsidR="00F01EE1" w:rsidRPr="00CB646E">
      <w:pPr>
        <w:jc w:val="both"/>
        <w:rPr>
          <w:b/>
        </w:rPr>
      </w:pPr>
    </w:p>
    <w:p w:rsidRDefault="00D9130C" w:rsidP="00A17D15" w:rsidR="0085332E">
      <w:pPr>
        <w:jc w:val="both"/>
      </w:pPr>
      <w:r>
        <w:rPr>
          <w:szCs w:val="22"/>
        </w:rPr>
        <w:t> </w:t>
      </w:r>
    </w:p>
    <w:p w:rsidRDefault="0085332E" w:rsidP="0085332E" w:rsidR="0085332E">
      <w:pPr>
        <w:jc w:val="both"/>
      </w:pPr>
      <w:r>
        <w:t>Dužnik je registriran kao j.d.o.o. Izjavom o osnivanju od 27.06.2013.godine.</w:t>
      </w:r>
    </w:p>
    <w:p w:rsidRDefault="0085332E" w:rsidP="0085332E" w:rsidR="0085332E">
      <w:pPr>
        <w:jc w:val="both"/>
      </w:pPr>
    </w:p>
    <w:p w:rsidRDefault="0085332E" w:rsidP="0085332E" w:rsidR="0085332E">
      <w:pPr>
        <w:jc w:val="both"/>
      </w:pPr>
      <w:r>
        <w:t>Osnivač Društva: Valentina Pribanić, OIB 01305736726, Đurđenovac, Radnička 20 koja je ujedno i direktor Društva, kojeg zastupa samostalno i neograničeno.</w:t>
      </w:r>
    </w:p>
    <w:p w:rsidRDefault="0085332E" w:rsidP="0085332E" w:rsidR="0085332E">
      <w:pPr>
        <w:jc w:val="both"/>
      </w:pPr>
    </w:p>
    <w:p w:rsidRDefault="0085332E" w:rsidP="0085332E" w:rsidR="0085332E">
      <w:pPr>
        <w:jc w:val="both"/>
      </w:pPr>
      <w:r>
        <w:t>Temeljni kapital: 10,00 kuna.</w:t>
      </w:r>
    </w:p>
    <w:p w:rsidRDefault="0085332E" w:rsidP="0085332E" w:rsidR="0085332E">
      <w:pPr>
        <w:jc w:val="both"/>
      </w:pPr>
    </w:p>
    <w:p w:rsidRDefault="0085332E" w:rsidP="0085332E" w:rsidR="0085332E">
      <w:pPr>
        <w:jc w:val="both"/>
      </w:pPr>
      <w:r>
        <w:t>Djelatnost Društva: proizvodnja ostalih proizvoda od betona, cementa i gipsa.</w:t>
      </w:r>
    </w:p>
    <w:p w:rsidRDefault="0085332E" w:rsidP="0085332E" w:rsidR="0085332E">
      <w:pPr>
        <w:jc w:val="both"/>
      </w:pPr>
    </w:p>
    <w:p w:rsidRDefault="0085332E" w:rsidP="0085332E" w:rsidR="0085332E">
      <w:pPr>
        <w:jc w:val="both"/>
      </w:pPr>
      <w:r>
        <w:t>Društvo nakon osnivanja počelo je s radom završni radovi u graditeljstvu, postavljanje keramičkih pločica i zapošljavalo je do pet radnika.</w:t>
      </w:r>
    </w:p>
    <w:p w:rsidRDefault="0085332E" w:rsidP="0085332E" w:rsidR="0085332E">
      <w:pPr>
        <w:jc w:val="both"/>
      </w:pPr>
    </w:p>
    <w:p w:rsidRDefault="0085332E" w:rsidP="0085332E" w:rsidR="0085332E">
      <w:pPr>
        <w:jc w:val="both"/>
      </w:pPr>
      <w:r>
        <w:t>Dužnik je vodio poslovne knjige putem knjigovodstvenog servisa.</w:t>
      </w:r>
    </w:p>
    <w:p w:rsidRDefault="0085332E" w:rsidP="0085332E" w:rsidR="0085332E">
      <w:pPr>
        <w:jc w:val="both"/>
      </w:pPr>
    </w:p>
    <w:p w:rsidRDefault="0085332E" w:rsidP="0085332E" w:rsidR="0085332E">
      <w:pPr>
        <w:jc w:val="both"/>
      </w:pPr>
      <w:r>
        <w:t xml:space="preserve">Financijska izvješća za 2013. godinu predana su FINI i Poreznoj upravi. </w:t>
      </w:r>
    </w:p>
    <w:p w:rsidRDefault="0085332E" w:rsidP="0085332E" w:rsidR="0085332E">
      <w:pPr>
        <w:jc w:val="both"/>
      </w:pPr>
    </w:p>
    <w:p w:rsidRDefault="0085332E" w:rsidP="0085332E" w:rsidR="0085332E">
      <w:pPr>
        <w:jc w:val="both"/>
      </w:pPr>
      <w:r>
        <w:t>U 2014.godini  kod dužnika pojavljuju se poteškoće u poslovanju, pad ugovorenih poslova uslijed smanjenja građevinskih radova, nemogućnost naplate potraživanja od kupaca iako su poslovi obavljeni i fakturirani. Dužnik 05.09.2014. godine pada u blokadu te ne može redovno isplaćivati plaće radnicima. Prema očevidniku o redoslijedu plaćanja FINE od 18.10.2016.godine dužnik je u blokadi od 05.09.2014.godine neprekidno do danas, iznos blokade na dan 18.10.2016.godine  iznosi 210.964,63 kune, broj dana neprekidne blokade je 771.</w:t>
      </w:r>
    </w:p>
    <w:p w:rsidRDefault="0085332E" w:rsidP="0085332E" w:rsidR="0085332E">
      <w:pPr>
        <w:jc w:val="both"/>
      </w:pPr>
    </w:p>
    <w:p w:rsidRDefault="0085332E" w:rsidP="0085332E" w:rsidR="0085332E">
      <w:pPr>
        <w:jc w:val="both"/>
      </w:pPr>
      <w:r>
        <w:t>Predlagatelj – FINA RC Osijek podnijela je 12.05.2016.godine Prijedlog za otvaranje stečajnog postupka nad dužnikom. U Prijedlogu navodi da dužnik na dan 01.09.2015.godine u Očevidniku za plaćanje ima evidentirane neizvršene osnove za plaćanje u neprekidnom razdoblju od 358 dana u ukupnom iznosu 57.142,14 kuna. Dužnik ima dva zaposlena radnika.</w:t>
      </w:r>
    </w:p>
    <w:p w:rsidRDefault="0085332E" w:rsidP="0085332E" w:rsidR="0085332E">
      <w:pPr>
        <w:jc w:val="both"/>
      </w:pPr>
    </w:p>
    <w:p w:rsidRDefault="0085332E" w:rsidP="0085332E" w:rsidR="0085332E">
      <w:pPr>
        <w:jc w:val="both"/>
      </w:pPr>
      <w:r>
        <w:t>Uslijed nemogućnosti nastavka poslovanja direktorica je otkazala za tri radnika ugovor o radu, dok su dva radnika ostala i dalje zaposlena u Društvu iako nije bilo nikakvih poslovnih aktivnosti.</w:t>
      </w:r>
    </w:p>
    <w:p w:rsidRDefault="0085332E" w:rsidP="0085332E" w:rsidR="0085332E">
      <w:pPr>
        <w:jc w:val="both"/>
      </w:pPr>
    </w:p>
    <w:p w:rsidRDefault="0085332E" w:rsidP="0085332E" w:rsidR="0085332E">
      <w:pPr>
        <w:jc w:val="both"/>
      </w:pPr>
      <w:r>
        <w:t>Kao razlog za prekid poslovanja direktorica navodi smanjenje posla u graditeljstvu i nemogućnost naplate potraživanja.</w:t>
      </w:r>
    </w:p>
    <w:p w:rsidRDefault="0085332E" w:rsidP="0085332E" w:rsidR="0085332E"/>
    <w:p w:rsidRDefault="0085332E" w:rsidP="0085332E" w:rsidR="0085332E"/>
    <w:tbl>
      <w:tblPr>
        <w:tblW w:type="auto" w:w="0"/>
        <w:tblInd w:type="dxa" w:w="108"/>
        <w:tblLayout w:type="fixed"/>
        <w:tblLook w:val="04A0" w:noVBand="1" w:noHBand="0" w:lastColumn="0" w:firstColumn="1" w:lastRow="0" w:firstRow="1"/>
      </w:tblPr>
      <w:tblGrid>
        <w:gridCol w:w="6480"/>
        <w:gridCol w:w="1090"/>
      </w:tblGrid>
      <w:tr w:rsidTr="00751D27" w:rsidR="0085332E">
        <w:trPr>
          <w:trHeight w:val="225"/>
        </w:trPr>
        <w:tc>
          <w:tcPr>
            <w:tcW w:type="dxa" w:w="6480"/>
            <w:tcBorders>
              <w:top w:space="0" w:sz="4" w:color="000000" w:val="single"/>
              <w:left w:space="0" w:sz="4" w:color="000000" w:val="single"/>
              <w:bottom w:space="0" w:sz="4" w:color="000000" w:val="single"/>
              <w:right w:val="nil"/>
            </w:tcBorders>
            <w:shd w:fill="BFBFBF" w:color="auto" w:val="clear"/>
            <w:vAlign w:val="center"/>
            <w:hideMark/>
          </w:tcPr>
          <w:p w:rsidRDefault="0085332E" w:rsidP="00751D27" w:rsidR="0085332E">
            <w:pPr>
              <w:suppressAutoHyphens/>
              <w:snapToGrid w:val="false"/>
              <w:rPr>
                <w:rFonts w:cs="Calibri" w:hAnsi="Calibri" w:ascii="Calibri"/>
                <w:b/>
                <w:bCs/>
                <w:color w:val="000000"/>
                <w:sz w:val="16"/>
                <w:szCs w:val="16"/>
                <w:lang w:eastAsia="ar-SA"/>
              </w:rPr>
            </w:pPr>
            <w:r>
              <w:rPr>
                <w:rFonts w:cs="Calibri" w:hAnsi="Calibri" w:ascii="Calibri"/>
                <w:b/>
                <w:bCs/>
                <w:color w:val="000000"/>
                <w:sz w:val="16"/>
                <w:szCs w:val="16"/>
              </w:rPr>
              <w:t>AKTIVA</w:t>
            </w:r>
          </w:p>
        </w:tc>
        <w:tc>
          <w:tcPr>
            <w:tcW w:type="dxa" w:w="1090"/>
            <w:tcBorders>
              <w:top w:space="0" w:sz="4" w:color="000000" w:val="single"/>
              <w:left w:space="0" w:sz="4" w:color="000000" w:val="single"/>
              <w:bottom w:space="0" w:sz="4" w:color="000000" w:val="single"/>
              <w:right w:space="0" w:sz="4" w:color="000000" w:val="single"/>
            </w:tcBorders>
            <w:shd w:fill="BFBFBF" w:color="auto" w:val="clear"/>
            <w:vAlign w:val="center"/>
            <w:hideMark/>
          </w:tcPr>
          <w:p w:rsidRDefault="0085332E" w:rsidP="00751D27" w:rsidR="0085332E">
            <w:pPr>
              <w:suppressAutoHyphens/>
              <w:snapToGrid w:val="false"/>
              <w:jc w:val="center"/>
              <w:rPr>
                <w:rFonts w:cs="Calibri" w:hAnsi="Calibri" w:ascii="Calibri"/>
                <w:b/>
                <w:bCs/>
                <w:color w:val="000000"/>
                <w:sz w:val="16"/>
                <w:szCs w:val="16"/>
                <w:lang w:eastAsia="ar-SA"/>
              </w:rPr>
            </w:pPr>
            <w:r>
              <w:rPr>
                <w:rFonts w:cs="Calibri" w:hAnsi="Calibri" w:ascii="Calibri"/>
                <w:b/>
                <w:bCs/>
                <w:color w:val="000000"/>
                <w:sz w:val="16"/>
                <w:szCs w:val="16"/>
              </w:rPr>
              <w:t>2013</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A) POTRAŽIVANJA ZA UPISANI A NEUPLAĆENI KAPITAL</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B) DUGOTRAJNA IMOVINA</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 NEMATERIJALNA IMOVINA</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II. MATERIJALNA IMOVINA</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III. DUGOTRAJNA FINANCIJSKA IMOVINA</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IV. POTRAŽIVANJA</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V. ODGOĐENA POREZNA IMOVINA</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lastRenderedPageBreak/>
              <w:t>C) KRATKOTRAJNA IMOVINA</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29.526</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 ZALIHE</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II. POTRAŽIVANJA</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10.700</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III. KRATKOTRAJNA FINANCIJSKA IMOVINA</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18.819</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IV. NOVAC U BANCI I BLAGAJNI</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7</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D) PLAĆENI TROŠKOVI BUDUĆEG RAZDOBLJA I OBRAČUNATI PRIHODI</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shd w:fill="BFBFBF" w:color="auto" w:val="clear"/>
            <w:vAlign w:val="center"/>
            <w:hideMark/>
          </w:tcPr>
          <w:p w:rsidRDefault="0085332E" w:rsidP="00751D27" w:rsidR="0085332E">
            <w:pPr>
              <w:suppressAutoHyphens/>
              <w:snapToGrid w:val="false"/>
              <w:rPr>
                <w:rFonts w:cs="Calibri" w:hAnsi="Calibri" w:ascii="Calibri"/>
                <w:b/>
                <w:bCs/>
                <w:color w:val="000000"/>
                <w:sz w:val="16"/>
                <w:szCs w:val="16"/>
                <w:lang w:eastAsia="ar-SA"/>
              </w:rPr>
            </w:pPr>
            <w:r>
              <w:rPr>
                <w:rFonts w:cs="Calibri" w:hAnsi="Calibri" w:ascii="Calibri"/>
                <w:b/>
                <w:bCs/>
                <w:color w:val="000000"/>
                <w:sz w:val="16"/>
                <w:szCs w:val="16"/>
              </w:rPr>
              <w:t>E) UKUPNO AKTIVA</w:t>
            </w:r>
          </w:p>
        </w:tc>
        <w:tc>
          <w:tcPr>
            <w:tcW w:type="dxa" w:w="1090"/>
            <w:tcBorders>
              <w:top w:val="nil"/>
              <w:left w:space="0" w:sz="4" w:color="000000" w:val="single"/>
              <w:bottom w:space="0" w:sz="4" w:color="000000" w:val="single"/>
              <w:right w:space="0" w:sz="4" w:color="000000" w:val="single"/>
            </w:tcBorders>
            <w:shd w:fill="BFBFBF" w:color="auto" w:val="clear"/>
            <w:vAlign w:val="center"/>
            <w:hideMark/>
          </w:tcPr>
          <w:p w:rsidRDefault="0085332E" w:rsidP="00751D27" w:rsidR="0085332E">
            <w:pPr>
              <w:suppressAutoHyphens/>
              <w:snapToGrid w:val="false"/>
              <w:jc w:val="right"/>
              <w:rPr>
                <w:rFonts w:cs="Calibri" w:hAnsi="Calibri" w:ascii="Calibri"/>
                <w:b/>
                <w:bCs/>
                <w:color w:val="000000"/>
                <w:sz w:val="16"/>
                <w:szCs w:val="16"/>
                <w:lang w:eastAsia="ar-SA"/>
              </w:rPr>
            </w:pPr>
            <w:r>
              <w:rPr>
                <w:rFonts w:cs="Calibri" w:hAnsi="Calibri" w:ascii="Calibri"/>
                <w:b/>
                <w:bCs/>
                <w:color w:val="000000"/>
                <w:sz w:val="16"/>
                <w:szCs w:val="16"/>
              </w:rPr>
              <w:t>29.526</w:t>
            </w:r>
          </w:p>
        </w:tc>
      </w:tr>
      <w:tr w:rsidTr="00751D27" w:rsidR="0085332E">
        <w:trPr>
          <w:trHeight w:val="225"/>
        </w:trPr>
        <w:tc>
          <w:tcPr>
            <w:tcW w:type="dxa" w:w="6480"/>
            <w:tcBorders>
              <w:top w:val="nil"/>
              <w:left w:space="0" w:sz="4" w:color="000000" w:val="single"/>
              <w:bottom w:space="0" w:sz="4" w:color="000000" w:val="single"/>
              <w:right w:val="nil"/>
            </w:tcBorders>
            <w:shd w:fill="BFBFBF" w:color="auto" w:val="clear"/>
            <w:vAlign w:val="center"/>
            <w:hideMark/>
          </w:tcPr>
          <w:p w:rsidRDefault="0085332E" w:rsidP="00751D27" w:rsidR="0085332E">
            <w:pPr>
              <w:suppressAutoHyphens/>
              <w:snapToGrid w:val="false"/>
              <w:rPr>
                <w:rFonts w:cs="Calibri" w:hAnsi="Calibri" w:ascii="Calibri"/>
                <w:b/>
                <w:bCs/>
                <w:color w:val="000000"/>
                <w:sz w:val="16"/>
                <w:szCs w:val="16"/>
                <w:lang w:eastAsia="ar-SA"/>
              </w:rPr>
            </w:pPr>
            <w:r>
              <w:rPr>
                <w:rFonts w:cs="Calibri" w:hAnsi="Calibri" w:ascii="Calibri"/>
                <w:b/>
                <w:bCs/>
                <w:color w:val="000000"/>
                <w:sz w:val="16"/>
                <w:szCs w:val="16"/>
              </w:rPr>
              <w:t>PASIVA</w:t>
            </w:r>
          </w:p>
        </w:tc>
        <w:tc>
          <w:tcPr>
            <w:tcW w:type="dxa" w:w="1090"/>
            <w:tcBorders>
              <w:top w:val="nil"/>
              <w:left w:space="0" w:sz="4" w:color="000000" w:val="single"/>
              <w:bottom w:space="0" w:sz="4" w:color="000000" w:val="single"/>
              <w:right w:space="0" w:sz="4" w:color="000000" w:val="single"/>
            </w:tcBorders>
            <w:shd w:fill="BFBFBF" w:color="auto" w:val="clear"/>
            <w:vAlign w:val="center"/>
            <w:hideMark/>
          </w:tcPr>
          <w:p w:rsidRDefault="0085332E" w:rsidP="00751D27" w:rsidR="0085332E">
            <w:pPr>
              <w:suppressAutoHyphens/>
              <w:snapToGrid w:val="false"/>
              <w:jc w:val="center"/>
              <w:rPr>
                <w:rFonts w:cs="Calibri" w:hAnsi="Calibri" w:ascii="Calibri"/>
                <w:b/>
                <w:bCs/>
                <w:color w:val="000000"/>
                <w:sz w:val="16"/>
                <w:szCs w:val="16"/>
                <w:lang w:eastAsia="ar-SA"/>
              </w:rPr>
            </w:pPr>
            <w:r>
              <w:rPr>
                <w:rFonts w:cs="Calibri" w:hAnsi="Calibri" w:ascii="Calibri"/>
                <w:b/>
                <w:bCs/>
                <w:color w:val="000000"/>
                <w:sz w:val="16"/>
                <w:szCs w:val="16"/>
              </w:rPr>
              <w:t>2013</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A) KAPITAL I REZERVE</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3.522</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 TEMELJNI (UPISANI) KAPITAL</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10</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II. KAPITALNE REZERVE</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III. REZERVE IZ DOBITI</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IV. REVALORIZACIJSKE REZERVE</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V ZADRŽANA DOBIT ILI PRENESENI GUBITAK</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VI DOBIT ILI GUBITAK POSLOVNE GODINE</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3.512</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VII MANJINSKI INTERES</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B) REZERVIRANJA</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C) DUGOROČNE OBVEZE</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D) KRATKOROČNE OBVEZE</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26.004</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E) ODGOĐENO PLAĆANJE TROŠKOVA I PRIHOD BUDUĆEGA RAZDOBLJA</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shd w:fill="BFBFBF" w:color="auto" w:val="clear"/>
            <w:vAlign w:val="center"/>
            <w:hideMark/>
          </w:tcPr>
          <w:p w:rsidRDefault="0085332E" w:rsidP="00751D27" w:rsidR="0085332E">
            <w:pPr>
              <w:suppressAutoHyphens/>
              <w:snapToGrid w:val="false"/>
              <w:rPr>
                <w:rFonts w:cs="Calibri" w:hAnsi="Calibri" w:ascii="Calibri"/>
                <w:b/>
                <w:bCs/>
                <w:color w:val="000000"/>
                <w:sz w:val="16"/>
                <w:szCs w:val="16"/>
                <w:lang w:eastAsia="ar-SA"/>
              </w:rPr>
            </w:pPr>
            <w:r>
              <w:rPr>
                <w:rFonts w:cs="Calibri" w:hAnsi="Calibri" w:ascii="Calibri"/>
                <w:b/>
                <w:bCs/>
                <w:color w:val="000000"/>
                <w:sz w:val="16"/>
                <w:szCs w:val="16"/>
              </w:rPr>
              <w:t>F) UKUPNO – PASIVA</w:t>
            </w:r>
          </w:p>
        </w:tc>
        <w:tc>
          <w:tcPr>
            <w:tcW w:type="dxa" w:w="1090"/>
            <w:tcBorders>
              <w:top w:val="nil"/>
              <w:left w:space="0" w:sz="4" w:color="000000" w:val="single"/>
              <w:bottom w:space="0" w:sz="4" w:color="000000" w:val="single"/>
              <w:right w:space="0" w:sz="4" w:color="000000" w:val="single"/>
            </w:tcBorders>
            <w:shd w:fill="BFBFBF" w:color="auto" w:val="clear"/>
            <w:vAlign w:val="center"/>
            <w:hideMark/>
          </w:tcPr>
          <w:p w:rsidRDefault="0085332E" w:rsidP="00751D27" w:rsidR="0085332E">
            <w:pPr>
              <w:suppressAutoHyphens/>
              <w:snapToGrid w:val="false"/>
              <w:jc w:val="right"/>
              <w:rPr>
                <w:rFonts w:cs="Calibri" w:hAnsi="Calibri" w:ascii="Calibri"/>
                <w:b/>
                <w:bCs/>
                <w:color w:val="000000"/>
                <w:sz w:val="16"/>
                <w:szCs w:val="16"/>
                <w:lang w:eastAsia="ar-SA"/>
              </w:rPr>
            </w:pPr>
            <w:r>
              <w:rPr>
                <w:rFonts w:cs="Calibri" w:hAnsi="Calibri" w:ascii="Calibri"/>
                <w:b/>
                <w:bCs/>
                <w:color w:val="000000"/>
                <w:sz w:val="16"/>
                <w:szCs w:val="16"/>
              </w:rPr>
              <w:t>29.526</w:t>
            </w:r>
          </w:p>
        </w:tc>
      </w:tr>
    </w:tbl>
    <w:p w:rsidRDefault="0085332E" w:rsidP="0085332E" w:rsidR="0085332E">
      <w:pPr>
        <w:rPr>
          <w:lang w:eastAsia="ar-SA"/>
        </w:rPr>
      </w:pPr>
    </w:p>
    <w:p w:rsidRDefault="0085332E" w:rsidP="0085332E" w:rsidR="0085332E"/>
    <w:tbl>
      <w:tblPr>
        <w:tblW w:type="auto" w:w="0"/>
        <w:tblInd w:type="dxa" w:w="108"/>
        <w:tblLayout w:type="fixed"/>
        <w:tblLook w:val="04A0" w:noVBand="1" w:noHBand="0" w:lastColumn="0" w:firstColumn="1" w:lastRow="0" w:firstRow="1"/>
      </w:tblPr>
      <w:tblGrid>
        <w:gridCol w:w="6480"/>
        <w:gridCol w:w="1090"/>
      </w:tblGrid>
      <w:tr w:rsidTr="00751D27" w:rsidR="0085332E">
        <w:trPr>
          <w:trHeight w:val="225"/>
        </w:trPr>
        <w:tc>
          <w:tcPr>
            <w:tcW w:type="dxa" w:w="6480"/>
            <w:tcBorders>
              <w:top w:space="0" w:sz="4" w:color="000000" w:val="single"/>
              <w:left w:space="0" w:sz="4" w:color="000000" w:val="single"/>
              <w:bottom w:space="0" w:sz="4" w:color="000000" w:val="single"/>
              <w:right w:val="nil"/>
            </w:tcBorders>
            <w:shd w:fill="BFBFBF" w:color="auto" w:val="clear"/>
            <w:vAlign w:val="center"/>
            <w:hideMark/>
          </w:tcPr>
          <w:p w:rsidRDefault="0085332E" w:rsidP="00751D27" w:rsidR="0085332E">
            <w:pPr>
              <w:suppressAutoHyphens/>
              <w:snapToGrid w:val="false"/>
              <w:rPr>
                <w:rFonts w:cs="Calibri" w:hAnsi="Calibri" w:ascii="Calibri"/>
                <w:b/>
                <w:bCs/>
                <w:color w:val="000000"/>
                <w:sz w:val="16"/>
                <w:szCs w:val="16"/>
                <w:lang w:eastAsia="ar-SA"/>
              </w:rPr>
            </w:pPr>
            <w:r>
              <w:rPr>
                <w:rFonts w:cs="Calibri" w:hAnsi="Calibri" w:ascii="Calibri"/>
                <w:b/>
                <w:bCs/>
                <w:color w:val="000000"/>
                <w:sz w:val="16"/>
                <w:szCs w:val="16"/>
              </w:rPr>
              <w:t>Naziv pozicije</w:t>
            </w:r>
          </w:p>
        </w:tc>
        <w:tc>
          <w:tcPr>
            <w:tcW w:type="dxa" w:w="1090"/>
            <w:tcBorders>
              <w:top w:space="0" w:sz="4" w:color="000000" w:val="single"/>
              <w:left w:space="0" w:sz="4" w:color="000000" w:val="single"/>
              <w:bottom w:space="0" w:sz="4" w:color="000000" w:val="single"/>
              <w:right w:space="0" w:sz="4" w:color="000000" w:val="single"/>
            </w:tcBorders>
            <w:shd w:fill="BFBFBF" w:color="auto" w:val="clear"/>
            <w:vAlign w:val="center"/>
            <w:hideMark/>
          </w:tcPr>
          <w:p w:rsidRDefault="0085332E" w:rsidP="00751D27" w:rsidR="0085332E">
            <w:pPr>
              <w:suppressAutoHyphens/>
              <w:snapToGrid w:val="false"/>
              <w:jc w:val="center"/>
              <w:rPr>
                <w:rFonts w:cs="Calibri" w:hAnsi="Calibri" w:ascii="Calibri"/>
                <w:b/>
                <w:bCs/>
                <w:color w:val="000000"/>
                <w:sz w:val="16"/>
                <w:szCs w:val="16"/>
                <w:lang w:eastAsia="ar-SA"/>
              </w:rPr>
            </w:pPr>
            <w:r>
              <w:rPr>
                <w:rFonts w:cs="Calibri" w:hAnsi="Calibri" w:ascii="Calibri"/>
                <w:b/>
                <w:bCs/>
                <w:color w:val="000000"/>
                <w:sz w:val="16"/>
                <w:szCs w:val="16"/>
              </w:rPr>
              <w:t>2013</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 POSLOVNI PRIHODI</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37.027</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II. POSLOVNI RASHODI</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32.638</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III. FINANCIJSKI PRIHODI</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IV. FINANCIJSKI RASHODI</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V UDIO U DOBITI OD PRIDRUŽENIH PODUZETNIKA</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VI UDIO U GUBITKU OD PRIDRUŽENIH PODUZETNIKA</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VII. IZVANREDNI - OSTALI PRIHODI</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VIII.IZVANREDNI - OSTALI RASHODI</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 </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IX. UKUPNI PRIHODI</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37.027</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X. UKUPNI RASHODI</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32.638</w:t>
            </w:r>
          </w:p>
        </w:tc>
      </w:tr>
      <w:tr w:rsidTr="00751D27" w:rsidR="0085332E">
        <w:trPr>
          <w:trHeight w:val="225"/>
        </w:trPr>
        <w:tc>
          <w:tcPr>
            <w:tcW w:type="dxa" w:w="6480"/>
            <w:tcBorders>
              <w:top w:val="nil"/>
              <w:left w:space="0" w:sz="4" w:color="000000" w:val="single"/>
              <w:bottom w:space="0" w:sz="4" w:color="000000" w:val="single"/>
              <w:right w:val="nil"/>
            </w:tcBorders>
            <w:shd w:fill="BFBFBF" w:color="auto" w:val="clear"/>
            <w:vAlign w:val="center"/>
            <w:hideMark/>
          </w:tcPr>
          <w:p w:rsidRDefault="0085332E" w:rsidP="00751D27" w:rsidR="0085332E">
            <w:pPr>
              <w:suppressAutoHyphens/>
              <w:snapToGrid w:val="false"/>
              <w:rPr>
                <w:rFonts w:cs="Calibri" w:hAnsi="Calibri" w:ascii="Calibri"/>
                <w:b/>
                <w:bCs/>
                <w:color w:val="000000"/>
                <w:sz w:val="16"/>
                <w:szCs w:val="16"/>
                <w:lang w:eastAsia="ar-SA"/>
              </w:rPr>
            </w:pPr>
            <w:r>
              <w:rPr>
                <w:rFonts w:cs="Calibri" w:hAnsi="Calibri" w:ascii="Calibri"/>
                <w:b/>
                <w:bCs/>
                <w:color w:val="000000"/>
                <w:sz w:val="16"/>
                <w:szCs w:val="16"/>
              </w:rPr>
              <w:t>XI DOBIT ILI GUBITAK PRIJE OPOREZIVANJA</w:t>
            </w:r>
          </w:p>
        </w:tc>
        <w:tc>
          <w:tcPr>
            <w:tcW w:type="dxa" w:w="1090"/>
            <w:tcBorders>
              <w:top w:val="nil"/>
              <w:left w:space="0" w:sz="4" w:color="000000" w:val="single"/>
              <w:bottom w:space="0" w:sz="4" w:color="000000" w:val="single"/>
              <w:right w:space="0" w:sz="4" w:color="000000" w:val="single"/>
            </w:tcBorders>
            <w:shd w:fill="BFBFBF" w:color="auto" w:val="clear"/>
            <w:vAlign w:val="center"/>
            <w:hideMark/>
          </w:tcPr>
          <w:p w:rsidRDefault="0085332E" w:rsidP="00751D27" w:rsidR="0085332E">
            <w:pPr>
              <w:suppressAutoHyphens/>
              <w:snapToGrid w:val="false"/>
              <w:jc w:val="right"/>
              <w:rPr>
                <w:rFonts w:cs="Calibri" w:hAnsi="Calibri" w:ascii="Calibri"/>
                <w:b/>
                <w:bCs/>
                <w:color w:val="000000"/>
                <w:sz w:val="16"/>
                <w:szCs w:val="16"/>
                <w:lang w:eastAsia="ar-SA"/>
              </w:rPr>
            </w:pPr>
            <w:r>
              <w:rPr>
                <w:rFonts w:cs="Calibri" w:hAnsi="Calibri" w:ascii="Calibri"/>
                <w:b/>
                <w:bCs/>
                <w:color w:val="000000"/>
                <w:sz w:val="16"/>
                <w:szCs w:val="16"/>
              </w:rPr>
              <w:t>4.389</w:t>
            </w:r>
          </w:p>
        </w:tc>
      </w:tr>
      <w:tr w:rsidTr="00751D27" w:rsidR="0085332E">
        <w:trPr>
          <w:trHeight w:val="225"/>
        </w:trPr>
        <w:tc>
          <w:tcPr>
            <w:tcW w:type="dxa" w:w="6480"/>
            <w:tcBorders>
              <w:top w:val="nil"/>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color w:val="000000"/>
                <w:sz w:val="16"/>
                <w:szCs w:val="16"/>
                <w:lang w:eastAsia="ar-SA"/>
              </w:rPr>
            </w:pPr>
            <w:r>
              <w:rPr>
                <w:rFonts w:cs="Calibri" w:hAnsi="Calibri" w:ascii="Calibri"/>
                <w:color w:val="000000"/>
                <w:sz w:val="16"/>
                <w:szCs w:val="16"/>
              </w:rPr>
              <w:t>XII. POREZ NA DOBIT</w:t>
            </w:r>
          </w:p>
        </w:tc>
        <w:tc>
          <w:tcPr>
            <w:tcW w:type="dxa" w:w="1090"/>
            <w:tcBorders>
              <w:top w:val="nil"/>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color w:val="000000"/>
                <w:sz w:val="16"/>
                <w:szCs w:val="16"/>
                <w:lang w:eastAsia="ar-SA"/>
              </w:rPr>
            </w:pPr>
            <w:r>
              <w:rPr>
                <w:rFonts w:cs="Calibri" w:hAnsi="Calibri" w:ascii="Calibri"/>
                <w:color w:val="000000"/>
                <w:sz w:val="16"/>
                <w:szCs w:val="16"/>
              </w:rPr>
              <w:t>878</w:t>
            </w:r>
          </w:p>
        </w:tc>
      </w:tr>
      <w:tr w:rsidTr="00751D27" w:rsidR="0085332E">
        <w:trPr>
          <w:trHeight w:val="225"/>
        </w:trPr>
        <w:tc>
          <w:tcPr>
            <w:tcW w:type="dxa" w:w="6480"/>
            <w:tcBorders>
              <w:top w:val="nil"/>
              <w:left w:space="0" w:sz="4" w:color="000000" w:val="single"/>
              <w:bottom w:space="0" w:sz="4" w:color="000000" w:val="single"/>
              <w:right w:val="nil"/>
            </w:tcBorders>
            <w:shd w:fill="BFBFBF" w:color="auto" w:val="clear"/>
            <w:vAlign w:val="center"/>
            <w:hideMark/>
          </w:tcPr>
          <w:p w:rsidRDefault="0085332E" w:rsidP="00751D27" w:rsidR="0085332E">
            <w:pPr>
              <w:suppressAutoHyphens/>
              <w:snapToGrid w:val="false"/>
              <w:rPr>
                <w:rFonts w:cs="Calibri" w:hAnsi="Calibri" w:ascii="Calibri"/>
                <w:b/>
                <w:bCs/>
                <w:color w:val="000000"/>
                <w:sz w:val="16"/>
                <w:szCs w:val="16"/>
                <w:lang w:eastAsia="ar-SA"/>
              </w:rPr>
            </w:pPr>
            <w:r>
              <w:rPr>
                <w:rFonts w:cs="Calibri" w:hAnsi="Calibri" w:ascii="Calibri"/>
                <w:b/>
                <w:bCs/>
                <w:color w:val="000000"/>
                <w:sz w:val="16"/>
                <w:szCs w:val="16"/>
              </w:rPr>
              <w:t>XIII DOBIT ILI GUBITAK RAZDOBLJA</w:t>
            </w:r>
          </w:p>
        </w:tc>
        <w:tc>
          <w:tcPr>
            <w:tcW w:type="dxa" w:w="1090"/>
            <w:tcBorders>
              <w:top w:val="nil"/>
              <w:left w:space="0" w:sz="4" w:color="000000" w:val="single"/>
              <w:bottom w:space="0" w:sz="4" w:color="000000" w:val="single"/>
              <w:right w:space="0" w:sz="4" w:color="000000" w:val="single"/>
            </w:tcBorders>
            <w:shd w:fill="BFBFBF" w:color="auto" w:val="clear"/>
            <w:vAlign w:val="center"/>
            <w:hideMark/>
          </w:tcPr>
          <w:p w:rsidRDefault="0085332E" w:rsidP="00751D27" w:rsidR="0085332E">
            <w:pPr>
              <w:suppressAutoHyphens/>
              <w:snapToGrid w:val="false"/>
              <w:jc w:val="right"/>
              <w:rPr>
                <w:rFonts w:cs="Calibri" w:hAnsi="Calibri" w:ascii="Calibri"/>
                <w:b/>
                <w:bCs/>
                <w:color w:val="000000"/>
                <w:sz w:val="16"/>
                <w:szCs w:val="16"/>
                <w:lang w:eastAsia="ar-SA"/>
              </w:rPr>
            </w:pPr>
            <w:r>
              <w:rPr>
                <w:rFonts w:cs="Calibri" w:hAnsi="Calibri" w:ascii="Calibri"/>
                <w:b/>
                <w:bCs/>
                <w:color w:val="000000"/>
                <w:sz w:val="16"/>
                <w:szCs w:val="16"/>
              </w:rPr>
              <w:t>3.511</w:t>
            </w:r>
          </w:p>
        </w:tc>
      </w:tr>
    </w:tbl>
    <w:p w:rsidRDefault="0085332E" w:rsidP="0085332E" w:rsidR="0085332E"/>
    <w:p w:rsidRDefault="0085332E" w:rsidP="0085332E" w:rsidR="0085332E">
      <w:pPr>
        <w:jc w:val="both"/>
      </w:pPr>
      <w:r>
        <w:t xml:space="preserve">Kako dužnik nije podnosio financijska izvješća za 2014. i 2015.godinu, obustavio je poslovanje krajem 2014.godine u nastavku </w:t>
      </w:r>
      <w:r w:rsidR="00A17D15">
        <w:t>je prikazana</w:t>
      </w:r>
      <w:r>
        <w:t xml:space="preserve"> imovin</w:t>
      </w:r>
      <w:r w:rsidR="00A17D15">
        <w:t>a</w:t>
      </w:r>
      <w:r>
        <w:t xml:space="preserve"> i obvez</w:t>
      </w:r>
      <w:r w:rsidR="00A17D15">
        <w:t>e</w:t>
      </w:r>
      <w:r>
        <w:t xml:space="preserve"> dužnika bruto bilanc</w:t>
      </w:r>
      <w:r w:rsidR="00A17D15">
        <w:t>e</w:t>
      </w:r>
      <w:r>
        <w:t xml:space="preserve"> sa stanjem 31.12.2015.godine.</w:t>
      </w:r>
    </w:p>
    <w:p w:rsidRDefault="0085332E" w:rsidP="0085332E" w:rsidR="0085332E">
      <w:pPr>
        <w:jc w:val="both"/>
      </w:pPr>
    </w:p>
    <w:p w:rsidRDefault="0085332E" w:rsidP="0085332E" w:rsidR="0085332E">
      <w:pPr>
        <w:jc w:val="both"/>
      </w:pPr>
      <w:r>
        <w:t xml:space="preserve">Dugotrajne imovine dužnik nema. Kratkotrajna imovina dužnika sastoji se od: </w:t>
      </w:r>
    </w:p>
    <w:p w:rsidRDefault="0085332E" w:rsidP="0085332E" w:rsidR="0085332E"/>
    <w:tbl>
      <w:tblPr>
        <w:tblW w:type="auto" w:w="0"/>
        <w:tblInd w:type="dxa" w:w="108"/>
        <w:tblLayout w:type="fixed"/>
        <w:tblLook w:val="04A0" w:noVBand="1" w:noHBand="0" w:lastColumn="0" w:firstColumn="1" w:lastRow="0" w:firstRow="1"/>
      </w:tblPr>
      <w:tblGrid>
        <w:gridCol w:w="552"/>
        <w:gridCol w:w="5811"/>
        <w:gridCol w:w="1268"/>
      </w:tblGrid>
      <w:tr w:rsidTr="00751D27" w:rsidR="0085332E">
        <w:tc>
          <w:tcPr>
            <w:tcW w:type="dxa" w:w="552"/>
            <w:tcBorders>
              <w:top w:space="0" w:sz="4" w:color="000000" w:val="single"/>
              <w:left w:space="0" w:sz="4" w:color="000000" w:val="single"/>
              <w:bottom w:space="0" w:sz="4" w:color="000000" w:val="single"/>
              <w:right w:val="nil"/>
            </w:tcBorders>
            <w:shd w:fill="BFBFBF" w:color="auto" w:val="clear"/>
            <w:vAlign w:val="center"/>
            <w:hideMark/>
          </w:tcPr>
          <w:p w:rsidRDefault="0085332E" w:rsidP="00751D27" w:rsidR="0085332E">
            <w:pPr>
              <w:suppressAutoHyphens/>
              <w:snapToGrid w:val="false"/>
              <w:rPr>
                <w:rFonts w:cs="Calibri" w:hAnsi="Calibri" w:ascii="Calibri"/>
                <w:b/>
                <w:sz w:val="16"/>
                <w:szCs w:val="16"/>
                <w:lang w:eastAsia="ar-SA"/>
              </w:rPr>
            </w:pPr>
            <w:r>
              <w:rPr>
                <w:rFonts w:cs="Calibri" w:hAnsi="Calibri" w:ascii="Calibri"/>
                <w:b/>
                <w:sz w:val="16"/>
                <w:szCs w:val="16"/>
              </w:rPr>
              <w:t>R.br.</w:t>
            </w:r>
          </w:p>
        </w:tc>
        <w:tc>
          <w:tcPr>
            <w:tcW w:type="dxa" w:w="5811"/>
            <w:tcBorders>
              <w:top w:space="0" w:sz="4" w:color="000000" w:val="single"/>
              <w:left w:space="0" w:sz="4" w:color="000000" w:val="single"/>
              <w:bottom w:space="0" w:sz="4" w:color="000000" w:val="single"/>
              <w:right w:val="nil"/>
            </w:tcBorders>
            <w:shd w:fill="BFBFBF" w:color="auto" w:val="clear"/>
            <w:vAlign w:val="center"/>
            <w:hideMark/>
          </w:tcPr>
          <w:p w:rsidRDefault="0085332E" w:rsidP="00751D27" w:rsidR="0085332E">
            <w:pPr>
              <w:suppressAutoHyphens/>
              <w:snapToGrid w:val="false"/>
              <w:rPr>
                <w:rFonts w:cs="Calibri" w:hAnsi="Calibri" w:ascii="Calibri"/>
                <w:b/>
                <w:sz w:val="16"/>
                <w:szCs w:val="16"/>
                <w:lang w:eastAsia="ar-SA"/>
              </w:rPr>
            </w:pPr>
            <w:r>
              <w:rPr>
                <w:rFonts w:cs="Calibri" w:hAnsi="Calibri" w:ascii="Calibri"/>
                <w:b/>
                <w:sz w:val="16"/>
                <w:szCs w:val="16"/>
              </w:rPr>
              <w:t>NAZIV STAVKE</w:t>
            </w:r>
          </w:p>
        </w:tc>
        <w:tc>
          <w:tcPr>
            <w:tcW w:type="dxa" w:w="1268"/>
            <w:tcBorders>
              <w:top w:space="0" w:sz="4" w:color="000000" w:val="single"/>
              <w:left w:space="0" w:sz="4" w:color="000000" w:val="single"/>
              <w:bottom w:space="0" w:sz="4" w:color="000000" w:val="single"/>
              <w:right w:space="0" w:sz="4" w:color="000000" w:val="single"/>
            </w:tcBorders>
            <w:shd w:fill="BFBFBF" w:color="auto" w:val="clear"/>
            <w:vAlign w:val="center"/>
            <w:hideMark/>
          </w:tcPr>
          <w:p w:rsidRDefault="0085332E" w:rsidP="00751D27" w:rsidR="0085332E">
            <w:pPr>
              <w:suppressAutoHyphens/>
              <w:snapToGrid w:val="false"/>
              <w:jc w:val="center"/>
              <w:rPr>
                <w:rFonts w:cs="Calibri" w:hAnsi="Calibri" w:ascii="Calibri"/>
                <w:b/>
                <w:sz w:val="16"/>
                <w:szCs w:val="16"/>
                <w:lang w:eastAsia="ar-SA"/>
              </w:rPr>
            </w:pPr>
            <w:r>
              <w:rPr>
                <w:rFonts w:cs="Calibri" w:hAnsi="Calibri" w:ascii="Calibri"/>
                <w:b/>
                <w:sz w:val="16"/>
                <w:szCs w:val="16"/>
              </w:rPr>
              <w:t>IZNOS (KN)</w:t>
            </w:r>
          </w:p>
        </w:tc>
      </w:tr>
      <w:tr w:rsidTr="00751D27" w:rsidR="0085332E">
        <w:tc>
          <w:tcPr>
            <w:tcW w:type="dxa" w:w="552"/>
            <w:tcBorders>
              <w:top w:space="0" w:sz="4" w:color="000000" w:val="single"/>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sz w:val="16"/>
                <w:szCs w:val="16"/>
                <w:lang w:eastAsia="ar-SA"/>
              </w:rPr>
            </w:pPr>
            <w:r>
              <w:rPr>
                <w:rFonts w:cs="Calibri" w:hAnsi="Calibri" w:ascii="Calibri"/>
                <w:sz w:val="16"/>
                <w:szCs w:val="16"/>
              </w:rPr>
              <w:t>1.</w:t>
            </w:r>
          </w:p>
        </w:tc>
        <w:tc>
          <w:tcPr>
            <w:tcW w:type="dxa" w:w="5811"/>
            <w:tcBorders>
              <w:top w:space="0" w:sz="4" w:color="000000" w:val="single"/>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sz w:val="16"/>
                <w:szCs w:val="16"/>
                <w:lang w:eastAsia="ar-SA"/>
              </w:rPr>
            </w:pPr>
            <w:r>
              <w:rPr>
                <w:rFonts w:cs="Calibri" w:hAnsi="Calibri" w:ascii="Calibri"/>
                <w:sz w:val="16"/>
                <w:szCs w:val="16"/>
              </w:rPr>
              <w:t>Potraživanja od kupaca</w:t>
            </w:r>
          </w:p>
        </w:tc>
        <w:tc>
          <w:tcPr>
            <w:tcW w:type="dxa" w:w="1268"/>
            <w:tcBorders>
              <w:top w:space="0" w:sz="4" w:color="000000" w:val="single"/>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sz w:val="16"/>
                <w:szCs w:val="16"/>
                <w:lang w:eastAsia="ar-SA"/>
              </w:rPr>
            </w:pPr>
            <w:r>
              <w:rPr>
                <w:rFonts w:cs="Calibri" w:hAnsi="Calibri" w:ascii="Calibri"/>
                <w:sz w:val="16"/>
                <w:szCs w:val="16"/>
              </w:rPr>
              <w:t>75.223,31</w:t>
            </w:r>
          </w:p>
        </w:tc>
      </w:tr>
      <w:tr w:rsidTr="00751D27" w:rsidR="0085332E">
        <w:tc>
          <w:tcPr>
            <w:tcW w:type="dxa" w:w="552"/>
            <w:tcBorders>
              <w:top w:space="0" w:sz="4" w:color="000000" w:val="single"/>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sz w:val="16"/>
                <w:szCs w:val="16"/>
                <w:lang w:eastAsia="ar-SA"/>
              </w:rPr>
            </w:pPr>
            <w:r>
              <w:rPr>
                <w:rFonts w:cs="Calibri" w:hAnsi="Calibri" w:ascii="Calibri"/>
                <w:sz w:val="16"/>
                <w:szCs w:val="16"/>
              </w:rPr>
              <w:t>2.</w:t>
            </w:r>
          </w:p>
        </w:tc>
        <w:tc>
          <w:tcPr>
            <w:tcW w:type="dxa" w:w="5811"/>
            <w:tcBorders>
              <w:top w:space="0" w:sz="4" w:color="000000" w:val="single"/>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sz w:val="16"/>
                <w:szCs w:val="16"/>
                <w:lang w:eastAsia="ar-SA"/>
              </w:rPr>
            </w:pPr>
            <w:r>
              <w:rPr>
                <w:rFonts w:cs="Calibri" w:hAnsi="Calibri" w:ascii="Calibri"/>
                <w:sz w:val="16"/>
                <w:szCs w:val="16"/>
              </w:rPr>
              <w:t>Dane pozajmice</w:t>
            </w:r>
          </w:p>
        </w:tc>
        <w:tc>
          <w:tcPr>
            <w:tcW w:type="dxa" w:w="1268"/>
            <w:tcBorders>
              <w:top w:space="0" w:sz="4" w:color="000000" w:val="single"/>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sz w:val="16"/>
                <w:szCs w:val="16"/>
                <w:lang w:eastAsia="ar-SA"/>
              </w:rPr>
            </w:pPr>
            <w:r>
              <w:rPr>
                <w:rFonts w:cs="Calibri" w:hAnsi="Calibri" w:ascii="Calibri"/>
                <w:sz w:val="16"/>
                <w:szCs w:val="16"/>
              </w:rPr>
              <w:t>25.572,60</w:t>
            </w:r>
          </w:p>
        </w:tc>
      </w:tr>
      <w:tr w:rsidTr="00751D27" w:rsidR="0085332E">
        <w:tc>
          <w:tcPr>
            <w:tcW w:type="dxa" w:w="552"/>
            <w:tcBorders>
              <w:top w:space="0" w:sz="4" w:color="000000" w:val="single"/>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sz w:val="16"/>
                <w:szCs w:val="16"/>
                <w:lang w:eastAsia="ar-SA"/>
              </w:rPr>
            </w:pPr>
            <w:r>
              <w:rPr>
                <w:rFonts w:cs="Calibri" w:hAnsi="Calibri" w:ascii="Calibri"/>
                <w:sz w:val="16"/>
                <w:szCs w:val="16"/>
              </w:rPr>
              <w:t>3.</w:t>
            </w:r>
          </w:p>
        </w:tc>
        <w:tc>
          <w:tcPr>
            <w:tcW w:type="dxa" w:w="5811"/>
            <w:tcBorders>
              <w:top w:space="0" w:sz="4" w:color="000000" w:val="single"/>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sz w:val="16"/>
                <w:szCs w:val="16"/>
                <w:lang w:eastAsia="ar-SA"/>
              </w:rPr>
            </w:pPr>
            <w:r>
              <w:rPr>
                <w:rFonts w:cs="Calibri" w:hAnsi="Calibri" w:ascii="Calibri"/>
                <w:sz w:val="16"/>
                <w:szCs w:val="16"/>
              </w:rPr>
              <w:t>Ostalo</w:t>
            </w:r>
          </w:p>
        </w:tc>
        <w:tc>
          <w:tcPr>
            <w:tcW w:type="dxa" w:w="1268"/>
            <w:tcBorders>
              <w:top w:space="0" w:sz="4" w:color="000000" w:val="single"/>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sz w:val="16"/>
                <w:szCs w:val="16"/>
                <w:lang w:eastAsia="ar-SA"/>
              </w:rPr>
            </w:pPr>
            <w:r>
              <w:rPr>
                <w:rFonts w:cs="Calibri" w:hAnsi="Calibri" w:ascii="Calibri"/>
                <w:sz w:val="16"/>
                <w:szCs w:val="16"/>
              </w:rPr>
              <w:t>1.336,46</w:t>
            </w:r>
          </w:p>
        </w:tc>
      </w:tr>
      <w:tr w:rsidTr="00751D27" w:rsidR="0085332E">
        <w:tc>
          <w:tcPr>
            <w:tcW w:type="dxa" w:w="552"/>
            <w:tcBorders>
              <w:top w:space="0" w:sz="4" w:color="000000" w:val="single"/>
              <w:left w:space="0" w:sz="4" w:color="000000" w:val="single"/>
              <w:bottom w:space="0" w:sz="4" w:color="000000" w:val="single"/>
              <w:right w:val="nil"/>
            </w:tcBorders>
            <w:shd w:fill="BFBFBF" w:color="auto" w:val="clear"/>
            <w:vAlign w:val="center"/>
          </w:tcPr>
          <w:p w:rsidRDefault="0085332E" w:rsidP="00751D27" w:rsidR="0085332E">
            <w:pPr>
              <w:suppressAutoHyphens/>
              <w:snapToGrid w:val="false"/>
              <w:rPr>
                <w:rFonts w:cs="Calibri" w:hAnsi="Calibri" w:ascii="Calibri"/>
                <w:b/>
                <w:sz w:val="16"/>
                <w:szCs w:val="16"/>
                <w:lang w:eastAsia="ar-SA"/>
              </w:rPr>
            </w:pPr>
          </w:p>
        </w:tc>
        <w:tc>
          <w:tcPr>
            <w:tcW w:type="dxa" w:w="5811"/>
            <w:tcBorders>
              <w:top w:space="0" w:sz="4" w:color="000000" w:val="single"/>
              <w:left w:space="0" w:sz="4" w:color="000000" w:val="single"/>
              <w:bottom w:space="0" w:sz="4" w:color="000000" w:val="single"/>
              <w:right w:val="nil"/>
            </w:tcBorders>
            <w:shd w:fill="BFBFBF" w:color="auto" w:val="clear"/>
            <w:vAlign w:val="center"/>
            <w:hideMark/>
          </w:tcPr>
          <w:p w:rsidRDefault="0085332E" w:rsidP="00751D27" w:rsidR="0085332E">
            <w:pPr>
              <w:suppressAutoHyphens/>
              <w:snapToGrid w:val="false"/>
              <w:rPr>
                <w:rFonts w:cs="Calibri" w:hAnsi="Calibri" w:ascii="Calibri"/>
                <w:b/>
                <w:sz w:val="16"/>
                <w:szCs w:val="16"/>
                <w:lang w:eastAsia="ar-SA"/>
              </w:rPr>
            </w:pPr>
            <w:r>
              <w:rPr>
                <w:rFonts w:cs="Calibri" w:hAnsi="Calibri" w:ascii="Calibri"/>
                <w:b/>
                <w:sz w:val="16"/>
                <w:szCs w:val="16"/>
              </w:rPr>
              <w:t>Ukupno (1-3)</w:t>
            </w:r>
          </w:p>
        </w:tc>
        <w:tc>
          <w:tcPr>
            <w:tcW w:type="dxa" w:w="1268"/>
            <w:tcBorders>
              <w:top w:space="0" w:sz="4" w:color="000000" w:val="single"/>
              <w:left w:space="0" w:sz="4" w:color="000000" w:val="single"/>
              <w:bottom w:space="0" w:sz="4" w:color="000000" w:val="single"/>
              <w:right w:space="0" w:sz="4" w:color="000000" w:val="single"/>
            </w:tcBorders>
            <w:shd w:fill="BFBFBF" w:color="auto" w:val="clear"/>
            <w:vAlign w:val="center"/>
            <w:hideMark/>
          </w:tcPr>
          <w:p w:rsidRDefault="0085332E" w:rsidP="00751D27" w:rsidR="0085332E">
            <w:pPr>
              <w:suppressAutoHyphens/>
              <w:snapToGrid w:val="false"/>
              <w:jc w:val="right"/>
              <w:rPr>
                <w:rFonts w:cs="Calibri" w:hAnsi="Calibri" w:ascii="Calibri"/>
                <w:b/>
                <w:sz w:val="16"/>
                <w:szCs w:val="16"/>
                <w:lang w:eastAsia="ar-SA"/>
              </w:rPr>
            </w:pPr>
            <w:r>
              <w:rPr>
                <w:rFonts w:cs="Calibri" w:hAnsi="Calibri" w:ascii="Calibri"/>
                <w:b/>
                <w:sz w:val="16"/>
                <w:szCs w:val="16"/>
              </w:rPr>
              <w:t>102.132,37</w:t>
            </w:r>
          </w:p>
        </w:tc>
      </w:tr>
    </w:tbl>
    <w:p w:rsidRDefault="0085332E" w:rsidP="0085332E" w:rsidR="0085332E">
      <w:pPr>
        <w:rPr>
          <w:lang w:eastAsia="ar-SA"/>
        </w:rPr>
      </w:pPr>
    </w:p>
    <w:p w:rsidRDefault="0085332E" w:rsidP="0085332E" w:rsidR="0085332E">
      <w:pPr>
        <w:jc w:val="both"/>
      </w:pPr>
      <w:r>
        <w:t xml:space="preserve">Analizirajući nenaplaćena potraživanja od kupaca putem ''poslovna hr'' </w:t>
      </w:r>
      <w:r w:rsidR="00A17D15">
        <w:t>utvrđeno je</w:t>
      </w:r>
      <w:r>
        <w:t xml:space="preserve"> da je dio kupaca brisan iz sudskog registra, dio se nalazi u stečaju, dio kupaca osporavaju </w:t>
      </w:r>
      <w:r>
        <w:lastRenderedPageBreak/>
        <w:t>potraživanje uslijed reklamacije izvedenih radova, dakle naplata potraživanja od kupaca je neizvjesna. Dužnik nema zaliha roba kao ni ostale kratkotrajne imovine.</w:t>
      </w:r>
    </w:p>
    <w:p w:rsidRDefault="0085332E" w:rsidP="0085332E" w:rsidR="0085332E">
      <w:pPr>
        <w:jc w:val="both"/>
      </w:pPr>
    </w:p>
    <w:p w:rsidRDefault="0085332E" w:rsidP="0085332E" w:rsidR="0085332E">
      <w:pPr>
        <w:jc w:val="both"/>
      </w:pPr>
      <w:r>
        <w:t xml:space="preserve">Dužnik u poslovnim knjigama nema dugoročnih obveza. </w:t>
      </w:r>
    </w:p>
    <w:p w:rsidRDefault="0085332E" w:rsidP="0085332E" w:rsidR="0085332E">
      <w:pPr>
        <w:jc w:val="both"/>
      </w:pPr>
      <w:r>
        <w:t xml:space="preserve">Kratkoročne obveze dužnika su: </w:t>
      </w:r>
    </w:p>
    <w:p w:rsidRDefault="0085332E" w:rsidP="0085332E" w:rsidR="0085332E"/>
    <w:tbl>
      <w:tblPr>
        <w:tblW w:type="auto" w:w="0"/>
        <w:tblInd w:type="dxa" w:w="108"/>
        <w:tblLayout w:type="fixed"/>
        <w:tblLook w:val="04A0" w:noVBand="1" w:noHBand="0" w:lastColumn="0" w:firstColumn="1" w:lastRow="0" w:firstRow="1"/>
      </w:tblPr>
      <w:tblGrid>
        <w:gridCol w:w="604"/>
        <w:gridCol w:w="5656"/>
        <w:gridCol w:w="1165"/>
      </w:tblGrid>
      <w:tr w:rsidTr="00751D27" w:rsidR="0085332E">
        <w:tc>
          <w:tcPr>
            <w:tcW w:type="dxa" w:w="604"/>
            <w:tcBorders>
              <w:top w:space="0" w:sz="4" w:color="000000" w:val="single"/>
              <w:left w:space="0" w:sz="4" w:color="000000" w:val="single"/>
              <w:bottom w:space="0" w:sz="4" w:color="000000" w:val="single"/>
              <w:right w:val="nil"/>
            </w:tcBorders>
            <w:shd w:fill="BFBFBF" w:color="auto" w:val="clear"/>
            <w:vAlign w:val="center"/>
            <w:hideMark/>
          </w:tcPr>
          <w:p w:rsidRDefault="0085332E" w:rsidP="00751D27" w:rsidR="0085332E">
            <w:pPr>
              <w:suppressAutoHyphens/>
              <w:snapToGrid w:val="false"/>
              <w:rPr>
                <w:rFonts w:cs="Calibri" w:hAnsi="Calibri" w:ascii="Calibri"/>
                <w:b/>
                <w:sz w:val="16"/>
                <w:szCs w:val="16"/>
                <w:lang w:eastAsia="ar-SA"/>
              </w:rPr>
            </w:pPr>
            <w:r>
              <w:rPr>
                <w:rFonts w:cs="Calibri" w:hAnsi="Calibri" w:ascii="Calibri"/>
                <w:b/>
                <w:sz w:val="16"/>
                <w:szCs w:val="16"/>
              </w:rPr>
              <w:t>R.br.</w:t>
            </w:r>
          </w:p>
        </w:tc>
        <w:tc>
          <w:tcPr>
            <w:tcW w:type="dxa" w:w="5656"/>
            <w:tcBorders>
              <w:top w:space="0" w:sz="4" w:color="000000" w:val="single"/>
              <w:left w:space="0" w:sz="4" w:color="000000" w:val="single"/>
              <w:bottom w:space="0" w:sz="4" w:color="000000" w:val="single"/>
              <w:right w:val="nil"/>
            </w:tcBorders>
            <w:shd w:fill="BFBFBF" w:color="auto" w:val="clear"/>
            <w:vAlign w:val="center"/>
            <w:hideMark/>
          </w:tcPr>
          <w:p w:rsidRDefault="0085332E" w:rsidP="00751D27" w:rsidR="0085332E">
            <w:pPr>
              <w:suppressAutoHyphens/>
              <w:snapToGrid w:val="false"/>
              <w:rPr>
                <w:rFonts w:cs="Calibri" w:hAnsi="Calibri" w:ascii="Calibri"/>
                <w:b/>
                <w:sz w:val="16"/>
                <w:szCs w:val="16"/>
                <w:lang w:eastAsia="ar-SA"/>
              </w:rPr>
            </w:pPr>
            <w:r>
              <w:rPr>
                <w:rFonts w:cs="Calibri" w:hAnsi="Calibri" w:ascii="Calibri"/>
                <w:b/>
                <w:sz w:val="16"/>
                <w:szCs w:val="16"/>
              </w:rPr>
              <w:t>NAZIV STAVKE</w:t>
            </w:r>
          </w:p>
        </w:tc>
        <w:tc>
          <w:tcPr>
            <w:tcW w:type="dxa" w:w="1165"/>
            <w:tcBorders>
              <w:top w:space="0" w:sz="4" w:color="000000" w:val="single"/>
              <w:left w:space="0" w:sz="4" w:color="000000" w:val="single"/>
              <w:bottom w:space="0" w:sz="4" w:color="000000" w:val="single"/>
              <w:right w:space="0" w:sz="4" w:color="000000" w:val="single"/>
            </w:tcBorders>
            <w:shd w:fill="BFBFBF" w:color="auto" w:val="clear"/>
            <w:vAlign w:val="center"/>
            <w:hideMark/>
          </w:tcPr>
          <w:p w:rsidRDefault="0085332E" w:rsidP="00751D27" w:rsidR="0085332E">
            <w:pPr>
              <w:suppressAutoHyphens/>
              <w:snapToGrid w:val="false"/>
              <w:jc w:val="center"/>
              <w:rPr>
                <w:rFonts w:cs="Calibri" w:hAnsi="Calibri" w:ascii="Calibri"/>
                <w:b/>
                <w:sz w:val="16"/>
                <w:szCs w:val="16"/>
                <w:lang w:eastAsia="ar-SA"/>
              </w:rPr>
            </w:pPr>
            <w:r>
              <w:rPr>
                <w:rFonts w:cs="Calibri" w:hAnsi="Calibri" w:ascii="Calibri"/>
                <w:b/>
                <w:sz w:val="16"/>
                <w:szCs w:val="16"/>
              </w:rPr>
              <w:t>IZNOS (KN)</w:t>
            </w:r>
          </w:p>
        </w:tc>
      </w:tr>
      <w:tr w:rsidTr="00751D27" w:rsidR="0085332E">
        <w:tc>
          <w:tcPr>
            <w:tcW w:type="dxa" w:w="604"/>
            <w:tcBorders>
              <w:top w:space="0" w:sz="4" w:color="000000" w:val="single"/>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sz w:val="16"/>
                <w:szCs w:val="16"/>
                <w:lang w:eastAsia="ar-SA"/>
              </w:rPr>
            </w:pPr>
            <w:r>
              <w:rPr>
                <w:rFonts w:cs="Calibri" w:hAnsi="Calibri" w:ascii="Calibri"/>
                <w:sz w:val="16"/>
                <w:szCs w:val="16"/>
              </w:rPr>
              <w:t>1.</w:t>
            </w:r>
          </w:p>
        </w:tc>
        <w:tc>
          <w:tcPr>
            <w:tcW w:type="dxa" w:w="5656"/>
            <w:tcBorders>
              <w:top w:space="0" w:sz="4" w:color="000000" w:val="single"/>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sz w:val="16"/>
                <w:szCs w:val="16"/>
                <w:lang w:eastAsia="ar-SA"/>
              </w:rPr>
            </w:pPr>
            <w:r>
              <w:rPr>
                <w:rFonts w:cs="Calibri" w:hAnsi="Calibri" w:ascii="Calibri"/>
                <w:sz w:val="16"/>
                <w:szCs w:val="16"/>
              </w:rPr>
              <w:t>Obveze prema dobavljačima</w:t>
            </w:r>
          </w:p>
        </w:tc>
        <w:tc>
          <w:tcPr>
            <w:tcW w:type="dxa" w:w="1165"/>
            <w:tcBorders>
              <w:top w:space="0" w:sz="4" w:color="000000" w:val="single"/>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sz w:val="16"/>
                <w:szCs w:val="16"/>
                <w:lang w:eastAsia="ar-SA"/>
              </w:rPr>
            </w:pPr>
            <w:r>
              <w:rPr>
                <w:rFonts w:cs="Calibri" w:hAnsi="Calibri" w:ascii="Calibri"/>
                <w:sz w:val="16"/>
                <w:szCs w:val="16"/>
              </w:rPr>
              <w:t>6.992,30</w:t>
            </w:r>
          </w:p>
        </w:tc>
      </w:tr>
      <w:tr w:rsidTr="00751D27" w:rsidR="0085332E">
        <w:tc>
          <w:tcPr>
            <w:tcW w:type="dxa" w:w="604"/>
            <w:tcBorders>
              <w:top w:space="0" w:sz="4" w:color="000000" w:val="single"/>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sz w:val="16"/>
                <w:szCs w:val="16"/>
                <w:lang w:eastAsia="ar-SA"/>
              </w:rPr>
            </w:pPr>
            <w:r>
              <w:rPr>
                <w:rFonts w:cs="Calibri" w:hAnsi="Calibri" w:ascii="Calibri"/>
                <w:sz w:val="16"/>
                <w:szCs w:val="16"/>
              </w:rPr>
              <w:t>2.</w:t>
            </w:r>
          </w:p>
        </w:tc>
        <w:tc>
          <w:tcPr>
            <w:tcW w:type="dxa" w:w="5656"/>
            <w:tcBorders>
              <w:top w:space="0" w:sz="4" w:color="000000" w:val="single"/>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sz w:val="16"/>
                <w:szCs w:val="16"/>
                <w:lang w:eastAsia="ar-SA"/>
              </w:rPr>
            </w:pPr>
            <w:r>
              <w:rPr>
                <w:rFonts w:cs="Calibri" w:hAnsi="Calibri" w:ascii="Calibri"/>
                <w:sz w:val="16"/>
                <w:szCs w:val="16"/>
              </w:rPr>
              <w:t>Obveze za neto plaće zaposlenika</w:t>
            </w:r>
          </w:p>
        </w:tc>
        <w:tc>
          <w:tcPr>
            <w:tcW w:type="dxa" w:w="1165"/>
            <w:tcBorders>
              <w:top w:space="0" w:sz="4" w:color="000000" w:val="single"/>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sz w:val="16"/>
                <w:szCs w:val="16"/>
                <w:lang w:eastAsia="ar-SA"/>
              </w:rPr>
            </w:pPr>
            <w:r>
              <w:rPr>
                <w:rFonts w:cs="Calibri" w:hAnsi="Calibri" w:ascii="Calibri"/>
                <w:sz w:val="16"/>
                <w:szCs w:val="16"/>
              </w:rPr>
              <w:t>133.715,60</w:t>
            </w:r>
          </w:p>
        </w:tc>
      </w:tr>
      <w:tr w:rsidTr="00751D27" w:rsidR="0085332E">
        <w:tc>
          <w:tcPr>
            <w:tcW w:type="dxa" w:w="604"/>
            <w:tcBorders>
              <w:top w:space="0" w:sz="4" w:color="000000" w:val="single"/>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sz w:val="16"/>
                <w:szCs w:val="16"/>
                <w:lang w:eastAsia="ar-SA"/>
              </w:rPr>
            </w:pPr>
            <w:r>
              <w:rPr>
                <w:rFonts w:cs="Calibri" w:hAnsi="Calibri" w:ascii="Calibri"/>
                <w:sz w:val="16"/>
                <w:szCs w:val="16"/>
              </w:rPr>
              <w:t>3.</w:t>
            </w:r>
          </w:p>
        </w:tc>
        <w:tc>
          <w:tcPr>
            <w:tcW w:type="dxa" w:w="5656"/>
            <w:tcBorders>
              <w:top w:space="0" w:sz="4" w:color="000000" w:val="single"/>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sz w:val="16"/>
                <w:szCs w:val="16"/>
                <w:lang w:eastAsia="ar-SA"/>
              </w:rPr>
            </w:pPr>
            <w:r>
              <w:rPr>
                <w:rFonts w:cs="Calibri" w:hAnsi="Calibri" w:ascii="Calibri"/>
                <w:sz w:val="16"/>
                <w:szCs w:val="16"/>
              </w:rPr>
              <w:t>Obveze za poreze i doprinose</w:t>
            </w:r>
          </w:p>
        </w:tc>
        <w:tc>
          <w:tcPr>
            <w:tcW w:type="dxa" w:w="1165"/>
            <w:tcBorders>
              <w:top w:space="0" w:sz="4" w:color="000000" w:val="single"/>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sz w:val="16"/>
                <w:szCs w:val="16"/>
                <w:lang w:eastAsia="ar-SA"/>
              </w:rPr>
            </w:pPr>
            <w:r>
              <w:rPr>
                <w:rFonts w:cs="Calibri" w:hAnsi="Calibri" w:ascii="Calibri"/>
                <w:sz w:val="16"/>
                <w:szCs w:val="16"/>
              </w:rPr>
              <w:t>60.308,15</w:t>
            </w:r>
          </w:p>
        </w:tc>
      </w:tr>
      <w:tr w:rsidTr="00751D27" w:rsidR="0085332E">
        <w:tc>
          <w:tcPr>
            <w:tcW w:type="dxa" w:w="604"/>
            <w:tcBorders>
              <w:top w:space="0" w:sz="4" w:color="000000" w:val="single"/>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sz w:val="16"/>
                <w:szCs w:val="16"/>
                <w:lang w:eastAsia="ar-SA"/>
              </w:rPr>
            </w:pPr>
            <w:r>
              <w:rPr>
                <w:rFonts w:cs="Calibri" w:hAnsi="Calibri" w:ascii="Calibri"/>
                <w:sz w:val="16"/>
                <w:szCs w:val="16"/>
              </w:rPr>
              <w:t>4.</w:t>
            </w:r>
          </w:p>
        </w:tc>
        <w:tc>
          <w:tcPr>
            <w:tcW w:type="dxa" w:w="5656"/>
            <w:tcBorders>
              <w:top w:space="0" w:sz="4" w:color="000000" w:val="single"/>
              <w:left w:space="0" w:sz="4" w:color="000000" w:val="single"/>
              <w:bottom w:space="0" w:sz="4" w:color="000000" w:val="single"/>
              <w:right w:val="nil"/>
            </w:tcBorders>
            <w:vAlign w:val="center"/>
            <w:hideMark/>
          </w:tcPr>
          <w:p w:rsidRDefault="0085332E" w:rsidP="00751D27" w:rsidR="0085332E">
            <w:pPr>
              <w:suppressAutoHyphens/>
              <w:snapToGrid w:val="false"/>
              <w:rPr>
                <w:rFonts w:cs="Calibri" w:hAnsi="Calibri" w:ascii="Calibri"/>
                <w:sz w:val="16"/>
                <w:szCs w:val="16"/>
                <w:lang w:eastAsia="ar-SA"/>
              </w:rPr>
            </w:pPr>
            <w:r>
              <w:rPr>
                <w:rFonts w:cs="Calibri" w:hAnsi="Calibri" w:ascii="Calibri"/>
                <w:sz w:val="16"/>
                <w:szCs w:val="16"/>
              </w:rPr>
              <w:t>Ostale kratkoročne obveze</w:t>
            </w:r>
          </w:p>
        </w:tc>
        <w:tc>
          <w:tcPr>
            <w:tcW w:type="dxa" w:w="1165"/>
            <w:tcBorders>
              <w:top w:space="0" w:sz="4" w:color="000000" w:val="single"/>
              <w:left w:space="0" w:sz="4" w:color="000000" w:val="single"/>
              <w:bottom w:space="0" w:sz="4" w:color="000000" w:val="single"/>
              <w:right w:space="0" w:sz="4" w:color="000000" w:val="single"/>
            </w:tcBorders>
            <w:vAlign w:val="center"/>
            <w:hideMark/>
          </w:tcPr>
          <w:p w:rsidRDefault="0085332E" w:rsidP="00751D27" w:rsidR="0085332E">
            <w:pPr>
              <w:suppressAutoHyphens/>
              <w:snapToGrid w:val="false"/>
              <w:jc w:val="right"/>
              <w:rPr>
                <w:rFonts w:cs="Calibri" w:hAnsi="Calibri" w:ascii="Calibri"/>
                <w:sz w:val="16"/>
                <w:szCs w:val="16"/>
                <w:lang w:eastAsia="ar-SA"/>
              </w:rPr>
            </w:pPr>
            <w:r>
              <w:rPr>
                <w:rFonts w:cs="Calibri" w:hAnsi="Calibri" w:ascii="Calibri"/>
                <w:sz w:val="16"/>
                <w:szCs w:val="16"/>
              </w:rPr>
              <w:t>1.129,84</w:t>
            </w:r>
          </w:p>
        </w:tc>
      </w:tr>
      <w:tr w:rsidTr="00751D27" w:rsidR="0085332E">
        <w:tc>
          <w:tcPr>
            <w:tcW w:type="dxa" w:w="604"/>
            <w:tcBorders>
              <w:top w:space="0" w:sz="4" w:color="000000" w:val="single"/>
              <w:left w:space="0" w:sz="4" w:color="000000" w:val="single"/>
              <w:bottom w:space="0" w:sz="4" w:color="000000" w:val="single"/>
              <w:right w:val="nil"/>
            </w:tcBorders>
            <w:shd w:fill="BFBFBF" w:color="auto" w:val="clear"/>
            <w:vAlign w:val="center"/>
          </w:tcPr>
          <w:p w:rsidRDefault="0085332E" w:rsidP="00751D27" w:rsidR="0085332E">
            <w:pPr>
              <w:suppressAutoHyphens/>
              <w:snapToGrid w:val="false"/>
              <w:rPr>
                <w:rFonts w:cs="Calibri" w:hAnsi="Calibri" w:ascii="Calibri"/>
                <w:b/>
                <w:sz w:val="16"/>
                <w:szCs w:val="16"/>
                <w:lang w:eastAsia="ar-SA"/>
              </w:rPr>
            </w:pPr>
          </w:p>
        </w:tc>
        <w:tc>
          <w:tcPr>
            <w:tcW w:type="dxa" w:w="5656"/>
            <w:tcBorders>
              <w:top w:space="0" w:sz="4" w:color="000000" w:val="single"/>
              <w:left w:space="0" w:sz="4" w:color="000000" w:val="single"/>
              <w:bottom w:space="0" w:sz="4" w:color="000000" w:val="single"/>
              <w:right w:val="nil"/>
            </w:tcBorders>
            <w:shd w:fill="BFBFBF" w:color="auto" w:val="clear"/>
            <w:vAlign w:val="center"/>
            <w:hideMark/>
          </w:tcPr>
          <w:p w:rsidRDefault="0085332E" w:rsidP="00751D27" w:rsidR="0085332E">
            <w:pPr>
              <w:suppressAutoHyphens/>
              <w:snapToGrid w:val="false"/>
              <w:rPr>
                <w:rFonts w:cs="Calibri" w:hAnsi="Calibri" w:ascii="Calibri"/>
                <w:b/>
                <w:sz w:val="16"/>
                <w:szCs w:val="16"/>
                <w:lang w:eastAsia="ar-SA"/>
              </w:rPr>
            </w:pPr>
            <w:r>
              <w:rPr>
                <w:rFonts w:cs="Calibri" w:hAnsi="Calibri" w:ascii="Calibri"/>
                <w:b/>
                <w:sz w:val="16"/>
                <w:szCs w:val="16"/>
              </w:rPr>
              <w:t>Ukupno (1- 4)</w:t>
            </w:r>
          </w:p>
        </w:tc>
        <w:tc>
          <w:tcPr>
            <w:tcW w:type="dxa" w:w="1165"/>
            <w:tcBorders>
              <w:top w:space="0" w:sz="4" w:color="000000" w:val="single"/>
              <w:left w:space="0" w:sz="4" w:color="000000" w:val="single"/>
              <w:bottom w:space="0" w:sz="4" w:color="000000" w:val="single"/>
              <w:right w:space="0" w:sz="4" w:color="000000" w:val="single"/>
            </w:tcBorders>
            <w:shd w:fill="BFBFBF" w:color="auto" w:val="clear"/>
            <w:vAlign w:val="center"/>
            <w:hideMark/>
          </w:tcPr>
          <w:p w:rsidRDefault="0085332E" w:rsidP="00751D27" w:rsidR="0085332E">
            <w:pPr>
              <w:suppressAutoHyphens/>
              <w:snapToGrid w:val="false"/>
              <w:jc w:val="right"/>
              <w:rPr>
                <w:rFonts w:cs="Calibri" w:hAnsi="Calibri" w:ascii="Calibri"/>
                <w:b/>
                <w:sz w:val="16"/>
                <w:szCs w:val="16"/>
                <w:lang w:eastAsia="ar-SA"/>
              </w:rPr>
            </w:pPr>
            <w:r>
              <w:rPr>
                <w:rFonts w:cs="Calibri" w:hAnsi="Calibri" w:ascii="Calibri"/>
                <w:b/>
                <w:sz w:val="16"/>
                <w:szCs w:val="16"/>
              </w:rPr>
              <w:t xml:space="preserve">202.145,89 </w:t>
            </w:r>
          </w:p>
        </w:tc>
      </w:tr>
    </w:tbl>
    <w:p w:rsidRDefault="0085332E" w:rsidP="0085332E" w:rsidR="0085332E">
      <w:pPr>
        <w:rPr>
          <w:lang w:eastAsia="ar-SA"/>
        </w:rPr>
      </w:pPr>
    </w:p>
    <w:p w:rsidRDefault="0085332E" w:rsidP="0085332E" w:rsidR="0085332E">
      <w:pPr>
        <w:jc w:val="both"/>
      </w:pPr>
      <w:r>
        <w:t>Od 19.10.2016.godine kod dužnika nema zaposlenih radnika.</w:t>
      </w:r>
    </w:p>
    <w:p w:rsidRDefault="0085332E" w:rsidP="0085332E" w:rsidR="0085332E">
      <w:pPr>
        <w:jc w:val="both"/>
      </w:pPr>
    </w:p>
    <w:p w:rsidRDefault="0085332E" w:rsidP="0085332E" w:rsidR="0085332E">
      <w:pPr>
        <w:jc w:val="both"/>
      </w:pPr>
      <w:r>
        <w:t>Iz prikupljenih dostupnih podataka vidljivo je kako je dužnik nelikvidan i nesposoban za plaćanje, odnosno da postoje stečajni razlozi u odredbi čl.4 stav 3 i stav 6 Stečajnog zakona (NN 44/96, 29/99, 129/00, 123/03, 82/06, 116/10, 25/12, 133/12, 45/13) odnosno članka 5 i 6 stav 2 Stečajnog zakona (NN 71/15).</w:t>
      </w:r>
    </w:p>
    <w:p w:rsidRDefault="0085332E" w:rsidP="0085332E" w:rsidR="0085332E">
      <w:pPr>
        <w:jc w:val="both"/>
      </w:pPr>
      <w:r>
        <w:t xml:space="preserve">Također je vidljivo da dužnik ne raspolaže materijalnom imovinom iz koje proizlazi mogućnost namirenja troškova stečajnog postupka i u određenom dijelu vjerovnika, </w:t>
      </w:r>
      <w:r w:rsidR="00A17D15">
        <w:t>te se predlaže</w:t>
      </w:r>
      <w:r>
        <w:t xml:space="preserve"> da Sud postupi sukladno odredbi čl. 132 st. 1 i 2 Stečajnog zakona, da pozove osobe koje imaju pravni interes za provedbu stečajnog postupka da u roku od 15 dana uplate predujam u iznosu 20.000,00 kuna za namirenje troškova prethodnog i otvorenog stečajnog postupka. Ako osobe iz stava 1 ovog članka ne predujme traženi iznos Sud će donijeti Rješenje o otvaranju i zaključenju stečajnog postupka.</w:t>
      </w:r>
    </w:p>
    <w:p w:rsidRDefault="0085332E" w:rsidP="0085332E" w:rsidR="0085332E">
      <w:pPr>
        <w:jc w:val="both"/>
        <w:rPr>
          <w:bCs/>
        </w:rPr>
      </w:pPr>
    </w:p>
    <w:p w:rsidRDefault="0085332E" w:rsidP="0085332E" w:rsidR="0085332E">
      <w:pPr>
        <w:jc w:val="both"/>
        <w:rPr>
          <w:bCs/>
        </w:rPr>
      </w:pPr>
      <w:r>
        <w:rPr>
          <w:bCs/>
        </w:rPr>
        <w:tab/>
        <w:t>Savjetnica ŽDO i zakonski zastupnik dužnika su</w:t>
      </w:r>
      <w:r w:rsidR="00A17D15">
        <w:rPr>
          <w:bCs/>
        </w:rPr>
        <w:t xml:space="preserve"> se</w:t>
      </w:r>
      <w:r>
        <w:rPr>
          <w:bCs/>
        </w:rPr>
        <w:t xml:space="preserve"> suglas</w:t>
      </w:r>
      <w:r w:rsidR="00A17D15">
        <w:rPr>
          <w:bCs/>
        </w:rPr>
        <w:t>ili</w:t>
      </w:r>
      <w:r>
        <w:rPr>
          <w:bCs/>
        </w:rPr>
        <w:t xml:space="preserve"> s izvješćem </w:t>
      </w:r>
      <w:r w:rsidR="00A17D15">
        <w:rPr>
          <w:bCs/>
        </w:rPr>
        <w:t>privremenog stečajnog</w:t>
      </w:r>
      <w:r>
        <w:rPr>
          <w:bCs/>
        </w:rPr>
        <w:t xml:space="preserve"> upravitelj</w:t>
      </w:r>
      <w:r w:rsidR="00A17D15">
        <w:rPr>
          <w:bCs/>
        </w:rPr>
        <w:t>a</w:t>
      </w:r>
      <w:r>
        <w:rPr>
          <w:bCs/>
        </w:rPr>
        <w:t xml:space="preserve"> te s njegovim prijedlogom.</w:t>
      </w:r>
    </w:p>
    <w:p w:rsidRDefault="002106FF" w:rsidP="002106FF" w:rsidR="002106FF" w:rsidRPr="002106FF">
      <w:pPr>
        <w:ind w:right="-288"/>
        <w:jc w:val="both"/>
      </w:pPr>
    </w:p>
    <w:p w:rsidRDefault="007D2041" w:rsidP="002106FF" w:rsidR="007D2041" w:rsidRPr="005E551C">
      <w:pPr>
        <w:ind w:firstLine="708"/>
        <w:jc w:val="both"/>
      </w:pPr>
      <w:r w:rsidRPr="005E551C">
        <w:t>Rješenjem ovoga suda broj St-</w:t>
      </w:r>
      <w:r w:rsidR="00A17D15">
        <w:t>1676</w:t>
      </w:r>
      <w:r w:rsidR="00F01EE1">
        <w:t xml:space="preserve">/16 od </w:t>
      </w:r>
      <w:r w:rsidR="00A17D15">
        <w:t>9</w:t>
      </w:r>
      <w:r w:rsidR="00D9130C">
        <w:t>. studenog</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A17D15">
        <w:t>25</w:t>
      </w:r>
      <w:r w:rsidRPr="005E551C">
        <w:t>.000,00 kn na ime predujma za pokriće troškova kako prethodnog tako i otvorenog stečajnog postupka.</w:t>
      </w:r>
    </w:p>
    <w:p w:rsidRDefault="007D2041" w:rsidP="002106FF" w:rsidR="007D2041" w:rsidRPr="005E551C">
      <w:pPr>
        <w:ind w:firstLine="708"/>
        <w:jc w:val="both"/>
      </w:pPr>
    </w:p>
    <w:p w:rsidRDefault="007D2041" w:rsidP="002106FF" w:rsidR="007D2041" w:rsidRPr="005E551C">
      <w:pPr>
        <w:ind w:firstLine="708"/>
        <w:jc w:val="both"/>
      </w:pPr>
      <w:r w:rsidRPr="005E551C">
        <w:t xml:space="preserve">Navedeno rješenje objavljeno je </w:t>
      </w:r>
      <w:r w:rsidR="00831D30">
        <w:t xml:space="preserve">na e-oglasnoj ploči Trgovačkog suda u Osijeku dana </w:t>
      </w:r>
      <w:r w:rsidR="00A17D15">
        <w:t>9</w:t>
      </w:r>
      <w:r w:rsidR="00D9130C">
        <w:t>. studenog</w:t>
      </w:r>
      <w:r w:rsidR="00831D30">
        <w:t xml:space="preserve"> 2016. g.</w:t>
      </w:r>
    </w:p>
    <w:p w:rsidRDefault="007D2041" w:rsidP="002106FF" w:rsidR="007D2041" w:rsidRPr="005E551C">
      <w:pPr>
        <w:ind w:firstLine="708"/>
        <w:jc w:val="both"/>
      </w:pPr>
    </w:p>
    <w:p w:rsidRDefault="007D2041" w:rsidP="002106FF"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2106FF" w:rsidR="007D2041" w:rsidRPr="005E551C">
      <w:pPr>
        <w:jc w:val="both"/>
      </w:pPr>
    </w:p>
    <w:p w:rsidRDefault="007D2041" w:rsidP="00A17D15" w:rsidR="00A17D15" w:rsidRPr="00E209A5">
      <w:pPr>
        <w:pStyle w:val="Bezproreda"/>
        <w:ind w:firstLine="708"/>
        <w:jc w:val="both"/>
      </w:pPr>
      <w:r w:rsidRPr="00B654E2">
        <w:t xml:space="preserve">Sud je proveo uvid u priloženu dokumentaciju i to: </w:t>
      </w:r>
      <w:r w:rsidR="00A17D15" w:rsidRPr="00E209A5">
        <w:t xml:space="preserve">prijedlog </w:t>
      </w:r>
      <w:r w:rsidR="00A17D15">
        <w:t xml:space="preserve">FINE </w:t>
      </w:r>
      <w:r w:rsidR="00A17D15" w:rsidRPr="00E209A5">
        <w:t xml:space="preserve">za </w:t>
      </w:r>
      <w:r w:rsidR="00A17D15">
        <w:t>otvaranje stečajnog postupka od 12.5.2016. g., povijesni izvadak iz obrtnog registra za dužnika, bruto bilanca na dan 31.12.2015. g., prokazni popis imovine dužnika od 18.10.2016. g., kartica kupca na dan 31.12.2015. g., Očevidnik FINE o redoslijedu plaćanja sa obračunatom kamatom od 18.10.2016. g., Potvrda OS Osijek zk. odjel Osijek od 19.10.2016. g., Uvjerenje MUP PU PP Našice od 18.10.2016. g.</w:t>
      </w:r>
    </w:p>
    <w:p w:rsidRDefault="00C15A9A" w:rsidP="00A17D15" w:rsidR="00C15A9A">
      <w:pPr>
        <w:ind w:firstLine="708" w:right="-288"/>
        <w:jc w:val="both"/>
      </w:pPr>
    </w:p>
    <w:p w:rsidRDefault="007D2041" w:rsidP="00A17D15" w:rsidR="002106FF">
      <w:pPr>
        <w:pStyle w:val="Bezproreda"/>
        <w:ind w:firstLine="708"/>
        <w:jc w:val="both"/>
      </w:pPr>
      <w:r w:rsidRPr="00D9130C">
        <w:lastRenderedPageBreak/>
        <w:t xml:space="preserve">Slijedom navedenog a temeljem provedenog dokaznog postupka sud je utvrdio da su ispunjene pretpostavke za otvaranje stečajnog postupka nad dužnikom propisane čl. </w:t>
      </w:r>
      <w:r w:rsidR="00B654E2" w:rsidRPr="00D9130C">
        <w:t>5</w:t>
      </w:r>
      <w:r w:rsidRPr="00D9130C">
        <w:t xml:space="preserve"> Stečajnog zakona („Narodne novine“ broj </w:t>
      </w:r>
      <w:r w:rsidR="00B654E2" w:rsidRPr="00D9130C">
        <w:t xml:space="preserve">71/15 </w:t>
      </w:r>
      <w:r w:rsidRPr="00D9130C">
        <w:t xml:space="preserve">u daljnjem tekstu SZ) -  </w:t>
      </w:r>
      <w:r w:rsidR="00AB2B8B" w:rsidRPr="00D9130C">
        <w:t xml:space="preserve">nesposobnost za plaćanje </w:t>
      </w:r>
      <w:r w:rsidRPr="00D9130C">
        <w:t xml:space="preserve">te ujedno da dužnik ne posjeduje nikakvu imovinu a niti onu koja bi bila dovoljna za namirenje troškova stečajnog postupka valjalo je sukladno čl. </w:t>
      </w:r>
      <w:r w:rsidR="00831D30" w:rsidRPr="00D9130C">
        <w:t xml:space="preserve">132 </w:t>
      </w:r>
      <w:r w:rsidR="00B654E2" w:rsidRPr="00D9130C">
        <w:t xml:space="preserve">st. 2 </w:t>
      </w:r>
      <w:r w:rsidR="00831D30" w:rsidRPr="00D9130C">
        <w:t>Stečajnog zakona (NN br. 71/15)</w:t>
      </w:r>
      <w:r w:rsidR="00B654E2" w:rsidRPr="00D9130C">
        <w:t xml:space="preserve"> donijeti rješenje o otvaranju i zaključenju stečajnog postupa i</w:t>
      </w:r>
      <w:r w:rsidRPr="00D9130C">
        <w:t xml:space="preserve"> odlučiti kao u izreci.</w:t>
      </w:r>
    </w:p>
    <w:p w:rsidRDefault="002106FF" w:rsidP="002106FF" w:rsidR="002106FF" w:rsidRPr="00D9130C">
      <w:pPr>
        <w:pStyle w:val="Bezproreda"/>
        <w:ind w:firstLine="708"/>
        <w:jc w:val="both"/>
      </w:pPr>
    </w:p>
    <w:p w:rsidRDefault="00831D30" w:rsidP="007D2041" w:rsidR="00670C39">
      <w:pPr>
        <w:jc w:val="both"/>
      </w:pPr>
      <w:r>
        <w:tab/>
        <w:t xml:space="preserve">Za stečajnog upravitelja, automatskim odabirom, imenovan je </w:t>
      </w:r>
      <w:r w:rsidR="00A17D15">
        <w:t>Filip Babić iz Osijeka</w:t>
      </w:r>
      <w:r>
        <w:t xml:space="preserve"> s liste A stečajnih upravitelja za područje nadležnosti ovoga suda a sukladno čl. 84 st. 1 u vezi s čl. 85 st. 2 SZ.</w:t>
      </w:r>
    </w:p>
    <w:p w:rsidRDefault="002106FF" w:rsidP="007D2041" w:rsidR="002106FF">
      <w:pPr>
        <w:jc w:val="both"/>
      </w:pPr>
    </w:p>
    <w:p w:rsidRDefault="002106FF" w:rsidP="007D2041" w:rsidR="002106FF">
      <w:pPr>
        <w:jc w:val="both"/>
      </w:pPr>
    </w:p>
    <w:p w:rsidRDefault="00324E7F" w:rsidP="00D8612A" w:rsidR="00C41AEF">
      <w:pPr>
        <w:jc w:val="center"/>
      </w:pPr>
      <w:r w:rsidRPr="00D2596C">
        <w:t xml:space="preserve">U Osijeku </w:t>
      </w:r>
      <w:r w:rsidR="00A17D15">
        <w:t>16</w:t>
      </w:r>
      <w:r w:rsidR="00D9130C">
        <w:t>. siječnja 2017. g.</w:t>
      </w:r>
    </w:p>
    <w:p w:rsidRDefault="00590AC7" w:rsidP="00F058D9" w:rsidR="00590AC7">
      <w:pPr>
        <w:tabs>
          <w:tab w:pos="1065" w:val="left"/>
        </w:tabs>
      </w:pPr>
    </w:p>
    <w:p w:rsidRDefault="002106FF" w:rsidP="00F058D9" w:rsidR="002106FF">
      <w:pPr>
        <w:tabs>
          <w:tab w:pos="1065" w:val="left"/>
        </w:tabs>
      </w:pPr>
    </w:p>
    <w:p w:rsidRDefault="002106FF" w:rsidP="00F058D9" w:rsidR="002106FF">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2106FF" w:rsidP="00A17D15" w:rsidR="002106FF"/>
    <w:p w:rsidRDefault="002106FF" w:rsidP="00984C3D" w:rsidR="002106FF">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7D2041" w:rsidRPr="00C15A9A">
      <w:r w:rsidRPr="007D7E9A">
        <w:t>1.</w:t>
      </w:r>
      <w:r w:rsidRPr="007D7E9A">
        <w:rPr>
          <w:b/>
        </w:rPr>
        <w:t xml:space="preserve"> </w:t>
      </w:r>
      <w:r w:rsidRPr="007D7E9A">
        <w:t>stečajn</w:t>
      </w:r>
      <w:r w:rsidR="00E33447" w:rsidRPr="007D7E9A">
        <w:t>i</w:t>
      </w:r>
      <w:r w:rsidRPr="007D7E9A">
        <w:t xml:space="preserve"> uprav. </w:t>
      </w:r>
      <w:r w:rsidR="00A17D15">
        <w:t>Filip Babić</w:t>
      </w:r>
    </w:p>
    <w:p w:rsidRDefault="00DD1315" w:rsidP="00C15A9A" w:rsidR="00D9130C">
      <w:pPr>
        <w:tabs>
          <w:tab w:pos="4965" w:val="left"/>
        </w:tabs>
        <w:jc w:val="both"/>
      </w:pPr>
      <w:r>
        <w:t>2</w:t>
      </w:r>
      <w:r w:rsidR="00DF5F6A" w:rsidRPr="007D7E9A">
        <w:t>.</w:t>
      </w:r>
      <w:r w:rsidR="00DF5F6A" w:rsidRPr="007D7E9A">
        <w:rPr>
          <w:b/>
        </w:rPr>
        <w:t xml:space="preserve"> </w:t>
      </w:r>
      <w:r w:rsidR="00DF5F6A" w:rsidRPr="007D7E9A">
        <w:t xml:space="preserve">ŽDO </w:t>
      </w:r>
      <w:r w:rsidR="00A17D15">
        <w:t>Osijek</w:t>
      </w:r>
      <w:r w:rsidR="00D9130C">
        <w:t xml:space="preserve"> </w:t>
      </w:r>
    </w:p>
    <w:p w:rsidRDefault="00A17D15" w:rsidP="00C15A9A" w:rsidR="00831D30">
      <w:pPr>
        <w:tabs>
          <w:tab w:pos="4965" w:val="left"/>
        </w:tabs>
        <w:jc w:val="both"/>
      </w:pPr>
      <w:r>
        <w:t>3</w:t>
      </w:r>
      <w:r w:rsidR="007D7E9A" w:rsidRPr="0017695F">
        <w:t>. dužnik</w:t>
      </w:r>
      <w:r w:rsidR="00BA7BA2" w:rsidRPr="00BA7BA2">
        <w:tab/>
      </w:r>
    </w:p>
    <w:p w:rsidRDefault="00A17D15" w:rsidP="00BA7BA2" w:rsidR="00163859">
      <w:pPr>
        <w:tabs>
          <w:tab w:pos="3225" w:val="left"/>
          <w:tab w:pos="5850" w:val="left"/>
        </w:tabs>
        <w:jc w:val="both"/>
      </w:pPr>
      <w:r>
        <w:t>4</w:t>
      </w:r>
      <w:r w:rsidR="00DF5F6A" w:rsidRPr="007D7E9A">
        <w:t xml:space="preserve">. </w:t>
      </w:r>
      <w:r w:rsidR="007D7E9A">
        <w:t>e-</w:t>
      </w:r>
      <w:r w:rsidR="00DF5F6A" w:rsidRPr="007D7E9A">
        <w:t>ogl. pl.</w:t>
      </w:r>
    </w:p>
    <w:p w:rsidRDefault="00A17D15" w:rsidP="00163859" w:rsidR="00163859">
      <w:pPr>
        <w:tabs>
          <w:tab w:pos="3225" w:val="left"/>
          <w:tab w:pos="5850" w:val="left"/>
        </w:tabs>
        <w:jc w:val="both"/>
      </w:pPr>
      <w:r>
        <w:t>5</w:t>
      </w:r>
      <w:r w:rsidR="00163859">
        <w:t>. Registar</w:t>
      </w:r>
      <w:r w:rsidR="005456F8">
        <w:t xml:space="preserve"> TS Osijek</w:t>
      </w:r>
    </w:p>
    <w:p w:rsidRDefault="00A17D15" w:rsidP="00163859" w:rsidR="00163859">
      <w:pPr>
        <w:tabs>
          <w:tab w:pos="3225" w:val="left"/>
          <w:tab w:pos="5850" w:val="left"/>
        </w:tabs>
        <w:jc w:val="both"/>
      </w:pPr>
      <w:r>
        <w:t>6</w:t>
      </w:r>
      <w:r w:rsidR="00163859">
        <w:t>. FINA</w:t>
      </w:r>
    </w:p>
    <w:p w:rsidRDefault="00A17D15" w:rsidP="00163859" w:rsidR="00163859">
      <w:pPr>
        <w:tabs>
          <w:tab w:pos="3225" w:val="left"/>
          <w:tab w:pos="5850" w:val="left"/>
        </w:tabs>
        <w:jc w:val="both"/>
      </w:pPr>
      <w:r>
        <w:t>7</w:t>
      </w:r>
      <w:r w:rsidR="00163859">
        <w:t xml:space="preserve">. kal. </w:t>
      </w:r>
      <w:r>
        <w:t>16</w:t>
      </w:r>
      <w:r w:rsidR="00D9130C">
        <w:t>.2.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7B13" w:rsidR="00727B13">
      <w:r>
        <w:separator/>
      </w:r>
    </w:p>
  </w:endnote>
  <w:endnote w:id="0" w:type="continuationSeparator">
    <w:p w:rsidRDefault="00727B13" w:rsidR="00727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7B13" w:rsidR="00727B13">
      <w:r>
        <w:separator/>
      </w:r>
    </w:p>
  </w:footnote>
  <w:footnote w:id="0" w:type="continuationSeparator">
    <w:p w:rsidRDefault="00727B13" w:rsidR="00727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7718">
      <w:rPr>
        <w:rStyle w:val="Brojstranice"/>
        <w:noProof/>
      </w:rPr>
      <w:t>- 6 -</w:t>
    </w:r>
    <w:r>
      <w:rPr>
        <w:rStyle w:val="Brojstranice"/>
      </w:rPr>
      <w:fldChar w:fldCharType="end"/>
    </w:r>
  </w:p>
  <w:p w:rsidRDefault="00A17D15" w:rsidP="00A17D15" w:rsidR="00A17D15">
    <w:pPr>
      <w:jc w:val="right"/>
    </w:pPr>
    <w:r>
      <w:t>Broj: 6 St-1676/16-12</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2">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EC30FD"/>
    <w:multiLevelType w:val="hybridMultilevel"/>
    <w:tmpl w:val="137E10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8">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3"/>
  </w:num>
  <w:num w:numId="3">
    <w:abstractNumId w:val="15"/>
  </w:num>
  <w:num w:numId="4">
    <w:abstractNumId w:val="10"/>
  </w:num>
  <w:num w:numId="5">
    <w:abstractNumId w:val="18"/>
  </w:num>
  <w:num w:numId="6">
    <w:abstractNumId w:val="21"/>
  </w:num>
  <w:num w:numId="7">
    <w:abstractNumId w:val="14"/>
  </w:num>
  <w:num w:numId="8">
    <w:abstractNumId w:val="17"/>
  </w:num>
  <w:num w:numId="9">
    <w:abstractNumId w:val="4"/>
  </w:num>
  <w:num w:numId="10">
    <w:abstractNumId w:val="2"/>
  </w:num>
  <w:num w:numId="11">
    <w:abstractNumId w:val="19"/>
  </w:num>
  <w:num w:numId="12">
    <w:abstractNumId w:val="6"/>
  </w:num>
  <w:num w:numId="13">
    <w:abstractNumId w:val="8"/>
  </w:num>
  <w:num w:numId="14">
    <w:abstractNumId w:val="16"/>
  </w:num>
  <w:num w:numId="15">
    <w:abstractNumId w:val="20"/>
  </w:num>
  <w:num w:numId="16">
    <w:abstractNumId w:val="1"/>
  </w:num>
  <w:num w:numId="17">
    <w:abstractNumId w:val="7"/>
  </w:num>
  <w:num w:numId="18">
    <w:abstractNumId w:val="12"/>
  </w:num>
  <w:num w:numId="19">
    <w:abstractNumId w:val="13"/>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5E79"/>
    <w:rsid w:val="000472C0"/>
    <w:rsid w:val="0005033A"/>
    <w:rsid w:val="0005324C"/>
    <w:rsid w:val="000549DC"/>
    <w:rsid w:val="00054BF6"/>
    <w:rsid w:val="000569DB"/>
    <w:rsid w:val="000615E0"/>
    <w:rsid w:val="000714CD"/>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A7B3C"/>
    <w:rsid w:val="001C39D1"/>
    <w:rsid w:val="001C68B7"/>
    <w:rsid w:val="001D04A7"/>
    <w:rsid w:val="001D771B"/>
    <w:rsid w:val="001F1BA6"/>
    <w:rsid w:val="001F7662"/>
    <w:rsid w:val="002106FF"/>
    <w:rsid w:val="00240917"/>
    <w:rsid w:val="00243617"/>
    <w:rsid w:val="002526D3"/>
    <w:rsid w:val="00271876"/>
    <w:rsid w:val="00271F61"/>
    <w:rsid w:val="002743AC"/>
    <w:rsid w:val="002859AC"/>
    <w:rsid w:val="002A7718"/>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75E77"/>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33ABB"/>
    <w:rsid w:val="006451E7"/>
    <w:rsid w:val="00665935"/>
    <w:rsid w:val="0066649B"/>
    <w:rsid w:val="00670C39"/>
    <w:rsid w:val="00672FCA"/>
    <w:rsid w:val="006810E9"/>
    <w:rsid w:val="0068151D"/>
    <w:rsid w:val="006A3974"/>
    <w:rsid w:val="006A3F79"/>
    <w:rsid w:val="006A6E09"/>
    <w:rsid w:val="006B2371"/>
    <w:rsid w:val="006B2E64"/>
    <w:rsid w:val="006C0D3B"/>
    <w:rsid w:val="006E1A97"/>
    <w:rsid w:val="006E1E8F"/>
    <w:rsid w:val="00701A3C"/>
    <w:rsid w:val="00717103"/>
    <w:rsid w:val="00721F9E"/>
    <w:rsid w:val="00727B13"/>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5758"/>
    <w:rsid w:val="007F6CE4"/>
    <w:rsid w:val="00801141"/>
    <w:rsid w:val="00816867"/>
    <w:rsid w:val="00820082"/>
    <w:rsid w:val="0082151F"/>
    <w:rsid w:val="00831D30"/>
    <w:rsid w:val="00834690"/>
    <w:rsid w:val="00837349"/>
    <w:rsid w:val="008444F3"/>
    <w:rsid w:val="008527DE"/>
    <w:rsid w:val="0085332E"/>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17D15"/>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15A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56EA7"/>
    <w:rsid w:val="00D73E4D"/>
    <w:rsid w:val="00D8612A"/>
    <w:rsid w:val="00D9130C"/>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5241A"/>
    <w:rsid w:val="00E60E30"/>
    <w:rsid w:val="00E6574D"/>
    <w:rsid w:val="00E91D99"/>
    <w:rsid w:val="00E93865"/>
    <w:rsid w:val="00E95409"/>
    <w:rsid w:val="00EA4040"/>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customStyle="true" w:styleId="Sadrajitablice" w:type="paragraph">
    <w:name w:val="Sadržaji tablice"/>
    <w:basedOn w:val="Normal"/>
    <w:rsid w:val="00D9130C"/>
    <w:pPr>
      <w:widowControl w:val="false"/>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2A7718"/>
    <w:rPr>
      <w:color w:val="808080"/>
      <w:bdr w:space="0" w:sz="0" w:color="auto" w:val="none"/>
      <w:shd w:fill="CCFFFF" w:color="auto" w:val="clear"/>
    </w:rPr>
  </w:style>
  <w:style w:customStyle="true" w:styleId="eSPISCCParagraphDefaultFont" w:type="character">
    <w:name w:val="eSPIS_CC_Paragraph Default Font"/>
    <w:basedOn w:val="Zadanifontodlomka"/>
    <w:rsid w:val="002A77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7718"/>
    <w:rPr>
      <w:bdr w:space="0" w:sz="0" w:color="auto" w:val="none"/>
      <w:shd w:fill="FFFFCC" w:color="auto" w:val="clear"/>
      <w:lang w:val="hr-HR"/>
    </w:rPr>
  </w:style>
  <w:style w:customStyle="true" w:styleId="PozadinaSvijetloCrvena" w:type="character">
    <w:name w:val="Pozadina_SvijetloCrvena"/>
    <w:basedOn w:val="eSPISCCParagraphDefaultFont"/>
    <w:rsid w:val="002A77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77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customStyle="1" w:styleId="Sadrajitablice" w:type="paragraph">
    <w:name w:val="Sadržaji tablice"/>
    <w:basedOn w:val="Normal"/>
    <w:rsid w:val="00D9130C"/>
    <w:pPr>
      <w:widowControl w:val="0"/>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2A7718"/>
    <w:rPr>
      <w:color w:val="808080"/>
      <w:bdr w:color="auto" w:space="0" w:sz="0" w:val="none"/>
      <w:shd w:color="auto" w:fill="CCFFFF" w:val="clear"/>
    </w:rPr>
  </w:style>
  <w:style w:customStyle="1" w:styleId="eSPISCCParagraphDefaultFont" w:type="character">
    <w:name w:val="eSPIS_CC_Paragraph Default Font"/>
    <w:basedOn w:val="Zadanifontodlomka"/>
    <w:rsid w:val="002A77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7718"/>
    <w:rPr>
      <w:bdr w:color="auto" w:space="0" w:sz="0" w:val="none"/>
      <w:shd w:color="auto" w:fill="FFFFCC" w:val="clear"/>
      <w:lang w:val="hr-HR"/>
    </w:rPr>
  </w:style>
  <w:style w:customStyle="1" w:styleId="PozadinaSvijetloCrvena" w:type="character">
    <w:name w:val="Pozadina_SvijetloCrvena"/>
    <w:basedOn w:val="eSPISCCParagraphDefaultFont"/>
    <w:rsid w:val="002A77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77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3807026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1676</izvorni_sadrzaj>
    <derivirana_varijabla naziv="DomainObject.Predmet.Broj_1">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2016.</izvorni_sadrzaj>
    <derivirana_varijabla naziv="DomainObject.Predmet.DatumOsnivanja_1">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St-1676/2016</izvorni_sadrzaj>
    <derivirana_varijabla naziv="DomainObject.Predmet.OznakaBroj_1">St-1676/2016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PARAISO BELJEVINA jednostavno društvo s ograničenom odgovornošću za usluge</izvorni_sadrzaj>
    <derivirana_varijabla naziv="DomainObject.Predmet.ProtustrankaFormated_1">  PARAISO BELJEVINA jednostavno društvo s ograničenom odgovornošću za usluge</derivirana_varijabla>
  </DomainObject.Predmet.ProtustrankaFormated>
  <DomainObject.Predmet.ProtustrankaFormatedOIB>
    <izvorni_sadrzaj>  PARAISO BELJEVINA jednostavno društvo s ograničenom odgovornošću za usluge, OIB 18974156673</izvorni_sadrzaj>
    <derivirana_varijabla naziv="DomainObject.Predmet.ProtustrankaFormatedOIB_1">  PARAISO BELJEVINA jednostavno društvo s ograničenom odgovornošću za usluge, OIB 18974156673</derivirana_varijabla>
  </DomainObject.Predmet.ProtustrankaFormatedOIB>
  <DomainObject.Predmet.ProtustrankaFormatedWithAdress>
    <izvorni_sadrzaj> PARAISO BELJEVINA jednostavno društvo s ograničenom odgovornošću za usluge, Zelena 21, 31511 Beljevina</izvorni_sadrzaj>
    <derivirana_varijabla naziv="DomainObject.Predmet.ProtustrankaFormatedWithAdress_1"> PARAISO BELJEVINA jednostavno društvo s ograničenom odgovornošću za usluge, Zelena 21, 31511 Beljevina</derivirana_varijabla>
  </DomainObject.Predmet.ProtustrankaFormatedWithAdress>
  <DomainObject.Predmet.ProtustrankaFormatedWithAdressOIB>
    <izvorni_sadrzaj> PARAISO BELJEVINA jednostavno društvo s ograničenom odgovornošću za usluge, OIB 18974156673, Zelena 21, 31511 Beljevina</izvorni_sadrzaj>
    <derivirana_varijabla naziv="DomainObject.Predmet.ProtustrankaFormatedWithAdressOIB_1"> PARAISO BELJEVINA jednostavno društvo s ograničenom odgovornošću za usluge, OIB 18974156673, Zelena 21, 31511 Beljevina</derivirana_varijabla>
  </DomainObject.Predmet.ProtustrankaFormatedWithAdressOIB>
  <DomainObject.Predmet.ProtustrankaWithAdress>
    <izvorni_sadrzaj>PARAISO BELJEVINA jednostavno društvo s ograničenom odgovornošću za usluge Zelena 21, 31511 Beljevina</izvorni_sadrzaj>
    <derivirana_varijabla naziv="DomainObject.Predmet.ProtustrankaWithAdress_1">PARAISO BELJEVINA jednostavno društvo s ograničenom odgovornošću za usluge Zelena 21, 31511 Beljevina</derivirana_varijabla>
  </DomainObject.Predmet.ProtustrankaWithAdress>
  <DomainObject.Predmet.ProtustrankaWithAdressOIB>
    <izvorni_sadrzaj>PARAISO BELJEVINA jednostavno društvo s ograničenom odgovornošću za usluge, OIB 18974156673, Zelena 21, 31511 Beljevina</izvorni_sadrzaj>
    <derivirana_varijabla naziv="DomainObject.Predmet.ProtustrankaWithAdressOIB_1">PARAISO BELJEVINA jednostavno društvo s ograničenom odgovornošću za usluge, OIB 18974156673, Zelena 21, 31511 Beljevina</derivirana_varijabla>
  </DomainObject.Predmet.ProtustrankaWithAdressOIB>
  <DomainObject.Predmet.ProtustrankaNazivFormated>
    <izvorni_sadrzaj>PARAISO BELJEVINA jednostavno društvo s ograničenom odgovornošću za usluge</izvorni_sadrzaj>
    <derivirana_varijabla naziv="DomainObject.Predmet.ProtustrankaNazivFormated_1">PARAISO BELJEVINA jednostavno društvo s ograničenom odgovornošću za usluge</derivirana_varijabla>
  </DomainObject.Predmet.ProtustrankaNazivFormated>
  <DomainObject.Predmet.ProtustrankaNazivFormatedOIB>
    <izvorni_sadrzaj>PARAISO BELJEVINA jednostavno društvo s ograničenom odgovornošću za usluge, OIB 18974156673</izvorni_sadrzaj>
    <derivirana_varijabla naziv="DomainObject.Predmet.ProtustrankaNazivFormatedOIB_1">PARAISO BELJEVINA jednostavno društvo s ograničenom odgovornošću za usluge, OIB 18974156673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PARAISO BELJEVINA jednostavno društvo s ograničenom odgovornošću za usluge</item>
    </izvorni_sadrzaj>
    <derivirana_varijabla naziv="DomainObject.Predmet.ProtuStrankaListFormated_1">
      <item>PARAISO BELJEVINA jednostavno društvo s ograničenom odgovornošću za usluge</item>
    </derivirana_varijabla>
  </DomainObject.Predmet.ProtuStrankaListFormated>
  <DomainObject.Predmet.ProtuStrankaListFormatedOIB>
    <izvorni_sadrzaj>
      <item>PARAISO BELJEVINA jednostavno društvo s ograničenom odgovornošću za usluge, OIB 18974156673</item>
    </izvorni_sadrzaj>
    <derivirana_varijabla naziv="DomainObject.Predmet.ProtuStrankaListFormatedOIB_1">
      <item>PARAISO BELJEVINA jednostavno društvo s ograničenom odgovornošću za usluge, OIB 18974156673</item>
    </derivirana_varijabla>
  </DomainObject.Predmet.ProtuStrankaListFormatedOIB>
  <DomainObject.Predmet.ProtuStrankaListFormatedWithAdress>
    <izvorni_sadrzaj>
      <item>PARAISO BELJEVINA jednostavno društvo s ograničenom odgovornošću za usluge, Zelena 21, 31511 Beljevina</item>
    </izvorni_sadrzaj>
    <derivirana_varijabla naziv="DomainObject.Predmet.ProtuStrankaListFormatedWithAdress_1">
      <item>PARAISO BELJEVINA jednostavno društvo s ograničenom odgovornošću za usluge, Zelena 21, 31511 Beljevina</item>
    </derivirana_varijabla>
  </DomainObject.Predmet.ProtuStrankaListFormatedWithAdress>
  <DomainObject.Predmet.ProtuStrankaListFormatedWithAdressOIB>
    <izvorni_sadrzaj>
      <item>PARAISO BELJEVINA jednostavno društvo s ograničenom odgovornošću za usluge, OIB 18974156673, Zelena 21, 31511 Beljevina</item>
    </izvorni_sadrzaj>
    <derivirana_varijabla naziv="DomainObject.Predmet.ProtuStrankaListFormatedWithAdressOIB_1">
      <item>PARAISO BELJEVINA jednostavno društvo s ograničenom odgovornošću za usluge, OIB 18974156673, Zelena 21, 31511 Beljevina</item>
    </derivirana_varijabla>
  </DomainObject.Predmet.ProtuStrankaListFormatedWithAdressOIB>
  <DomainObject.Predmet.ProtuStrankaListNazivFormated>
    <izvorni_sadrzaj>
      <item>PARAISO BELJEVINA jednostavno društvo s ograničenom odgovornošću za usluge</item>
    </izvorni_sadrzaj>
    <derivirana_varijabla naziv="DomainObject.Predmet.ProtuStrankaListNazivFormated_1">
      <item>PARAISO BELJEVINA jednostavno društvo s ograničenom odgovornošću za usluge</item>
    </derivirana_varijabla>
  </DomainObject.Predmet.ProtuStrankaListNazivFormated>
  <DomainObject.Predmet.ProtuStrankaListNazivFormatedOIB>
    <izvorni_sadrzaj>
      <item>PARAISO BELJEVINA jednostavno društvo s ograničenom odgovornošću za usluge, OIB 18974156673</item>
    </izvorni_sadrzaj>
    <derivirana_varijabla naziv="DomainObject.Predmet.ProtuStrankaListNazivFormatedOIB_1">
      <item>PARAISO BELJEVINA jednostavno društvo s ograničenom odgovornošću za usluge, OIB 18974156673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PARAISO BELJEVINA jednostavno društvo s ograničenom odgovornošću za usluge</izvorni_sadrzaj>
    <derivirana_varijabla naziv="DomainObject.Predmet.ProtustrankaIDrugi_1">PARAISO BELJEVINA jednostavno društvo s ograničenom odgovornošću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PARAISO BELJEVINA jednostavno društvo s ograničenom odgovornošću za usluge, OIB 18974156673, Zelena 21, 31511 Beljevina</izvorni_sadrzaj>
    <derivirana_varijabla naziv="DomainObject.Predmet.ProtustrankaIDrugiAdressOIB_1">PARAISO BELJEVINA jednostavno društvo s ograničenom odgovornošću za usluge, OIB 18974156673, Zelena 21, 31511 Beljevina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PARAISO BELJEVINA jednostavno društvo s ograničenom odgovornošću za usluge</item>
    </izvorni_sadrzaj>
    <derivirana_varijabla naziv="DomainObject.Predmet.SudioniciListNaziv_1">
      <item>FINA RC OSIJEK</item>
      <item>PARAISO BELJEVINA jednostavno društvo s ograničenom odgovornošću za usluge</item>
    </derivirana_varijabla>
  </DomainObject.Predmet.SudioniciListNaziv>
  <DomainObject.Predmet.SudioniciListAdressOIB>
    <izvorni_sadrzaj>
      <item>FINA RC OSIJEK, OIB 85821130368</item>
      <item>PARAISO BELJEVINA jednostavno društvo s ograničenom odgovornošću za usluge, OIB 18974156673, Zelena 21,31511 Beljevina</item>
    </izvorni_sadrzaj>
    <derivirana_varijabla naziv="DomainObject.Predmet.SudioniciListAdressOIB_1">
      <item>FINA RC OSIJEK, OIB 85821130368</item>
      <item>PARAISO BELJEVINA jednostavno društvo s ograničenom odgovornošću za usluge, OIB 18974156673, Zelena 21,31511 Beljevina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18974156673</item>
    </izvorni_sadrzaj>
    <derivirana_varijabla naziv="DomainObject.Predmet.SudioniciListNazivOIB_1">
      <item>, OIB 85821130368</item>
      <item>, OIB 18974156673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BCCA54-0522-4EE1-BE8A-D584B8BE8E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1331</properties:Words>
  <properties:Characters>7666</properties:Characters>
  <properties:Lines>334</properties:Lines>
  <properties:Paragraphs>148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2017-01-16T07:59:00Z</dcterms:created>
  <dc:creator>dsekulic</dc:creator>
  <cp:lastModifiedBy>Danijela Sekulić</cp:lastModifiedBy>
  <cp:lastPrinted>2017-01-16T07:56:00Z</cp:lastPrinted>
  <dcterms:modified xmlns:xsi="http://www.w3.org/2001/XMLSchema-instance" xsi:type="dcterms:W3CDTF">2017-01-16T07:59:00Z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