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85E51" w:rsidR="00885E51" w:rsidP="00885E51" w:rsidRDefault="00885E51" w14:paraId="f9198e9" w14:textId="f9198e9">
      <w:pPr>
        <w:spacing w:after="80" w:line="240" w:lineRule="auto"/>
        <w:jc w:val="center"/>
        <w15:collapsed w:val="false"/>
        <w:rPr>
          <w:rFonts w:ascii="Times New Roman" w:hAnsi="Times New Roman" w:eastAsia="Calibri" w:cs="Times New Roman"/>
          <w:b/>
          <w:sz w:val="28"/>
        </w:rPr>
      </w:pPr>
      <w:bookmarkStart w:name="_GoBack" w:id="0"/>
      <w:bookmarkEnd w:id="0"/>
      <w:r w:rsidRPr="00885E51">
        <w:rPr>
          <w:rFonts w:ascii="Times New Roman" w:hAnsi="Times New Roman" w:eastAsia="Calibri" w:cs="Times New Roman"/>
          <w:b/>
          <w:sz w:val="28"/>
        </w:rPr>
        <w:t>Obrazac 20.</w:t>
      </w:r>
    </w:p>
    <w:p w:rsidRPr="00885E51" w:rsidR="00885E51" w:rsidP="00885E51" w:rsidRDefault="00885E51">
      <w:pPr>
        <w:spacing w:after="80" w:line="240" w:lineRule="auto"/>
        <w:jc w:val="center"/>
        <w:rPr>
          <w:rFonts w:ascii="Times New Roman" w:hAnsi="Times New Roman" w:eastAsia="Calibri" w:cs="Times New Roman"/>
          <w:b/>
          <w:sz w:val="24"/>
        </w:rPr>
      </w:pPr>
      <w:r w:rsidRPr="00885E51">
        <w:rPr>
          <w:rFonts w:ascii="Times New Roman" w:hAnsi="Times New Roman" w:eastAsia="Calibri" w:cs="Times New Roman"/>
          <w:b/>
          <w:sz w:val="24"/>
        </w:rPr>
        <w:t xml:space="preserve">IZVJEŠĆE </w:t>
      </w:r>
      <w:r w:rsidRPr="00885E51">
        <w:rPr>
          <w:rFonts w:ascii="Times New Roman" w:hAnsi="Times New Roman" w:eastAsia="Calibri" w:cs="Times New Roman"/>
          <w:b/>
          <w:sz w:val="24"/>
          <w:szCs w:val="24"/>
        </w:rPr>
        <w:t>STEČAJNOGA</w:t>
      </w:r>
      <w:r w:rsidRPr="00885E51">
        <w:rPr>
          <w:rFonts w:ascii="Times New Roman" w:hAnsi="Times New Roman" w:eastAsia="Calibri" w:cs="Times New Roman"/>
          <w:b/>
          <w:sz w:val="24"/>
        </w:rPr>
        <w:t xml:space="preserve"> UPRAVITELJA O TIJEKU </w:t>
      </w:r>
      <w:r w:rsidRPr="00885E51">
        <w:rPr>
          <w:rFonts w:ascii="Times New Roman" w:hAnsi="Times New Roman" w:eastAsia="Calibri" w:cs="Times New Roman"/>
          <w:b/>
          <w:sz w:val="24"/>
          <w:szCs w:val="24"/>
        </w:rPr>
        <w:t>STEČAJNOGA</w:t>
      </w:r>
      <w:r w:rsidRPr="00885E51">
        <w:rPr>
          <w:rFonts w:ascii="Times New Roman" w:hAnsi="Times New Roman" w:eastAsia="Calibri" w:cs="Times New Roman"/>
          <w:b/>
          <w:sz w:val="24"/>
        </w:rPr>
        <w:t xml:space="preserve"> POSTUPKA I STANJU STEČAJNE MASE</w:t>
      </w:r>
    </w:p>
    <w:p w:rsidRPr="00885E51" w:rsidR="00885E51" w:rsidP="00885E51" w:rsidRDefault="00885E51">
      <w:pPr>
        <w:spacing w:after="80" w:line="240" w:lineRule="auto"/>
        <w:jc w:val="center"/>
        <w:rPr>
          <w:rFonts w:ascii="Times New Roman" w:hAnsi="Times New Roman" w:eastAsia="Calibri" w:cs="Times New Roman"/>
          <w:sz w:val="24"/>
        </w:rPr>
      </w:pPr>
    </w:p>
    <w:p w:rsidRPr="00885E51" w:rsidR="00885E51" w:rsidP="00885E51" w:rsidRDefault="00885E51">
      <w:pPr>
        <w:spacing w:after="80" w:line="240" w:lineRule="auto"/>
        <w:jc w:val="both"/>
        <w:rPr>
          <w:rFonts w:ascii="Times New Roman" w:hAnsi="Times New Roman" w:eastAsia="Calibri" w:cs="Times New Roman"/>
          <w:sz w:val="24"/>
        </w:rPr>
      </w:pPr>
      <w:r w:rsidRPr="00885E51">
        <w:rPr>
          <w:rFonts w:ascii="Times New Roman" w:hAnsi="Times New Roman" w:eastAsia="Calibri" w:cs="Times New Roman"/>
          <w:sz w:val="24"/>
          <w:szCs w:val="24"/>
          <w:lang w:val="pl-PL"/>
        </w:rPr>
        <w:t>Nadle</w:t>
      </w:r>
      <w:r w:rsidRPr="00885E51">
        <w:rPr>
          <w:rFonts w:ascii="Times New Roman" w:hAnsi="Times New Roman" w:eastAsia="Calibri" w:cs="Times New Roman"/>
          <w:sz w:val="24"/>
        </w:rPr>
        <w:t>ž</w:t>
      </w:r>
      <w:r w:rsidRPr="00885E51">
        <w:rPr>
          <w:rFonts w:ascii="Times New Roman" w:hAnsi="Times New Roman" w:eastAsia="Calibri" w:cs="Times New Roman"/>
          <w:sz w:val="24"/>
          <w:szCs w:val="24"/>
          <w:lang w:val="pl-PL"/>
        </w:rPr>
        <w:t>ni</w:t>
      </w:r>
      <w:r w:rsidRPr="00885E51">
        <w:rPr>
          <w:rFonts w:ascii="Times New Roman" w:hAnsi="Times New Roman" w:eastAsia="Calibri" w:cs="Times New Roman"/>
          <w:sz w:val="24"/>
        </w:rPr>
        <w:t xml:space="preserve"> </w:t>
      </w:r>
      <w:r w:rsidRPr="00885E51">
        <w:rPr>
          <w:rFonts w:ascii="Times New Roman" w:hAnsi="Times New Roman" w:eastAsia="Calibri" w:cs="Times New Roman"/>
          <w:sz w:val="24"/>
          <w:szCs w:val="24"/>
          <w:lang w:val="pl-PL"/>
        </w:rPr>
        <w:t>trgova</w:t>
      </w:r>
      <w:r w:rsidRPr="00885E51">
        <w:rPr>
          <w:rFonts w:ascii="Times New Roman" w:hAnsi="Times New Roman" w:eastAsia="Calibri" w:cs="Times New Roman"/>
          <w:sz w:val="24"/>
        </w:rPr>
        <w:t>č</w:t>
      </w:r>
      <w:r w:rsidRPr="00885E51">
        <w:rPr>
          <w:rFonts w:ascii="Times New Roman" w:hAnsi="Times New Roman" w:eastAsia="Calibri" w:cs="Times New Roman"/>
          <w:sz w:val="24"/>
          <w:szCs w:val="24"/>
          <w:lang w:val="pl-PL"/>
        </w:rPr>
        <w:t>ki</w:t>
      </w:r>
      <w:r w:rsidRPr="00885E51">
        <w:rPr>
          <w:rFonts w:ascii="Times New Roman" w:hAnsi="Times New Roman" w:eastAsia="Calibri" w:cs="Times New Roman"/>
          <w:sz w:val="24"/>
        </w:rPr>
        <w:t xml:space="preserve"> </w:t>
      </w:r>
      <w:r w:rsidRPr="00885E51">
        <w:rPr>
          <w:rFonts w:ascii="Times New Roman" w:hAnsi="Times New Roman" w:eastAsia="Calibri" w:cs="Times New Roman"/>
          <w:sz w:val="24"/>
          <w:szCs w:val="24"/>
          <w:lang w:val="pl-PL"/>
        </w:rPr>
        <w:t>sud</w:t>
      </w:r>
      <w:r w:rsidRPr="00885E51">
        <w:rPr>
          <w:rFonts w:ascii="Times New Roman" w:hAnsi="Times New Roman" w:eastAsia="Calibri" w:cs="Times New Roman"/>
          <w:sz w:val="24"/>
        </w:rPr>
        <w:t xml:space="preserve"> </w:t>
      </w:r>
      <w:r w:rsidRPr="00885E51">
        <w:rPr>
          <w:rFonts w:ascii="Times New Roman" w:hAnsi="Times New Roman" w:eastAsia="Calibri" w:cs="Times New Roman"/>
          <w:sz w:val="24"/>
        </w:rPr>
        <w:tab/>
      </w:r>
      <w:r w:rsidRPr="00885E51">
        <w:rPr>
          <w:rFonts w:ascii="Times New Roman" w:hAnsi="Times New Roman" w:eastAsia="Calibri" w:cs="Times New Roman"/>
          <w:b/>
          <w:sz w:val="24"/>
        </w:rPr>
        <w:t>TRGOVAČKI SUD U ZAGREBU</w:t>
      </w:r>
    </w:p>
    <w:p w:rsidRPr="00885E51" w:rsidR="00885E51" w:rsidP="00885E51" w:rsidRDefault="00885E51">
      <w:pPr>
        <w:spacing w:after="8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  <w:lang w:val="pl-PL"/>
        </w:rPr>
      </w:pPr>
      <w:r w:rsidRPr="00885E51">
        <w:rPr>
          <w:rFonts w:ascii="Times New Roman" w:hAnsi="Times New Roman" w:eastAsia="Calibri" w:cs="Times New Roman"/>
          <w:sz w:val="24"/>
          <w:szCs w:val="24"/>
          <w:lang w:val="pl-PL"/>
        </w:rPr>
        <w:t xml:space="preserve">Poslovni broj spisa </w:t>
      </w:r>
      <w:r w:rsidRPr="00885E51">
        <w:rPr>
          <w:rFonts w:ascii="Times New Roman" w:hAnsi="Times New Roman" w:eastAsia="Calibri" w:cs="Times New Roman"/>
          <w:sz w:val="24"/>
          <w:szCs w:val="24"/>
          <w:lang w:val="pl-PL"/>
        </w:rPr>
        <w:tab/>
      </w:r>
      <w:r w:rsidRPr="00885E51">
        <w:rPr>
          <w:rFonts w:ascii="Times New Roman" w:hAnsi="Times New Roman" w:eastAsia="Calibri" w:cs="Times New Roman"/>
          <w:sz w:val="24"/>
          <w:szCs w:val="24"/>
          <w:lang w:val="pl-PL"/>
        </w:rPr>
        <w:tab/>
      </w:r>
      <w:r w:rsidRPr="00885E51">
        <w:rPr>
          <w:rFonts w:ascii="Times New Roman" w:hAnsi="Times New Roman" w:eastAsia="Calibri" w:cs="Times New Roman"/>
          <w:b/>
          <w:sz w:val="24"/>
          <w:szCs w:val="24"/>
          <w:lang w:val="pl-PL"/>
        </w:rPr>
        <w:t>St-1181/12</w:t>
      </w:r>
    </w:p>
    <w:p w:rsidRPr="00885E51" w:rsidR="00885E51" w:rsidP="00885E51" w:rsidRDefault="00885E51">
      <w:pPr>
        <w:spacing w:after="80" w:line="240" w:lineRule="auto"/>
        <w:rPr>
          <w:rFonts w:ascii="Times New Roman" w:hAnsi="Times New Roman" w:eastAsia="Calibri" w:cs="Times New Roman"/>
          <w:b/>
          <w:sz w:val="24"/>
          <w:szCs w:val="24"/>
          <w:lang w:val="pl-PL"/>
        </w:rPr>
      </w:pPr>
      <w:r w:rsidRPr="00885E51">
        <w:rPr>
          <w:rFonts w:ascii="Times New Roman" w:hAnsi="Times New Roman" w:eastAsia="Calibri" w:cs="Times New Roman"/>
          <w:sz w:val="24"/>
          <w:szCs w:val="24"/>
          <w:lang w:val="pl-PL"/>
        </w:rPr>
        <w:t xml:space="preserve">Dužnik (ime i prezime / tvrtka ili naziv, OIB, adresa / sjedište) </w:t>
      </w:r>
      <w:r w:rsidRPr="00885E51">
        <w:rPr>
          <w:rFonts w:ascii="Times New Roman" w:hAnsi="Times New Roman" w:eastAsia="Calibri" w:cs="Times New Roman"/>
          <w:sz w:val="24"/>
          <w:szCs w:val="24"/>
          <w:lang w:val="pl-PL"/>
        </w:rPr>
        <w:tab/>
      </w:r>
      <w:r w:rsidRPr="00885E51">
        <w:rPr>
          <w:rFonts w:ascii="Times New Roman" w:hAnsi="Times New Roman" w:eastAsia="Calibri" w:cs="Times New Roman"/>
          <w:b/>
          <w:sz w:val="24"/>
          <w:szCs w:val="24"/>
          <w:lang w:val="pl-PL"/>
        </w:rPr>
        <w:t xml:space="preserve">PETRAKOM d.o.o. – u stećaju, Stubička 3, Marija Bistrica, OIB 78552160310 </w:t>
      </w:r>
    </w:p>
    <w:p w:rsidRPr="00885E51" w:rsidR="00885E51" w:rsidP="00885E51" w:rsidRDefault="00885E51">
      <w:pPr>
        <w:spacing w:after="80" w:line="240" w:lineRule="auto"/>
        <w:jc w:val="center"/>
        <w:rPr>
          <w:rFonts w:ascii="Times New Roman" w:hAnsi="Times New Roman" w:eastAsia="Calibri" w:cs="Times New Roman"/>
          <w:sz w:val="24"/>
          <w:szCs w:val="24"/>
          <w:lang w:val="pl-PL"/>
        </w:rPr>
      </w:pPr>
    </w:p>
    <w:p w:rsidR="00D87421" w:rsidP="00D87421" w:rsidRDefault="00D87421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Obrazac 20.</w:t>
      </w:r>
    </w:p>
    <w:p w:rsidR="00D87421" w:rsidP="00D87421" w:rsidRDefault="00D87421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IZVJEŠĆE </w:t>
      </w:r>
      <w:r>
        <w:rPr>
          <w:rFonts w:ascii="Times New Roman" w:hAnsi="Times New Roman"/>
          <w:b/>
          <w:sz w:val="24"/>
          <w:szCs w:val="24"/>
        </w:rPr>
        <w:t>STEČAJNOGA</w:t>
      </w:r>
      <w:r>
        <w:rPr>
          <w:rFonts w:ascii="Times New Roman" w:hAnsi="Times New Roman"/>
          <w:b/>
          <w:sz w:val="24"/>
        </w:rPr>
        <w:t xml:space="preserve"> UPRAVITELJA O TIJEKU </w:t>
      </w:r>
      <w:r>
        <w:rPr>
          <w:rFonts w:ascii="Times New Roman" w:hAnsi="Times New Roman"/>
          <w:b/>
          <w:sz w:val="24"/>
          <w:szCs w:val="24"/>
        </w:rPr>
        <w:t>STEČAJNOGA</w:t>
      </w:r>
      <w:r>
        <w:rPr>
          <w:rFonts w:ascii="Times New Roman" w:hAnsi="Times New Roman"/>
          <w:b/>
          <w:sz w:val="24"/>
        </w:rPr>
        <w:t xml:space="preserve"> POSTUPKA I STANJU STEČAJNE MASE</w:t>
      </w:r>
    </w:p>
    <w:p w:rsidR="00D87421" w:rsidP="00D87421" w:rsidRDefault="00D87421">
      <w:pPr>
        <w:jc w:val="center"/>
        <w:rPr>
          <w:rFonts w:ascii="Times New Roman" w:hAnsi="Times New Roman"/>
          <w:sz w:val="24"/>
        </w:rPr>
      </w:pPr>
    </w:p>
    <w:p w:rsidR="00D87421" w:rsidP="00D87421" w:rsidRDefault="00D87421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D87421" w:rsidP="00D87421" w:rsidRDefault="00D87421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I.  TIJEK STEČAJNOGA POSTUPKA U RAZDOBLJU </w:t>
      </w:r>
      <w:r>
        <w:rPr>
          <w:rFonts w:ascii="Times New Roman" w:hAnsi="Times New Roman"/>
          <w:b/>
          <w:sz w:val="24"/>
          <w:szCs w:val="24"/>
          <w:lang w:val="pl-PL"/>
        </w:rPr>
        <w:t>OD 01.0</w:t>
      </w:r>
      <w:r w:rsidR="00885E1C">
        <w:rPr>
          <w:rFonts w:ascii="Times New Roman" w:hAnsi="Times New Roman"/>
          <w:b/>
          <w:sz w:val="24"/>
          <w:szCs w:val="24"/>
          <w:lang w:val="pl-PL"/>
        </w:rPr>
        <w:t>1</w:t>
      </w:r>
      <w:r>
        <w:rPr>
          <w:rFonts w:ascii="Times New Roman" w:hAnsi="Times New Roman"/>
          <w:b/>
          <w:sz w:val="24"/>
          <w:szCs w:val="24"/>
          <w:lang w:val="pl-PL"/>
        </w:rPr>
        <w:t>.1</w:t>
      </w:r>
      <w:r w:rsidR="00885E1C">
        <w:rPr>
          <w:rFonts w:ascii="Times New Roman" w:hAnsi="Times New Roman"/>
          <w:b/>
          <w:sz w:val="24"/>
          <w:szCs w:val="24"/>
          <w:lang w:val="pl-PL"/>
        </w:rPr>
        <w:t>8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 DO 3</w:t>
      </w:r>
      <w:r w:rsidR="00885E1C">
        <w:rPr>
          <w:rFonts w:ascii="Times New Roman" w:hAnsi="Times New Roman"/>
          <w:b/>
          <w:sz w:val="24"/>
          <w:szCs w:val="24"/>
          <w:lang w:val="pl-PL"/>
        </w:rPr>
        <w:t>0</w:t>
      </w:r>
      <w:r>
        <w:rPr>
          <w:rFonts w:ascii="Times New Roman" w:hAnsi="Times New Roman"/>
          <w:b/>
          <w:sz w:val="24"/>
          <w:szCs w:val="24"/>
          <w:lang w:val="pl-PL"/>
        </w:rPr>
        <w:t>.</w:t>
      </w:r>
      <w:r w:rsidR="00885E1C">
        <w:rPr>
          <w:rFonts w:ascii="Times New Roman" w:hAnsi="Times New Roman"/>
          <w:b/>
          <w:sz w:val="24"/>
          <w:szCs w:val="24"/>
          <w:lang w:val="pl-PL"/>
        </w:rPr>
        <w:t>08.19</w:t>
      </w:r>
      <w:r>
        <w:rPr>
          <w:rFonts w:ascii="Times New Roman" w:hAnsi="Times New Roman"/>
          <w:b/>
          <w:sz w:val="24"/>
          <w:szCs w:val="24"/>
          <w:lang w:val="pl-PL"/>
        </w:rPr>
        <w:t>.</w:t>
      </w:r>
    </w:p>
    <w:p w:rsidR="00D87421" w:rsidP="00D87421" w:rsidRDefault="00D87421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9D581C" w:rsidP="00D87421" w:rsidRDefault="0064091B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Početkom 2018. godine kupac iz Slovenije je još jednom pregledao preostalu opremu- 2 elktro-peći za ljevaonicu i nakon što je konstatirao da je elektronika uništena odustao </w:t>
      </w:r>
      <w:r w:rsidR="009D581C">
        <w:rPr>
          <w:rFonts w:ascii="Times New Roman" w:hAnsi="Times New Roman"/>
          <w:sz w:val="24"/>
          <w:szCs w:val="24"/>
          <w:lang w:val="pl-PL"/>
        </w:rPr>
        <w:t xml:space="preserve">je </w:t>
      </w:r>
      <w:r>
        <w:rPr>
          <w:rFonts w:ascii="Times New Roman" w:hAnsi="Times New Roman"/>
          <w:sz w:val="24"/>
          <w:szCs w:val="24"/>
          <w:lang w:val="pl-PL"/>
        </w:rPr>
        <w:t>od kupnje i steč</w:t>
      </w:r>
      <w:r w:rsidR="009D581C">
        <w:rPr>
          <w:rFonts w:ascii="Times New Roman" w:hAnsi="Times New Roman"/>
          <w:sz w:val="24"/>
          <w:szCs w:val="24"/>
          <w:lang w:val="pl-PL"/>
        </w:rPr>
        <w:t>a</w:t>
      </w:r>
      <w:r>
        <w:rPr>
          <w:rFonts w:ascii="Times New Roman" w:hAnsi="Times New Roman"/>
          <w:sz w:val="24"/>
          <w:szCs w:val="24"/>
          <w:lang w:val="pl-PL"/>
        </w:rPr>
        <w:t xml:space="preserve">jnom upravitelju nije preostalo drugo nego da peći proda u otpsd – staro željezo. </w:t>
      </w:r>
      <w:r w:rsidR="009D581C">
        <w:rPr>
          <w:rFonts w:ascii="Times New Roman" w:hAnsi="Times New Roman"/>
          <w:sz w:val="24"/>
          <w:szCs w:val="24"/>
          <w:lang w:val="pl-PL"/>
        </w:rPr>
        <w:t xml:space="preserve">Nako rastavljanja i vaganja prihodovano je 17.696,00 kn. </w:t>
      </w:r>
    </w:p>
    <w:p w:rsidR="00D87421" w:rsidP="00D87421" w:rsidRDefault="00D87421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Istovremeno su nastavljene </w:t>
      </w:r>
      <w:r w:rsidR="009D581C">
        <w:rPr>
          <w:rFonts w:ascii="Times New Roman" w:hAnsi="Times New Roman"/>
          <w:sz w:val="24"/>
          <w:szCs w:val="24"/>
          <w:lang w:val="pl-PL"/>
        </w:rPr>
        <w:t xml:space="preserve">na Sudu </w:t>
      </w:r>
      <w:r>
        <w:rPr>
          <w:rFonts w:ascii="Times New Roman" w:hAnsi="Times New Roman"/>
          <w:sz w:val="24"/>
          <w:szCs w:val="24"/>
          <w:lang w:val="pl-PL"/>
        </w:rPr>
        <w:t xml:space="preserve">držbe za unovčenje preostalih nekretnina, </w:t>
      </w:r>
      <w:r w:rsidR="009D581C">
        <w:rPr>
          <w:rFonts w:ascii="Times New Roman" w:hAnsi="Times New Roman"/>
          <w:sz w:val="24"/>
          <w:szCs w:val="24"/>
          <w:lang w:val="pl-PL"/>
        </w:rPr>
        <w:t>preostalih</w:t>
      </w:r>
      <w:r>
        <w:rPr>
          <w:rFonts w:ascii="Times New Roman" w:hAnsi="Times New Roman"/>
          <w:sz w:val="24"/>
          <w:szCs w:val="24"/>
          <w:lang w:val="pl-PL"/>
        </w:rPr>
        <w:t xml:space="preserve"> zk. čestica. </w:t>
      </w:r>
    </w:p>
    <w:p w:rsidR="00D87421" w:rsidP="00D87421" w:rsidRDefault="00605861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Na 12. Držbi održanoj 17.01,2019 prodana je nekretnina k.č.br 623/1 –parkiralište Stubička cesta broj 3 u Mariji Bistrici povšine 1635 čhv upisane u zk.ul. 2510 k.o. Marija Bistrica  za iznos kupoprodajne cijene 193.900,00 kn i ½ dijela k.č.br.623/2 – put Stubička cesta broj 3 u Mariji Bistrici površine </w:t>
      </w:r>
      <w:r w:rsidR="009E2847">
        <w:rPr>
          <w:rFonts w:ascii="Times New Roman" w:hAnsi="Times New Roman"/>
          <w:sz w:val="24"/>
          <w:szCs w:val="24"/>
          <w:lang w:val="pl-PL"/>
        </w:rPr>
        <w:t>996 m2 upisana u tk.ul, 2509 k.o. Marija Bistricazaiznos kupoprodajne cijene 3.332,00 kn.</w:t>
      </w:r>
    </w:p>
    <w:p w:rsidR="009E2847" w:rsidP="00D87421" w:rsidRDefault="009E2847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Rješemje o dosudi nekretnine kupcu je postalo pravomoćno Rješenjem VTS-a od 27.02.2019. kojim je odbačena žalba Općine Marija Bistrica na rješenje o dosudi od 25.01.2019.. Općina Marija Bistrica je </w:t>
      </w:r>
      <w:r w:rsidR="00086BBB">
        <w:rPr>
          <w:rFonts w:ascii="Times New Roman" w:hAnsi="Times New Roman"/>
          <w:sz w:val="24"/>
          <w:szCs w:val="24"/>
          <w:lang w:val="pl-PL"/>
        </w:rPr>
        <w:t>imala saznanja o održavanju javnih deažbi – vidi navode u prigovoruna rješenje, ali nije sudjelovala na istma, a Načelnik Općine je stečajnom upravitelju nkon 11. Dražbe njavio sastanak na Sudu kod stečajne sudkinje, koji nije održao, paje Sud održao i 12. Dražbu.</w:t>
      </w:r>
    </w:p>
    <w:p w:rsidR="00A002B7" w:rsidP="00D87421" w:rsidRDefault="00086BBB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Nakon pravomoćnosti Rješenja o dosudi</w:t>
      </w:r>
      <w:r w:rsidR="007D74C6">
        <w:rPr>
          <w:rFonts w:ascii="Times New Roman" w:hAnsi="Times New Roman"/>
          <w:sz w:val="24"/>
          <w:szCs w:val="24"/>
          <w:lang w:val="pl-PL"/>
        </w:rPr>
        <w:t xml:space="preserve">, </w:t>
      </w:r>
      <w:r>
        <w:rPr>
          <w:rFonts w:ascii="Times New Roman" w:hAnsi="Times New Roman"/>
          <w:sz w:val="24"/>
          <w:szCs w:val="24"/>
          <w:lang w:val="pl-PL"/>
        </w:rPr>
        <w:t xml:space="preserve">22.03.2019. Općinski sud u Zlataru, Zemljišno knjižni odjel Donja Stubica </w:t>
      </w:r>
      <w:r w:rsidR="007D74C6">
        <w:rPr>
          <w:rFonts w:ascii="Times New Roman" w:hAnsi="Times New Roman"/>
          <w:sz w:val="24"/>
          <w:szCs w:val="24"/>
          <w:lang w:val="pl-PL"/>
        </w:rPr>
        <w:t>provodi pis  Geodetskog elaborata za evidentiranje nerazvrstane ceste, a ne provodi Rješenje Tr</w:t>
      </w:r>
      <w:r w:rsidR="00885E1C">
        <w:rPr>
          <w:rFonts w:ascii="Times New Roman" w:hAnsi="Times New Roman"/>
          <w:sz w:val="24"/>
          <w:szCs w:val="24"/>
          <w:lang w:val="pl-PL"/>
        </w:rPr>
        <w:t>g</w:t>
      </w:r>
      <w:r w:rsidR="007D74C6">
        <w:rPr>
          <w:rFonts w:ascii="Times New Roman" w:hAnsi="Times New Roman"/>
          <w:sz w:val="24"/>
          <w:szCs w:val="24"/>
          <w:lang w:val="pl-PL"/>
        </w:rPr>
        <w:t xml:space="preserve">ovačkog suda Zagrev, pa je sada situacija u zemljišnim knjigama da je vlasnik čestica </w:t>
      </w:r>
      <w:r w:rsidR="00A002B7">
        <w:rPr>
          <w:rFonts w:ascii="Times New Roman" w:hAnsi="Times New Roman"/>
          <w:sz w:val="24"/>
          <w:szCs w:val="24"/>
          <w:lang w:val="pl-PL"/>
        </w:rPr>
        <w:t>:</w:t>
      </w:r>
    </w:p>
    <w:p w:rsidR="00086BBB" w:rsidP="00D87421" w:rsidRDefault="00A002B7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lastRenderedPageBreak/>
        <w:t>-</w:t>
      </w:r>
      <w:r w:rsidR="007D74C6">
        <w:rPr>
          <w:rFonts w:ascii="Times New Roman" w:hAnsi="Times New Roman"/>
          <w:sz w:val="24"/>
          <w:szCs w:val="24"/>
          <w:lang w:val="pl-PL"/>
        </w:rPr>
        <w:t xml:space="preserve">Petrakom d.o.o  zk.č.br. 623/1 sa 2560 m2, zk.č.br. 623/3 sa 624 m2, zk.č.br. </w:t>
      </w:r>
      <w:r>
        <w:rPr>
          <w:rFonts w:ascii="Times New Roman" w:hAnsi="Times New Roman"/>
          <w:sz w:val="24"/>
          <w:szCs w:val="24"/>
          <w:lang w:val="pl-PL"/>
        </w:rPr>
        <w:t>623/4 sa 1122 m2 i k,č.br. 623/5 sa 1634 m2, i</w:t>
      </w:r>
    </w:p>
    <w:p w:rsidR="00A002B7" w:rsidP="00D87421" w:rsidRDefault="00A002B7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</w:t>
      </w:r>
      <w:r w:rsidR="00AF0548">
        <w:rPr>
          <w:rFonts w:ascii="Times New Roman" w:hAnsi="Times New Roman"/>
          <w:sz w:val="24"/>
          <w:szCs w:val="24"/>
          <w:lang w:val="pl-PL"/>
        </w:rPr>
        <w:t>Općina Marija Bistrica –nerazvrstana cesta s 2100 m2.</w:t>
      </w:r>
    </w:p>
    <w:p w:rsidR="00AF0548" w:rsidP="00D87421" w:rsidRDefault="00AF0548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Tako je rješenje Trgovaačkog suda sada nemoguče provesti. Zbo toga je sečajni upravitelj stavio Prigovor na rješenje Z-3326/2019.</w:t>
      </w:r>
    </w:p>
    <w:p w:rsidR="00D87421" w:rsidP="00D87421" w:rsidRDefault="00D87421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D87421" w:rsidP="00D87421" w:rsidRDefault="00AF0548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Nakon rješenja problema sa opisanom nekretmimom pristupit će se unovčenju </w:t>
      </w:r>
      <w:r w:rsidR="00D87421">
        <w:rPr>
          <w:rFonts w:ascii="Times New Roman" w:hAnsi="Times New Roman"/>
          <w:sz w:val="24"/>
          <w:szCs w:val="24"/>
          <w:lang w:val="pl-PL"/>
        </w:rPr>
        <w:t xml:space="preserve"> čestic</w:t>
      </w:r>
      <w:r>
        <w:rPr>
          <w:rFonts w:ascii="Times New Roman" w:hAnsi="Times New Roman"/>
          <w:sz w:val="24"/>
          <w:szCs w:val="24"/>
          <w:lang w:val="pl-PL"/>
        </w:rPr>
        <w:t>e</w:t>
      </w:r>
      <w:r w:rsidR="00D87421">
        <w:rPr>
          <w:rFonts w:ascii="Times New Roman" w:hAnsi="Times New Roman"/>
          <w:sz w:val="24"/>
          <w:szCs w:val="24"/>
          <w:lang w:val="pl-PL"/>
        </w:rPr>
        <w:t xml:space="preserve"> u suvlasništvu koja nije opterećena hipotekom </w:t>
      </w:r>
      <w:r>
        <w:rPr>
          <w:rFonts w:ascii="Times New Roman" w:hAnsi="Times New Roman"/>
          <w:sz w:val="24"/>
          <w:szCs w:val="24"/>
          <w:lang w:val="pl-PL"/>
        </w:rPr>
        <w:t xml:space="preserve">a za koju postoji od ranije </w:t>
      </w:r>
      <w:r w:rsidR="00D87421">
        <w:rPr>
          <w:rFonts w:ascii="Times New Roman" w:hAnsi="Times New Roman"/>
          <w:sz w:val="24"/>
          <w:szCs w:val="24"/>
          <w:lang w:val="pl-PL"/>
        </w:rPr>
        <w:t>interes Croatiaosiguranje kao suvlasnik i Općina Marija Bistrica.</w:t>
      </w:r>
    </w:p>
    <w:p w:rsidR="00D87421" w:rsidP="00D87421" w:rsidRDefault="00D87421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D87421" w:rsidP="00D87421" w:rsidRDefault="00D87421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D87421" w:rsidP="00D87421" w:rsidRDefault="00D87421">
      <w:pPr>
        <w:ind w:left="360"/>
        <w:rPr>
          <w:rFonts w:ascii="Times New Roman" w:hAnsi="Times New Roman"/>
          <w:b/>
          <w:sz w:val="24"/>
          <w:szCs w:val="24"/>
          <w:lang w:val="pl-PL"/>
        </w:rPr>
      </w:pPr>
    </w:p>
    <w:p w:rsidR="00D87421" w:rsidP="00D87421" w:rsidRDefault="00D87421">
      <w:pPr>
        <w:ind w:left="360"/>
        <w:rPr>
          <w:rFonts w:ascii="Times New Roman" w:hAnsi="Times New Roman"/>
          <w:b/>
          <w:sz w:val="24"/>
          <w:szCs w:val="24"/>
          <w:lang w:val="pl-PL"/>
        </w:rPr>
      </w:pPr>
    </w:p>
    <w:p w:rsidR="00D87421" w:rsidP="00D87421" w:rsidRDefault="00D87421">
      <w:pPr>
        <w:ind w:left="360"/>
        <w:rPr>
          <w:rFonts w:ascii="Times New Roman" w:hAnsi="Times New Roman"/>
          <w:b/>
          <w:sz w:val="24"/>
          <w:szCs w:val="24"/>
          <w:lang w:val="pl-PL"/>
        </w:rPr>
      </w:pPr>
    </w:p>
    <w:p w:rsidR="00D87421" w:rsidP="00D87421" w:rsidRDefault="00D87421">
      <w:pPr>
        <w:ind w:left="360"/>
        <w:rPr>
          <w:rFonts w:ascii="Times New Roman" w:hAnsi="Times New Roman"/>
          <w:b/>
          <w:sz w:val="24"/>
          <w:szCs w:val="24"/>
          <w:lang w:val="pl-PL"/>
        </w:rPr>
      </w:pPr>
    </w:p>
    <w:p w:rsidR="00D87421" w:rsidP="00D87421" w:rsidRDefault="00D87421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>Stečajni upravitelj</w:t>
      </w:r>
    </w:p>
    <w:p w:rsidR="00D87421" w:rsidP="00D87421" w:rsidRDefault="00D87421">
      <w:pPr>
        <w:rPr>
          <w:rFonts w:ascii="Calibri" w:hAnsi="Calibri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Zagreb, </w:t>
      </w:r>
      <w:r w:rsidR="00FA3873">
        <w:rPr>
          <w:rFonts w:ascii="Times New Roman" w:hAnsi="Times New Roman"/>
          <w:sz w:val="24"/>
          <w:szCs w:val="24"/>
          <w:lang w:val="pl-PL"/>
        </w:rPr>
        <w:t>30.08</w:t>
      </w:r>
      <w:r>
        <w:rPr>
          <w:rFonts w:ascii="Times New Roman" w:hAnsi="Times New Roman"/>
          <w:sz w:val="24"/>
          <w:szCs w:val="24"/>
          <w:lang w:val="pl-PL"/>
        </w:rPr>
        <w:t>..201</w:t>
      </w:r>
      <w:r w:rsidR="00FA3873">
        <w:rPr>
          <w:rFonts w:ascii="Times New Roman" w:hAnsi="Times New Roman"/>
          <w:sz w:val="24"/>
          <w:szCs w:val="24"/>
          <w:lang w:val="pl-PL"/>
        </w:rPr>
        <w:t>9</w:t>
      </w:r>
      <w:r>
        <w:rPr>
          <w:rFonts w:ascii="Times New Roman" w:hAnsi="Times New Roman"/>
          <w:sz w:val="24"/>
          <w:szCs w:val="24"/>
          <w:lang w:val="pl-PL"/>
        </w:rPr>
        <w:t>.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>Branko Petanjek</w:t>
      </w:r>
    </w:p>
    <w:p w:rsidR="00D87421" w:rsidP="00D87421" w:rsidRDefault="00D87421"/>
    <w:p w:rsidRPr="00885E51" w:rsidR="00885E51" w:rsidP="00885E51" w:rsidRDefault="00885E51">
      <w:pPr>
        <w:spacing w:after="80" w:line="240" w:lineRule="auto"/>
        <w:jc w:val="both"/>
        <w:rPr>
          <w:rFonts w:ascii="Times New Roman" w:hAnsi="Times New Roman" w:eastAsia="Calibri" w:cs="Times New Roman"/>
          <w:sz w:val="24"/>
          <w:szCs w:val="24"/>
          <w:lang w:val="pl-PL"/>
        </w:rPr>
      </w:pPr>
    </w:p>
    <w:p w:rsidRPr="00885E51" w:rsidR="00885E51" w:rsidP="00885E51" w:rsidRDefault="00885E51">
      <w:pPr>
        <w:spacing w:after="80" w:line="240" w:lineRule="auto"/>
        <w:jc w:val="both"/>
        <w:rPr>
          <w:rFonts w:ascii="Times New Roman" w:hAnsi="Times New Roman" w:eastAsia="Calibri" w:cs="Times New Roman"/>
          <w:sz w:val="24"/>
          <w:szCs w:val="24"/>
          <w:lang w:val="pl-PL"/>
        </w:rPr>
      </w:pPr>
    </w:p>
    <w:p w:rsidRPr="00885E51" w:rsidR="00885E51" w:rsidP="00885E51" w:rsidRDefault="00885E51">
      <w:pPr>
        <w:spacing w:after="80" w:line="240" w:lineRule="auto"/>
        <w:ind w:left="360"/>
        <w:rPr>
          <w:rFonts w:ascii="Times New Roman" w:hAnsi="Times New Roman" w:eastAsia="Calibri" w:cs="Times New Roman"/>
          <w:b/>
          <w:sz w:val="24"/>
          <w:szCs w:val="24"/>
          <w:lang w:val="pl-PL"/>
        </w:rPr>
      </w:pPr>
    </w:p>
    <w:p w:rsidRPr="00885E51" w:rsidR="00885E51" w:rsidP="00885E51" w:rsidRDefault="00885E51">
      <w:pPr>
        <w:spacing w:after="80" w:line="240" w:lineRule="auto"/>
        <w:ind w:left="360"/>
        <w:rPr>
          <w:rFonts w:ascii="Times New Roman" w:hAnsi="Times New Roman" w:eastAsia="Calibri" w:cs="Times New Roman"/>
          <w:b/>
          <w:sz w:val="24"/>
          <w:szCs w:val="24"/>
          <w:lang w:val="pl-PL"/>
        </w:rPr>
      </w:pPr>
    </w:p>
    <w:p w:rsidRPr="00885E51" w:rsidR="00885E51" w:rsidP="00885E51" w:rsidRDefault="00885E51">
      <w:pPr>
        <w:spacing w:after="80" w:line="240" w:lineRule="auto"/>
        <w:ind w:left="360"/>
        <w:rPr>
          <w:rFonts w:ascii="Times New Roman" w:hAnsi="Times New Roman" w:eastAsia="Calibri" w:cs="Times New Roman"/>
          <w:b/>
          <w:sz w:val="24"/>
          <w:szCs w:val="24"/>
          <w:lang w:val="pl-PL"/>
        </w:rPr>
      </w:pPr>
    </w:p>
    <w:p w:rsidRPr="00885E51" w:rsidR="00885E51" w:rsidP="00885E51" w:rsidRDefault="00885E51">
      <w:pPr>
        <w:spacing w:after="80" w:line="240" w:lineRule="auto"/>
        <w:ind w:left="360"/>
        <w:rPr>
          <w:rFonts w:ascii="Times New Roman" w:hAnsi="Times New Roman" w:eastAsia="Calibri" w:cs="Times New Roman"/>
          <w:b/>
          <w:sz w:val="24"/>
          <w:szCs w:val="24"/>
          <w:lang w:val="pl-PL"/>
        </w:rPr>
      </w:pPr>
    </w:p>
    <w:p w:rsidRPr="00885E51" w:rsidR="00885E51" w:rsidP="00885E51" w:rsidRDefault="00885E51">
      <w:pPr>
        <w:spacing w:after="80" w:line="240" w:lineRule="auto"/>
        <w:rPr>
          <w:rFonts w:ascii="Calibri" w:hAnsi="Calibri" w:eastAsia="Calibri" w:cs="Times New Roman"/>
        </w:rPr>
      </w:pPr>
    </w:p>
    <w:p w:rsidR="000C5928" w:rsidRDefault="000C5928"/>
    <w:sectPr w:rsidR="000C59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E51"/>
    <w:rsid w:val="00080E0D"/>
    <w:rsid w:val="00086BBB"/>
    <w:rsid w:val="000C5928"/>
    <w:rsid w:val="003325F6"/>
    <w:rsid w:val="004E2716"/>
    <w:rsid w:val="00605861"/>
    <w:rsid w:val="0064091B"/>
    <w:rsid w:val="007D74C6"/>
    <w:rsid w:val="00885E1C"/>
    <w:rsid w:val="00885E51"/>
    <w:rsid w:val="009D581C"/>
    <w:rsid w:val="009E2847"/>
    <w:rsid w:val="00A002B7"/>
    <w:rsid w:val="00AF0548"/>
    <w:rsid w:val="00D87421"/>
    <w:rsid w:val="00FA3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080E0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80E0D"/>
    <w:rPr>
      <w:rFonts w:ascii="Times New Roman" w:hAnsi="Times New Roman" w:eastAsia="Calibri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80E0D"/>
    <w:rPr>
      <w:rFonts w:ascii="Times New Roman" w:hAnsi="Times New Roman" w:eastAsia="Calibri" w:cs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80E0D"/>
    <w:rPr>
      <w:rFonts w:ascii="Times New Roman" w:hAnsi="Times New Roman" w:eastAsia="Calibri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80E0D"/>
    <w:rPr>
      <w:rFonts w:ascii="Times New Roman" w:hAnsi="Times New Roman" w:eastAsia="Calibri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80E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E0D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E0D"/>
    <w:rPr>
      <w:rFonts w:ascii="Times New Roman" w:cs="Times New Roman" w:eastAsia="Calibri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E0D"/>
    <w:rPr>
      <w:rFonts w:ascii="Times New Roman" w:cs="Times New Roman" w:eastAsia="Calibri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E0D"/>
    <w:rPr>
      <w:rFonts w:ascii="Times New Roman" w:cs="Times New Roman" w:eastAsia="Calibri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2673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251C8E-9F25-4DFC-AFDB-F0BC27100126}">
  <ds:schemaRefs>
    <ds:schemaRef ds:uri="http://schemas.openxmlformats.org/officeDocument/2006/bibliography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395</properties:Words>
  <properties:Characters>2267</properties:Characters>
  <properties:Lines>62</properties:Lines>
  <properties:Paragraphs>19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2019-09-16T09:00:00Z</dcterms:created>
  <dc:creator>PC</dc:creator>
  <cp:lastModifiedBy>Slavica Grbić</cp:lastModifiedBy>
  <cp:lastPrinted>2019-09-16T08:59:00Z</cp:lastPrinted>
  <dcterms:modified xmlns:xsi="http://www.w3.org/2001/XMLSchema-instance" xsi:type="dcterms:W3CDTF">2019-09-16T09:02:00Z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St-1181/2012-145 / Podnesak - Izvješće stečajnog upravitelja (Peztakom - Obrazac 20   20.09.2019_.docx)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