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e13f2" w14:paraId="74e13f2" w:rsidRDefault="003D0BF9" w:rsidP="001705BB" w:rsidR="00896057">
      <w:pPr>
        <w:pStyle w:val="Bezproreda"/>
        <w15:collapsed w:val="false"/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t xml:space="preserve">            </w:t>
      </w:r>
      <w:r w:rsidR="006D7A34">
        <w:rPr>
          <w:noProof/>
          <w:lang w:eastAsia="hr-HR"/>
        </w:rPr>
        <w:t xml:space="preserve"> </w:t>
      </w:r>
      <w:r>
        <w:rPr>
          <w:noProof/>
          <w:lang w:eastAsia="hr-HR"/>
        </w:rPr>
        <w:t xml:space="preserve"> </w:t>
      </w:r>
      <w:r w:rsidR="00F738D3">
        <w:rPr>
          <w:noProof/>
          <w:lang w:eastAsia="hr-HR"/>
        </w:rPr>
        <w:drawing>
          <wp:inline distR="0" distL="0" distB="0" distT="0">
            <wp:extent cy="550661" cx="414258"/>
            <wp:effectExtent b="1905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52628" cx="4157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D0BF9" w:rsidP="003D0BF9" w:rsidR="003D0BF9" w:rsidRPr="001705BB">
      <w:pPr>
        <w:pStyle w:val="Bezproreda"/>
        <w:rPr>
          <w:sz w:val="18"/>
          <w:szCs w:val="18"/>
        </w:rPr>
      </w:pPr>
      <w:r>
        <w:t xml:space="preserve">         </w:t>
      </w:r>
      <w:r w:rsidR="001705BB">
        <w:t xml:space="preserve">  </w:t>
      </w:r>
      <w:r w:rsidRPr="001705BB">
        <w:rPr>
          <w:sz w:val="18"/>
          <w:szCs w:val="18"/>
        </w:rPr>
        <w:t>REPUBLIKA HRVATSKA</w:t>
      </w:r>
    </w:p>
    <w:p w:rsidRDefault="003D0BF9" w:rsidP="003D0BF9" w:rsidR="003D0BF9" w:rsidRPr="001705BB">
      <w:pPr>
        <w:pStyle w:val="Bezproreda"/>
        <w:rPr>
          <w:sz w:val="18"/>
          <w:szCs w:val="18"/>
        </w:rPr>
      </w:pPr>
      <w:r w:rsidRPr="001705BB">
        <w:rPr>
          <w:sz w:val="18"/>
          <w:szCs w:val="18"/>
        </w:rPr>
        <w:t>VISOKI TRGOVAČKI SUD REPUBLIKE HRVATSKE</w:t>
      </w:r>
    </w:p>
    <w:p w:rsidRDefault="003D0BF9" w:rsidP="003D0BF9" w:rsidR="003D0BF9" w:rsidRPr="001705BB">
      <w:pPr>
        <w:pStyle w:val="Bezproreda"/>
        <w:rPr>
          <w:sz w:val="18"/>
          <w:szCs w:val="18"/>
        </w:rPr>
      </w:pPr>
      <w:r w:rsidRPr="001705BB">
        <w:rPr>
          <w:sz w:val="18"/>
          <w:szCs w:val="18"/>
        </w:rPr>
        <w:t xml:space="preserve">                </w:t>
      </w:r>
      <w:r w:rsidR="006D7A34" w:rsidRPr="001705BB">
        <w:rPr>
          <w:sz w:val="18"/>
          <w:szCs w:val="18"/>
        </w:rPr>
        <w:t xml:space="preserve"> </w:t>
      </w:r>
      <w:r w:rsidRPr="001705BB">
        <w:rPr>
          <w:sz w:val="18"/>
          <w:szCs w:val="18"/>
        </w:rPr>
        <w:t xml:space="preserve"> </w:t>
      </w:r>
      <w:r w:rsidR="001705BB" w:rsidRPr="001705BB">
        <w:rPr>
          <w:sz w:val="18"/>
          <w:szCs w:val="18"/>
        </w:rPr>
        <w:t xml:space="preserve">  </w:t>
      </w:r>
      <w:r w:rsidR="001705BB">
        <w:rPr>
          <w:sz w:val="18"/>
          <w:szCs w:val="18"/>
        </w:rPr>
        <w:t xml:space="preserve">   </w:t>
      </w:r>
      <w:r w:rsidRPr="001705BB">
        <w:rPr>
          <w:sz w:val="18"/>
          <w:szCs w:val="18"/>
        </w:rPr>
        <w:t>Z A G R E B</w:t>
      </w:r>
    </w:p>
    <w:p w:rsidRDefault="004E302C" w:rsidP="004E302C" w:rsidR="004E302C">
      <w:pPr>
        <w:spacing w:after="0"/>
        <w:jc w:val="both"/>
      </w:pPr>
    </w:p>
    <w:p w:rsidRDefault="004E302C" w:rsidP="004E302C" w:rsidR="004E302C">
      <w:pPr>
        <w:spacing w:after="0"/>
        <w:jc w:val="both"/>
      </w:pPr>
    </w:p>
    <w:p w:rsidRDefault="004E302C" w:rsidP="004E302C" w:rsidR="004E302C">
      <w:pPr>
        <w:spacing w:after="0"/>
        <w:jc w:val="both"/>
      </w:pPr>
    </w:p>
    <w:p w:rsidRDefault="004E302C" w:rsidP="004E302C" w:rsidR="004E302C">
      <w:pPr>
        <w:spacing w:after="0"/>
        <w:jc w:val="both"/>
      </w:pPr>
    </w:p>
    <w:p w:rsidRDefault="004E302C" w:rsidP="004E302C" w:rsidR="004E302C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R E P U B L I K A   H R V A T S K A</w:t>
      </w:r>
    </w:p>
    <w:p w:rsidRDefault="004E302C" w:rsidP="004E302C" w:rsidR="004E302C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E302C" w:rsidP="004E302C" w:rsidR="004E302C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R J E Š E NJ E</w:t>
      </w:r>
    </w:p>
    <w:p w:rsidRDefault="004E302C" w:rsidP="004E302C" w:rsidR="004E302C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E302C" w:rsidP="004E302C" w:rsidR="004E302C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E302C" w:rsidP="004E302C" w:rsidR="004E302C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Visoki trgovački sud Republike Hrvatske, u vijeću sastavljenom od sudaca Lidije Tomljenović, predsjednice vijeća, Mirne Maržić, sutkinje izvjestiteljice, i Marine Veljak, članice vijeća, u predstečajnom postupku povodom prijedloga dužnika BOŽIDARA ZAGORCA, vl. obrta KAVANA I SLASTIČARNA ZAGORJE iz Bjelovara, I.V.Trnskog 15, OIB 62988214414, kojeg zastupaju punomoćnici, odvjetnici iz Zajedničkog odvjetničkog ureda Zlatko Gregurić, Tatjana Figač-Gregurić i Hrvoje Mladinić iz Bjelovara, Franjevačka 15b, odlučujući o žalbi vjerovnika HRVATSKO DRUŠTVO SKLADATELJA iz Zagreba, Berislavićeva 9, OIB 56668956985, protiv rješenja Trgovačkog suda u Bjelovaru poslovni broj St-798/2017-22 od </w:t>
      </w:r>
      <w:r>
        <w:rPr>
          <w:rFonts w:cs="Times New Roman" w:eastAsia="Times New Roman"/>
          <w:lang w:eastAsia="hr-HR"/>
        </w:rPr>
        <w:t>13. ožujka 2018.</w:t>
      </w:r>
      <w:r>
        <w:rPr>
          <w:rFonts w:cs="Times New Roman" w:eastAsia="Times New Roman"/>
          <w:szCs w:val="20"/>
          <w:lang w:eastAsia="hr-HR"/>
        </w:rPr>
        <w:t>, u sjednici vijeća održanoj 12. lipnja 2018.</w:t>
      </w:r>
    </w:p>
    <w:p w:rsidRDefault="004E302C" w:rsidP="004E302C" w:rsidR="004E302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E302C" w:rsidP="004E302C" w:rsidR="004E302C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r i j e š i o   j e</w:t>
      </w:r>
    </w:p>
    <w:p w:rsidRDefault="004E302C" w:rsidP="004E302C" w:rsidR="004E302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E302C" w:rsidP="004E302C" w:rsidR="004E302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 xml:space="preserve">Ukida se rješenje Trgovačkog suda u Bjelovaru poslovni broj St-798/2017-22 od </w:t>
      </w:r>
      <w:r>
        <w:rPr>
          <w:rFonts w:cs="Times New Roman" w:eastAsia="Times New Roman"/>
          <w:lang w:eastAsia="hr-HR"/>
        </w:rPr>
        <w:t>13. ožujka 2018. i predmet vraća tom sudu na ponovan postupak.</w:t>
      </w:r>
    </w:p>
    <w:p w:rsidRDefault="004E302C" w:rsidP="004E302C" w:rsidR="004E30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302C" w:rsidP="004E302C" w:rsidR="004E302C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Obrazloženje</w:t>
      </w:r>
    </w:p>
    <w:p w:rsidRDefault="004E302C" w:rsidP="004E302C" w:rsidR="004E302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E302C" w:rsidP="004E302C" w:rsidR="004E302C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Pobijanim je rješenjem Trgovački sud u Bjelovaru odbacio prijavu tražbine vjerovnika Hrvatsko društvo skladatelja iz Zagreba, Berislavićeva 9, OIB 56668956985, u iznosu od 30.172,71 kn.</w:t>
      </w:r>
    </w:p>
    <w:p w:rsidRDefault="004E302C" w:rsidP="004E302C" w:rsidR="004E302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E302C" w:rsidP="004E302C" w:rsidR="004E30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Iz obrazloženja proizlazi da je vjerovnik Hrvatsko društvo skladatelja iz Zagreba, Berislavićeva 9, u predstečajnom postupku nad imovinom dužnika pojedinca Božidara Zagorca, vl. obrta Kavana i slastičarna Zagorje iz Bjelovara, podnio svoju prijavu tražbine u iznosu od 30.172,71 kn FINA-i 13. prosinca 2017., a rješenje o otvaranju ovog postupka predstečajne nagodbe poslovni broj St-798/2017-6 od 20. studenog 2017. objavljeno je istog dana na e-Oglasnoj ploči Trgovačkog suda u Bjelovaru. Tim rješenjem pozvani su vjerovnici da nadležnoj jedinici FINA-e u roku od 15 dana od dana objave tog rješenja prijave svoje tražbine, sukladno odredbi članka 34. stavka 2. </w:t>
      </w:r>
      <w:r>
        <w:rPr>
          <w:rFonts w:cs="Times New Roman" w:eastAsia="Times New Roman"/>
          <w:lang w:eastAsia="hr-HR"/>
        </w:rPr>
        <w:t>Stečajnog zakona („Narodne novine“ broj 71/15</w:t>
      </w:r>
      <w:r>
        <w:rPr>
          <w:rFonts w:cs="Times New Roman" w:eastAsia="Times New Roman"/>
          <w:szCs w:val="20"/>
          <w:lang w:eastAsia="hr-HR"/>
        </w:rPr>
        <w:t xml:space="preserve"> i 104/17</w:t>
      </w:r>
      <w:r>
        <w:rPr>
          <w:rFonts w:cs="Times New Roman" w:eastAsia="Times New Roman"/>
          <w:lang w:eastAsia="hr-HR"/>
        </w:rPr>
        <w:t>; dalje: SZ).</w:t>
      </w:r>
    </w:p>
    <w:p w:rsidRDefault="004E302C" w:rsidP="004E302C" w:rsidR="004E302C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4E302C" w:rsidP="004E302C" w:rsidR="004E302C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Prvostupanjski sud je zaključio da je taj rok prekluzivan, te da je istekao 5. prosinca 2017. pa, budući da je Hrvatsko društvo skladatelja iz Zagreba prijavu tražbine poslao FINA-i 13. prosinca 2017. putem pošte, da je ta prijava tražbine dostavljena FINA-i izvan roka, slijedom čega je na temelju odredbe članka 36. stavka 6. SZ-a odbacio prijavu kao nepravovremenu.</w:t>
      </w:r>
    </w:p>
    <w:p w:rsidRDefault="004E302C" w:rsidP="004E302C" w:rsidR="004E302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E302C" w:rsidP="004E302C" w:rsidR="004E30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Protiv tog rješenja žalbu je izjavio vjerovnik </w:t>
      </w:r>
      <w:r>
        <w:rPr>
          <w:rFonts w:cs="Times New Roman" w:eastAsia="Times New Roman"/>
          <w:szCs w:val="20"/>
          <w:lang w:eastAsia="hr-HR"/>
        </w:rPr>
        <w:t xml:space="preserve">Hrvatsko društvo skladatelja, </w:t>
      </w:r>
      <w:r>
        <w:rPr>
          <w:rFonts w:cs="Times New Roman" w:eastAsia="Times New Roman"/>
          <w:lang w:eastAsia="hr-HR"/>
        </w:rPr>
        <w:t xml:space="preserve">navodeći žalbene razloge bitne povrede odredaba postupka i pogrešne primjene materijalnog prava iz odredbe članka 353. stavka 1. Zakona o parničnom postupku, u vezi s odredbom članka 10. SZ-a. U žalbi u bitnom ističe </w:t>
      </w:r>
      <w:r>
        <w:rPr>
          <w:rFonts w:cs="Times New Roman" w:eastAsia="Times New Roman"/>
          <w:szCs w:val="20"/>
          <w:lang w:eastAsia="hr-HR"/>
        </w:rPr>
        <w:t>da je prvostupanjski sud primijenio odredbu članka 12. stavka 1. SZ-a prema kojoj se smatra da je dostava rješenja od 20. studenog 2017. smatra obavljenom 28. studenog 2017. te da je zadnji dan roka bio 13. prosinca 2017. kada je i predao svoju prijavu tražbine. Predlaže ukinuti pobijano rješenje i vratiti predmet prvostupanjskom sudu na ponovno odlučivanje.</w:t>
      </w:r>
    </w:p>
    <w:p w:rsidRDefault="004E302C" w:rsidP="004E302C" w:rsidR="004E30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302C" w:rsidP="004E302C" w:rsidR="004E30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Žalba je osnovana.</w:t>
      </w:r>
    </w:p>
    <w:p w:rsidRDefault="004E302C" w:rsidP="004E302C" w:rsidR="004E30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302C" w:rsidP="004E302C" w:rsidR="004E302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>Pobijano rješenje ispitano je sukladno odredbama članaka 365. i 381. Zakona o parničnom postupku („Narodne novine“ broj 148/11-pročišćeni tekst i 25/13; dalje: ZPP), vezano uz odredbu članka 10. SZ-a, pazeći po službenoj dužnosti na bitne povrede odredaba postupka iz članka 354. stavka 2. točaka 2., 4., 8., 9., 11., 13. i 14. ZPP-a, kao i na pravilnu primjenu materijalnog prava. Ovaj sud nalazi da ono nije pravilno i osnovano na zakonu.</w:t>
      </w:r>
    </w:p>
    <w:p w:rsidRDefault="004E302C" w:rsidP="004E302C" w:rsidR="004E302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E302C" w:rsidP="004E302C" w:rsidR="004E302C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Pobijano rješenje nije zahvaćeno bitnim povredama odredaba parničnog postupka na koje ovaj sud pazi po službenoj dužnosti, a niti ih u žalbi konkretizira žalitelj. </w:t>
      </w:r>
    </w:p>
    <w:p w:rsidRDefault="004E302C" w:rsidP="004E302C" w:rsidR="004E30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E302C" w:rsidP="004E302C" w:rsidR="004E30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Prvostupanjski je sud pravilno i potpuno utvrdio činjenično stanje relevantno za donošenje odluke u konkretnom postupku</w:t>
      </w:r>
      <w:r>
        <w:rPr>
          <w:rFonts w:cs="Times New Roman" w:eastAsia="Times New Roman"/>
          <w:szCs w:val="20"/>
          <w:lang w:eastAsia="hr-HR"/>
        </w:rPr>
        <w:t xml:space="preserve">. </w:t>
      </w:r>
      <w:r>
        <w:rPr>
          <w:rFonts w:cs="Times New Roman" w:eastAsia="Times New Roman"/>
          <w:lang w:eastAsia="hr-HR"/>
        </w:rPr>
        <w:t>Nisu sporne odlučne činjenice datuma objave i podnošenja prijave, kako ih je utvrdio prvostupanjski sud.</w:t>
      </w:r>
    </w:p>
    <w:p w:rsidRDefault="004E302C" w:rsidP="004E302C" w:rsidR="004E30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302C" w:rsidP="004E302C" w:rsidR="004E302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Sporna je primjena materijalnog prava i to odredbe članka 12. stavka 1. SZ-a, kojom je propisano da se sudska pismena dostavljaju objavom pismena na mrežnoj stranici e-Oglasna ploča sudova, ako tim zakonom nije drukčije određeno. Dostava se smatra obavljenom istekom osmog dana od dana objave pismena na mrežnoj stranici e-Oglasna ploča sudova, a odredbom članka 12. stavka 2. SZ-a propisano je da se objava pismena na mrežnoj stranici e-Oglasna ploča sudova smatra dokazom da je dostava obavljena svim sudionicama i onima za koje taj zakon propisuje posebnu dostavu.</w:t>
      </w:r>
    </w:p>
    <w:p w:rsidRDefault="004E302C" w:rsidP="004E302C" w:rsidR="004E30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302C" w:rsidP="004E302C" w:rsidR="004E302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Prema odredbi Stečajnog zakona („Narodne novine“ broj 71/15), koja se u konkretnom slučaju primjenjuje s obzirom na datum pokretanja postupka 16. listopada 2017., članak 34. stavak 1. alineja 2. SZ-a glasila je da rješenje o otvaranju predstečajnog postupka sadrži i poziv vjerovnicima da nadležnoj jedinici Financijske agencije, u roku od </w:t>
      </w:r>
      <w:r>
        <w:rPr>
          <w:rFonts w:cs="Times New Roman" w:eastAsia="Times New Roman"/>
          <w:bCs/>
          <w:lang w:eastAsia="hr-HR"/>
        </w:rPr>
        <w:t>15 dana</w:t>
      </w:r>
      <w:r>
        <w:rPr>
          <w:rFonts w:cs="Times New Roman" w:eastAsia="Times New Roman"/>
          <w:lang w:eastAsia="hr-HR"/>
        </w:rPr>
        <w:t xml:space="preserve"> od dana </w:t>
      </w:r>
      <w:r>
        <w:rPr>
          <w:rFonts w:cs="Times New Roman" w:eastAsia="Times New Roman"/>
          <w:bCs/>
          <w:lang w:eastAsia="hr-HR"/>
        </w:rPr>
        <w:t xml:space="preserve">objave tog </w:t>
      </w:r>
      <w:r>
        <w:rPr>
          <w:rFonts w:cs="Times New Roman" w:eastAsia="Times New Roman"/>
          <w:lang w:eastAsia="hr-HR"/>
        </w:rPr>
        <w:t xml:space="preserve">rješenja, prijave svoje tražbine i da u roku od </w:t>
      </w:r>
      <w:r>
        <w:rPr>
          <w:rFonts w:cs="Times New Roman" w:eastAsia="Times New Roman"/>
          <w:bCs/>
          <w:lang w:eastAsia="hr-HR"/>
        </w:rPr>
        <w:t xml:space="preserve">osam dana od dana dostave očitovanja </w:t>
      </w:r>
      <w:r>
        <w:rPr>
          <w:rFonts w:cs="Times New Roman" w:eastAsia="Times New Roman"/>
          <w:lang w:eastAsia="hr-HR"/>
        </w:rPr>
        <w:t>o prijavljenim tražbinama dužnika i povjerenika ako je imenovan, ospore prijavljene tražbine koje smatraju nepostojećim, uz obveznu naznaku iznosa za koji se tražbina osporava i razloga osporavanja.</w:t>
      </w:r>
    </w:p>
    <w:p w:rsidRDefault="004E302C" w:rsidP="004E302C" w:rsidR="004E30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302C" w:rsidP="004E302C" w:rsidR="004E302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Budući da Stečajni zakon nije bio dosljedan u određivanju trenutka od kojeg će se određivati rokovi za poduzimanje određenih pravnih radnji, konkretno od dana dostave ili dana objave, dovodeći u pitanje primjenu odredbe članka 12. stavka 1. SZ-a, ovaj je sud, sukladno odredbi članka 40. Zakona o sudovima, na sjednici Odjela trgovačkih i ostalih sporova održanoj 12. srpnja 2017. zauzeo pravno shvaćanje da kada se određeni rokovi računaju od dana objave na mrežnoj stranici e-Oglasna ploča sudova i tada se u računanju rokova primjenjuje odredba članka 12. stavka 1. SZ-a o dostavi sudskih pismena. Rokovi se računaju od isteka osmog dana od dana objave. </w:t>
      </w:r>
    </w:p>
    <w:p w:rsidRDefault="004E302C" w:rsidP="004E302C" w:rsidR="004E30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302C" w:rsidP="004E302C" w:rsidR="004E30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Nadalje, prema noveliranoj odredbi članka 34. stavka 1. alineje 2. SZ-a rješenje o otvaranju predstečajnog postupka osobito mora sadržavati poziv vjerovnicima da nadležnoj jedinici Financijske agencije, u roku od </w:t>
      </w:r>
      <w:r>
        <w:rPr>
          <w:rFonts w:cs="Times New Roman" w:eastAsia="Times New Roman"/>
          <w:bCs/>
          <w:lang w:eastAsia="hr-HR"/>
        </w:rPr>
        <w:t xml:space="preserve">21 dan </w:t>
      </w:r>
      <w:r>
        <w:rPr>
          <w:rFonts w:cs="Times New Roman" w:eastAsia="Times New Roman"/>
          <w:lang w:eastAsia="hr-HR"/>
        </w:rPr>
        <w:t xml:space="preserve">od dana </w:t>
      </w:r>
      <w:r>
        <w:rPr>
          <w:rFonts w:cs="Times New Roman" w:eastAsia="Times New Roman"/>
          <w:bCs/>
          <w:lang w:eastAsia="hr-HR"/>
        </w:rPr>
        <w:t xml:space="preserve">dostave tog </w:t>
      </w:r>
      <w:r>
        <w:rPr>
          <w:rFonts w:cs="Times New Roman" w:eastAsia="Times New Roman"/>
          <w:lang w:eastAsia="hr-HR"/>
        </w:rPr>
        <w:t xml:space="preserve">rješenja, prijave svoje tražbine i da u roku od </w:t>
      </w:r>
      <w:r>
        <w:rPr>
          <w:rFonts w:cs="Times New Roman" w:eastAsia="Times New Roman"/>
          <w:bCs/>
          <w:lang w:eastAsia="hr-HR"/>
        </w:rPr>
        <w:t>15 dana od dana dostave očitovanja</w:t>
      </w:r>
      <w:r>
        <w:rPr>
          <w:rFonts w:cs="Times New Roman" w:eastAsia="Times New Roman"/>
          <w:lang w:eastAsia="hr-HR"/>
        </w:rPr>
        <w:t xml:space="preserve"> o prijavljenim tražbinama dužnika i povjerenika ako je imenovan, ospore prijavljene tražbine koje smatraju nepostojećim, uz obveznu naznaku iznosa za koji se tražbina osporava i razloga osporavanja, čime je sam zakonodavac iskazao svoju intenciju.</w:t>
      </w:r>
    </w:p>
    <w:p w:rsidRDefault="004E302C" w:rsidP="004E302C" w:rsidR="004E30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E302C" w:rsidP="004E302C" w:rsidR="004E30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Stoga osnovano navodi žalitelj da je njegova prijava potraživanja podnesena pravovremeno (zadnji dan roka za prijavu) i da nije bilo osnove istu odbaciti kao nepravovremenu.</w:t>
      </w:r>
    </w:p>
    <w:p w:rsidRDefault="004E302C" w:rsidP="004E302C" w:rsidR="004E30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302C" w:rsidP="004E302C" w:rsidR="004E30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Stoga je valjalo na temelju odredbe članka 380. točke 3. ZPP-a u vezi s odredbom članka 10. SZ-a odlučiti kao u izreci ovog drugostupanjskog rješenja, a u ponovnom će postupku prvostupanjski sud uzeti u obzir pravovremeno podnesenu prijavu žaliteljeve tražbine.</w:t>
      </w:r>
    </w:p>
    <w:p w:rsidRDefault="004E302C" w:rsidP="004E302C" w:rsidR="004E302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E302C" w:rsidP="004E302C" w:rsidR="004E302C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Zagreb, 12. lipnja 2018.</w:t>
      </w:r>
    </w:p>
    <w:p w:rsidRDefault="004E302C" w:rsidP="004E302C" w:rsidR="004E302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E302C" w:rsidP="004E302C" w:rsidR="004E302C">
      <w:pPr>
        <w:pStyle w:val="Bezproreda"/>
        <w:ind w:left="4536"/>
        <w:jc w:val="center"/>
        <w:rPr>
          <w:rFonts w:cs="Times New Roman" w:eastAsia="Times New Roman"/>
          <w:szCs w:val="24"/>
          <w:lang w:eastAsia="hr-HR"/>
        </w:rPr>
      </w:pPr>
      <w:r>
        <w:t>Predsjednica vijeća</w:t>
      </w:r>
    </w:p>
    <w:p w:rsidRDefault="004E302C" w:rsidP="004E302C" w:rsidR="004E302C">
      <w:pPr>
        <w:pStyle w:val="Bezproreda"/>
        <w:ind w:left="4536"/>
        <w:jc w:val="center"/>
      </w:pPr>
      <w:r>
        <w:t>Lidija Tomljenović, v. r.</w:t>
      </w:r>
    </w:p>
    <w:p w:rsidRDefault="004E302C" w:rsidP="004E302C" w:rsidR="004E302C">
      <w:pPr>
        <w:pStyle w:val="Bezproreda"/>
        <w:ind w:left="4536"/>
        <w:jc w:val="center"/>
      </w:pPr>
    </w:p>
    <w:p w:rsidRDefault="004E302C" w:rsidP="004E302C" w:rsidR="004E302C">
      <w:pPr>
        <w:pStyle w:val="Bezproreda"/>
        <w:ind w:left="4536"/>
        <w:jc w:val="center"/>
      </w:pPr>
      <w:r>
        <w:t>Za točnost otpravka – ovlašteni službenik</w:t>
      </w:r>
    </w:p>
    <w:p w:rsidRDefault="004E302C" w:rsidP="004E302C" w:rsidR="004E302C">
      <w:pPr>
        <w:pStyle w:val="Bezproreda"/>
        <w:ind w:left="4536"/>
        <w:jc w:val="center"/>
      </w:pPr>
      <w:r>
        <w:t>Brankica Curman</w:t>
      </w:r>
    </w:p>
    <w:p w:rsidRDefault="004E302C" w:rsidP="004E302C" w:rsidR="004E302C">
      <w:pPr>
        <w:spacing w:after="0"/>
        <w:jc w:val="both"/>
      </w:pPr>
    </w:p>
    <w:p w:rsidRDefault="004E49A1" w:rsidP="004E49A1" w:rsidR="004E49A1">
      <w:pPr>
        <w:spacing w:after="0"/>
        <w:jc w:val="both"/>
      </w:pPr>
    </w:p>
    <w:sectPr w:rsidR="004E49A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7CDE" w:rsidP="00BD5A69" w:rsidR="001E7CDE">
      <w:pPr>
        <w:spacing w:after="0"/>
      </w:pPr>
      <w:r>
        <w:separator/>
      </w:r>
    </w:p>
  </w:endnote>
  <w:endnote w:id="0" w:type="continuationSeparator">
    <w:p w:rsidRDefault="001E7CDE" w:rsidP="00BD5A69" w:rsidR="001E7CD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36594193"/>
      <w:docPartObj>
        <w:docPartGallery w:val="Page Numbers (Bottom of Page)"/>
        <w:docPartUnique/>
      </w:docPartObj>
    </w:sdtPr>
    <w:sdtEndPr/>
    <w:sdtContent>
      <w:p w:rsidRDefault="00BD5A69" w:rsidR="00BD5A6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4D5F">
          <w:rPr>
            <w:noProof/>
          </w:rPr>
          <w:t>3</w:t>
        </w:r>
        <w:r>
          <w:fldChar w:fldCharType="end"/>
        </w:r>
      </w:p>
    </w:sdtContent>
  </w:sdt>
  <w:p w:rsidRDefault="00BD5A69" w:rsidR="00BD5A6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7CDE" w:rsidP="00BD5A69" w:rsidR="001E7CDE">
      <w:pPr>
        <w:spacing w:after="0"/>
      </w:pPr>
      <w:r>
        <w:separator/>
      </w:r>
    </w:p>
  </w:footnote>
  <w:footnote w:id="0" w:type="continuationSeparator">
    <w:p w:rsidRDefault="001E7CDE" w:rsidP="00BD5A69" w:rsidR="001E7CD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5A69" w:rsidR="00BD5A69">
    <w:pPr>
      <w:pStyle w:val="Zaglavlje"/>
    </w:pPr>
    <w:r>
      <w:tab/>
    </w:r>
    <w:r>
      <w:ptab w:leader="none" w:relativeTo="margin" w:alignment="center"/>
    </w:r>
    <w:r>
      <w:ptab w:leader="none" w:relativeTo="margin" w:alignment="right"/>
    </w:r>
    <w:r w:rsidR="004E302C">
      <w:t>76 Pž-3676/2018-2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38D3"/>
    <w:rsid w:val="00072D18"/>
    <w:rsid w:val="00162C1B"/>
    <w:rsid w:val="001705BB"/>
    <w:rsid w:val="001E7CDE"/>
    <w:rsid w:val="001F6D10"/>
    <w:rsid w:val="00233ACE"/>
    <w:rsid w:val="002E6EBB"/>
    <w:rsid w:val="003D0BF9"/>
    <w:rsid w:val="004E302C"/>
    <w:rsid w:val="004E49A1"/>
    <w:rsid w:val="005474F3"/>
    <w:rsid w:val="006D7A34"/>
    <w:rsid w:val="00896057"/>
    <w:rsid w:val="009538B5"/>
    <w:rsid w:val="00994D5F"/>
    <w:rsid w:val="00B92656"/>
    <w:rsid w:val="00BD5A69"/>
    <w:rsid w:val="00C22ACB"/>
    <w:rsid w:val="00CE72EB"/>
    <w:rsid w:val="00E53009"/>
    <w:rsid w:val="00F7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2AC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38D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38D3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D0BF9"/>
    <w:pPr>
      <w:spacing w:lineRule="auto" w:line="240" w:after="0"/>
    </w:pPr>
  </w:style>
  <w:style w:styleId="Svijetlosjenanje" w:type="table">
    <w:name w:val="Light Shading"/>
    <w:basedOn w:val="Obinatablica"/>
    <w:uiPriority w:val="60"/>
    <w:rsid w:val="00BD5A69"/>
    <w:pPr>
      <w:spacing w:lineRule="auto" w:line="240" w:after="0"/>
    </w:pPr>
    <w:rPr>
      <w:color w:themeShade="BF" w:themeColor="text1" w:val="000000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Zaglavlje" w:type="paragraph">
    <w:name w:val="header"/>
    <w:basedOn w:val="Normal"/>
    <w:link w:val="Zaglavl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hAnsiTheme="minorHAnsi" w:asciiTheme="minorHAnsi"/>
      <w:sz w:val="22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BD5A69"/>
  </w:style>
  <w:style w:styleId="Podnoje" w:type="paragraph">
    <w:name w:val="footer"/>
    <w:basedOn w:val="Normal"/>
    <w:link w:val="Podno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hAnsiTheme="minorHAnsi" w:asciiTheme="minorHAnsi"/>
      <w:sz w:val="22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BD5A69"/>
  </w:style>
  <w:style w:styleId="Tekstrezerviranogmjesta" w:type="character">
    <w:name w:val="Placeholder Text"/>
    <w:basedOn w:val="Zadanifontodlomka"/>
    <w:uiPriority w:val="99"/>
    <w:semiHidden/>
    <w:rsid w:val="00994D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D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D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D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D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2AC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38D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38D3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D0BF9"/>
    <w:pPr>
      <w:spacing w:after="0" w:line="240" w:lineRule="auto"/>
    </w:pPr>
  </w:style>
  <w:style w:styleId="Svijetlosjenanje" w:type="table">
    <w:name w:val="Light Shading"/>
    <w:basedOn w:val="Obinatablica"/>
    <w:uiPriority w:val="60"/>
    <w:rsid w:val="00BD5A69"/>
    <w:pPr>
      <w:spacing w:after="0" w:line="240" w:lineRule="auto"/>
    </w:pPr>
    <w:rPr>
      <w:color w:themeColor="text1" w:themeShade="BF" w:val="000000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Zaglavlje" w:type="paragraph">
    <w:name w:val="header"/>
    <w:basedOn w:val="Normal"/>
    <w:link w:val="Zaglavl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asciiTheme="minorHAnsi" w:hAnsiTheme="minorHAnsi"/>
      <w:sz w:val="22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BD5A69"/>
  </w:style>
  <w:style w:styleId="Podnoje" w:type="paragraph">
    <w:name w:val="footer"/>
    <w:basedOn w:val="Normal"/>
    <w:link w:val="Podno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asciiTheme="minorHAnsi" w:hAnsiTheme="minorHAnsi"/>
      <w:sz w:val="22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BD5A69"/>
  </w:style>
  <w:style w:styleId="Tekstrezerviranogmjesta" w:type="character">
    <w:name w:val="Placeholder Text"/>
    <w:basedOn w:val="Zadanifontodlomka"/>
    <w:uiPriority w:val="99"/>
    <w:semiHidden/>
    <w:rsid w:val="00994D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D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D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D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D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5652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739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46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1040</properties:Words>
  <properties:Characters>5804</properties:Characters>
  <properties:Lines>125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2018-07-03T11:46:00Z</dcterms:created>
  <dc:creator>Ljiljana Cafuk</dc:creator>
  <cp:lastModifiedBy>Ljiljana Cafuk</cp:lastModifiedBy>
  <dcterms:modified xmlns:xsi="http://www.w3.org/2001/XMLSchema-instance" xsi:type="dcterms:W3CDTF">2018-07-03T11:50:00Z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Rješenje - prihvaćena žalba - ukinuto 1. st. rješenje (St-798-17 - Pž-3676-18.docx)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