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33fc1" w14:paraId="0933fc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80B5F" w:rsidP="00780B5F" w:rsidR="00780B5F" w:rsidRPr="00780B5F">
      <w:pPr>
        <w:overflowPunct w:val="false"/>
        <w:autoSpaceDE w:val="false"/>
        <w:autoSpaceDN w:val="false"/>
        <w:adjustRightInd w:val="false"/>
        <w:spacing w:after="0"/>
        <w:jc w:val="right"/>
        <w:rPr>
          <w:rFonts w:cs="Times New Roman" w:eastAsia="Times New Roman"/>
          <w:lang w:eastAsia="hr-HR"/>
        </w:rPr>
      </w:pPr>
      <w:r w:rsidRPr="00780B5F">
        <w:rPr>
          <w:rFonts w:cs="Times New Roman" w:eastAsia="Times New Roman"/>
          <w:lang w:eastAsia="hr-HR"/>
        </w:rPr>
        <w:t>5 St-1328/2016-14</w:t>
      </w:r>
    </w:p>
    <w:p w:rsidRDefault="00780B5F" w:rsidP="00780B5F" w:rsidR="00780B5F" w:rsidRPr="00780B5F">
      <w:pPr>
        <w:overflowPunct w:val="false"/>
        <w:autoSpaceDE w:val="false"/>
        <w:autoSpaceDN w:val="false"/>
        <w:adjustRightInd w:val="false"/>
        <w:spacing w:after="0"/>
        <w:rPr>
          <w:rFonts w:cs="Times New Roman" w:eastAsia="Times New Roman"/>
          <w:lang w:eastAsia="hr-HR"/>
        </w:rPr>
      </w:pPr>
    </w:p>
    <w:p w:rsidRDefault="00780B5F" w:rsidP="00780B5F" w:rsidR="00780B5F" w:rsidRPr="00780B5F">
      <w:pPr>
        <w:overflowPunct w:val="false"/>
        <w:autoSpaceDE w:val="false"/>
        <w:autoSpaceDN w:val="false"/>
        <w:adjustRightInd w:val="false"/>
        <w:spacing w:after="0"/>
        <w:jc w:val="right"/>
        <w:rPr>
          <w:rFonts w:cs="Times New Roman" w:eastAsia="Times New Roman"/>
          <w:lang w:eastAsia="hr-HR"/>
        </w:rPr>
      </w:pPr>
    </w:p>
    <w:p w:rsidRDefault="00780B5F" w:rsidP="00780B5F" w:rsidR="00780B5F" w:rsidRPr="00780B5F">
      <w:pPr>
        <w:overflowPunct w:val="false"/>
        <w:autoSpaceDE w:val="false"/>
        <w:autoSpaceDN w:val="false"/>
        <w:adjustRightInd w:val="false"/>
        <w:spacing w:after="0"/>
        <w:jc w:val="right"/>
        <w:rPr>
          <w:rFonts w:cs="Times New Roman" w:eastAsia="Times New Roman"/>
          <w:lang w:eastAsia="hr-HR"/>
        </w:rPr>
      </w:pPr>
    </w:p>
    <w:p w:rsidRDefault="00780B5F" w:rsidP="00780B5F" w:rsidR="00780B5F" w:rsidRPr="00780B5F">
      <w:pPr>
        <w:overflowPunct w:val="false"/>
        <w:autoSpaceDE w:val="false"/>
        <w:autoSpaceDN w:val="false"/>
        <w:adjustRightInd w:val="false"/>
        <w:spacing w:after="0"/>
        <w:jc w:val="right"/>
        <w:rPr>
          <w:rFonts w:cs="Times New Roman" w:eastAsia="Times New Roman"/>
          <w:lang w:eastAsia="hr-HR"/>
        </w:rPr>
      </w:pPr>
    </w:p>
    <w:p w:rsidRDefault="00780B5F" w:rsidP="00780B5F" w:rsidR="00780B5F" w:rsidRPr="00780B5F">
      <w:pPr>
        <w:overflowPunct w:val="false"/>
        <w:autoSpaceDE w:val="false"/>
        <w:autoSpaceDN w:val="false"/>
        <w:adjustRightInd w:val="false"/>
        <w:spacing w:after="0"/>
        <w:jc w:val="right"/>
        <w:rPr>
          <w:rFonts w:cs="Times New Roman" w:eastAsia="Times New Roman"/>
          <w:lang w:eastAsia="hr-HR"/>
        </w:rPr>
      </w:pPr>
    </w:p>
    <w:p w:rsidRDefault="00780B5F" w:rsidP="00780B5F" w:rsidR="00780B5F" w:rsidRPr="00780B5F">
      <w:pPr>
        <w:overflowPunct w:val="false"/>
        <w:autoSpaceDE w:val="false"/>
        <w:autoSpaceDN w:val="false"/>
        <w:adjustRightInd w:val="false"/>
        <w:spacing w:after="0"/>
        <w:jc w:val="right"/>
        <w:rPr>
          <w:rFonts w:cs="Times New Roman" w:eastAsia="Times New Roman"/>
          <w:lang w:eastAsia="hr-HR"/>
        </w:rPr>
      </w:pPr>
    </w:p>
    <w:p w:rsidRDefault="00780B5F" w:rsidP="00780B5F" w:rsidR="00780B5F" w:rsidRPr="00780B5F">
      <w:pPr>
        <w:overflowPunct w:val="false"/>
        <w:autoSpaceDE w:val="false"/>
        <w:autoSpaceDN w:val="false"/>
        <w:adjustRightInd w:val="false"/>
        <w:spacing w:after="0"/>
        <w:jc w:val="center"/>
        <w:rPr>
          <w:rFonts w:cs="Times New Roman" w:eastAsia="Times New Roman"/>
          <w:lang w:eastAsia="hr-HR"/>
        </w:rPr>
      </w:pPr>
      <w:r w:rsidRPr="00780B5F">
        <w:rPr>
          <w:rFonts w:cs="Times New Roman" w:eastAsia="Times New Roman"/>
          <w:lang w:eastAsia="hr-HR"/>
        </w:rPr>
        <w:t>U  I M E  R E P U B L I K E  H R V A T S K E</w:t>
      </w:r>
    </w:p>
    <w:p w:rsidRDefault="00780B5F" w:rsidP="00780B5F" w:rsidR="00780B5F" w:rsidRPr="00780B5F">
      <w:pPr>
        <w:overflowPunct w:val="false"/>
        <w:autoSpaceDE w:val="false"/>
        <w:autoSpaceDN w:val="false"/>
        <w:adjustRightInd w:val="false"/>
        <w:spacing w:after="0"/>
        <w:jc w:val="right"/>
        <w:rPr>
          <w:rFonts w:cs="Times New Roman" w:eastAsia="Times New Roman"/>
          <w:b/>
          <w:lang w:eastAsia="hr-HR"/>
        </w:rPr>
      </w:pPr>
    </w:p>
    <w:p w:rsidRDefault="00780B5F" w:rsidP="00780B5F" w:rsidR="00780B5F" w:rsidRPr="00780B5F">
      <w:pPr>
        <w:overflowPunct w:val="false"/>
        <w:autoSpaceDE w:val="false"/>
        <w:autoSpaceDN w:val="false"/>
        <w:adjustRightInd w:val="false"/>
        <w:spacing w:after="0"/>
        <w:jc w:val="center"/>
        <w:rPr>
          <w:rFonts w:cs="Times New Roman" w:eastAsia="Times New Roman"/>
          <w:lang w:eastAsia="hr-HR"/>
        </w:rPr>
      </w:pPr>
      <w:r w:rsidRPr="00780B5F">
        <w:rPr>
          <w:rFonts w:cs="Times New Roman" w:eastAsia="Times New Roman"/>
          <w:lang w:eastAsia="hr-HR"/>
        </w:rPr>
        <w:t>R J E Š E N J E</w:t>
      </w:r>
    </w:p>
    <w:p w:rsidRDefault="00780B5F" w:rsidP="00780B5F" w:rsidR="00780B5F" w:rsidRPr="00780B5F">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noProof/>
          <w:szCs w:val="20"/>
          <w:lang w:eastAsia="hr-HR"/>
        </w:rPr>
      </w:pPr>
      <w:r w:rsidRPr="00780B5F">
        <w:rPr>
          <w:rFonts w:cs="Times New Roman" w:eastAsia="Times New Roman"/>
          <w:noProof/>
          <w:szCs w:val="20"/>
          <w:lang w:eastAsia="hr-HR"/>
        </w:rPr>
        <w:t xml:space="preserve">TRGOVAČKI SUD U BJELOVARU, po stečajnom sucu Mariji Petrina Kubica, </w:t>
      </w:r>
      <w:r w:rsidRPr="00780B5F">
        <w:rPr>
          <w:rFonts w:cs="Times New Roman" w:eastAsia="Times New Roman"/>
          <w:szCs w:val="20"/>
          <w:lang w:eastAsia="hr-HR"/>
        </w:rPr>
        <w:t xml:space="preserve">povodom prijedloga Financijske agencije, OIB: 85821130368, RC ZAGREB, Podružnica Bjelovar, Bjelovar, F. Supila 4, za otvaranje stečajnog postupka nad dužnikom INTEL DOM jednostavno društvo s ograničenom odgovornošću za graditeljstvo, trgovinu i usluge, </w:t>
      </w:r>
      <w:proofErr w:type="spellStart"/>
      <w:r w:rsidRPr="00780B5F">
        <w:rPr>
          <w:rFonts w:cs="Times New Roman" w:eastAsia="Times New Roman"/>
          <w:szCs w:val="20"/>
          <w:lang w:eastAsia="hr-HR"/>
        </w:rPr>
        <w:t>Babotok</w:t>
      </w:r>
      <w:proofErr w:type="spellEnd"/>
      <w:r w:rsidRPr="00780B5F">
        <w:rPr>
          <w:rFonts w:cs="Times New Roman" w:eastAsia="Times New Roman"/>
          <w:szCs w:val="20"/>
          <w:lang w:eastAsia="hr-HR"/>
        </w:rPr>
        <w:t xml:space="preserve">, </w:t>
      </w:r>
      <w:proofErr w:type="spellStart"/>
      <w:r w:rsidRPr="00780B5F">
        <w:rPr>
          <w:rFonts w:cs="Times New Roman" w:eastAsia="Times New Roman"/>
          <w:szCs w:val="20"/>
          <w:lang w:eastAsia="hr-HR"/>
        </w:rPr>
        <w:t>Babotok</w:t>
      </w:r>
      <w:proofErr w:type="spellEnd"/>
      <w:r w:rsidRPr="00780B5F">
        <w:rPr>
          <w:rFonts w:cs="Times New Roman" w:eastAsia="Times New Roman"/>
          <w:szCs w:val="20"/>
          <w:lang w:eastAsia="hr-HR"/>
        </w:rPr>
        <w:t xml:space="preserve"> 26, MBS: 010090680, OIB: 63445182772, 18. svibnja 2017.</w:t>
      </w:r>
    </w:p>
    <w:p w:rsidRDefault="00780B5F" w:rsidP="00780B5F" w:rsidR="00780B5F" w:rsidRPr="00780B5F">
      <w:pPr>
        <w:overflowPunct w:val="false"/>
        <w:autoSpaceDE w:val="false"/>
        <w:autoSpaceDN w:val="false"/>
        <w:adjustRightInd w:val="false"/>
        <w:spacing w:after="0"/>
        <w:rPr>
          <w:rFonts w:cs="Times New Roman" w:eastAsia="Times New Roman"/>
          <w:szCs w:val="20"/>
          <w:lang w:eastAsia="hr-HR"/>
        </w:rPr>
      </w:pPr>
    </w:p>
    <w:p w:rsidRDefault="00780B5F" w:rsidP="00780B5F" w:rsidR="00780B5F" w:rsidRPr="00780B5F">
      <w:pPr>
        <w:overflowPunct w:val="false"/>
        <w:autoSpaceDE w:val="false"/>
        <w:autoSpaceDN w:val="false"/>
        <w:adjustRightInd w:val="false"/>
        <w:spacing w:after="0"/>
        <w:jc w:val="center"/>
        <w:rPr>
          <w:rFonts w:cs="Times New Roman" w:eastAsia="Times New Roman"/>
          <w:szCs w:val="20"/>
          <w:lang w:eastAsia="hr-HR"/>
        </w:rPr>
      </w:pPr>
      <w:r w:rsidRPr="00780B5F">
        <w:rPr>
          <w:rFonts w:cs="Times New Roman" w:eastAsia="Times New Roman"/>
          <w:szCs w:val="20"/>
          <w:lang w:eastAsia="hr-HR"/>
        </w:rPr>
        <w:t>r i j e š i o   j e</w:t>
      </w:r>
    </w:p>
    <w:p w:rsidRDefault="00780B5F" w:rsidP="00780B5F" w:rsidR="00780B5F" w:rsidRPr="00780B5F">
      <w:pPr>
        <w:overflowPunct w:val="false"/>
        <w:autoSpaceDE w:val="false"/>
        <w:autoSpaceDN w:val="false"/>
        <w:adjustRightInd w:val="false"/>
        <w:spacing w:after="0"/>
        <w:jc w:val="center"/>
        <w:rPr>
          <w:rFonts w:cs="Times New Roman" w:eastAsia="Times New Roman"/>
          <w:szCs w:val="20"/>
          <w:lang w:eastAsia="hr-HR"/>
        </w:rPr>
      </w:pP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szCs w:val="20"/>
          <w:lang w:eastAsia="hr-HR"/>
        </w:rPr>
      </w:pPr>
      <w:r w:rsidRPr="00780B5F">
        <w:rPr>
          <w:rFonts w:cs="Times New Roman" w:eastAsia="Times New Roman"/>
          <w:szCs w:val="20"/>
          <w:lang w:eastAsia="hr-HR"/>
        </w:rPr>
        <w:t xml:space="preserve">I.  Odbija se prijedlog za otvaranje stečajnog postupka nad dužnikom INTEL DOM jednostavno društvo s ograničenom odgovornošću za graditeljstvo, trgovinu i usluge, </w:t>
      </w:r>
      <w:proofErr w:type="spellStart"/>
      <w:r w:rsidRPr="00780B5F">
        <w:rPr>
          <w:rFonts w:cs="Times New Roman" w:eastAsia="Times New Roman"/>
          <w:szCs w:val="20"/>
          <w:lang w:eastAsia="hr-HR"/>
        </w:rPr>
        <w:t>Babotok</w:t>
      </w:r>
      <w:proofErr w:type="spellEnd"/>
      <w:r w:rsidRPr="00780B5F">
        <w:rPr>
          <w:rFonts w:cs="Times New Roman" w:eastAsia="Times New Roman"/>
          <w:szCs w:val="20"/>
          <w:lang w:eastAsia="hr-HR"/>
        </w:rPr>
        <w:t xml:space="preserve">, </w:t>
      </w:r>
      <w:proofErr w:type="spellStart"/>
      <w:r w:rsidRPr="00780B5F">
        <w:rPr>
          <w:rFonts w:cs="Times New Roman" w:eastAsia="Times New Roman"/>
          <w:szCs w:val="20"/>
          <w:lang w:eastAsia="hr-HR"/>
        </w:rPr>
        <w:t>Babotok</w:t>
      </w:r>
      <w:proofErr w:type="spellEnd"/>
      <w:r w:rsidRPr="00780B5F">
        <w:rPr>
          <w:rFonts w:cs="Times New Roman" w:eastAsia="Times New Roman"/>
          <w:szCs w:val="20"/>
          <w:lang w:eastAsia="hr-HR"/>
        </w:rPr>
        <w:t xml:space="preserve"> 26.</w:t>
      </w: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szCs w:val="20"/>
          <w:lang w:eastAsia="hr-HR"/>
        </w:rPr>
      </w:pP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szCs w:val="20"/>
          <w:lang w:eastAsia="hr-HR"/>
        </w:rPr>
      </w:pPr>
      <w:r w:rsidRPr="00780B5F">
        <w:rPr>
          <w:rFonts w:cs="Times New Roman" w:eastAsia="Times New Roman"/>
          <w:noProof/>
          <w:lang w:eastAsia="hr-HR"/>
        </w:rPr>
        <w:t xml:space="preserve">II. Ukida se mjera osiguranja postavljanjem privremenog stečajnog upravitelja Tanasije Markovića, po rješenju ovog suda posl. br. 5 St-1328/2016-6 od  10. ožujka </w:t>
      </w:r>
      <w:r w:rsidRPr="00780B5F">
        <w:rPr>
          <w:rFonts w:cs="Times New Roman" w:eastAsia="Times New Roman"/>
          <w:szCs w:val="20"/>
          <w:lang w:eastAsia="hr-HR"/>
        </w:rPr>
        <w:t xml:space="preserve">2017. </w:t>
      </w: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noProof/>
          <w:lang w:eastAsia="hr-HR"/>
        </w:rPr>
      </w:pP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noProof/>
          <w:lang w:eastAsia="hr-HR"/>
        </w:rPr>
      </w:pPr>
      <w:r w:rsidRPr="00780B5F">
        <w:rPr>
          <w:rFonts w:cs="Times New Roman" w:eastAsia="Times New Roman"/>
          <w:noProof/>
          <w:lang w:eastAsia="hr-HR"/>
        </w:rPr>
        <w:t>III. Rješenje se dostavlja sudskom registru ovoga suda radi upisa točke II. izreke rješenja.</w:t>
      </w:r>
    </w:p>
    <w:p w:rsidRDefault="00780B5F" w:rsidP="00780B5F" w:rsidR="00780B5F" w:rsidRPr="00780B5F">
      <w:pPr>
        <w:overflowPunct w:val="false"/>
        <w:autoSpaceDE w:val="false"/>
        <w:autoSpaceDN w:val="false"/>
        <w:adjustRightInd w:val="false"/>
        <w:spacing w:after="0"/>
        <w:jc w:val="center"/>
        <w:rPr>
          <w:rFonts w:cs="Times New Roman" w:eastAsia="Times New Roman"/>
          <w:szCs w:val="20"/>
          <w:lang w:eastAsia="hr-HR"/>
        </w:rPr>
      </w:pPr>
    </w:p>
    <w:p w:rsidRDefault="00780B5F" w:rsidP="00780B5F" w:rsidR="00780B5F" w:rsidRPr="00780B5F">
      <w:pPr>
        <w:overflowPunct w:val="false"/>
        <w:autoSpaceDE w:val="false"/>
        <w:autoSpaceDN w:val="false"/>
        <w:adjustRightInd w:val="false"/>
        <w:spacing w:after="0"/>
        <w:jc w:val="center"/>
        <w:rPr>
          <w:rFonts w:cs="Times New Roman" w:eastAsia="Times New Roman"/>
          <w:szCs w:val="20"/>
          <w:lang w:eastAsia="hr-HR"/>
        </w:rPr>
      </w:pPr>
      <w:r w:rsidRPr="00780B5F">
        <w:rPr>
          <w:rFonts w:cs="Times New Roman" w:eastAsia="Times New Roman"/>
          <w:szCs w:val="20"/>
          <w:lang w:eastAsia="hr-HR"/>
        </w:rPr>
        <w:t>Obrazloženje</w:t>
      </w:r>
    </w:p>
    <w:p w:rsidRDefault="00780B5F" w:rsidP="00780B5F" w:rsidR="00780B5F" w:rsidRPr="00780B5F">
      <w:pPr>
        <w:overflowPunct w:val="false"/>
        <w:autoSpaceDE w:val="false"/>
        <w:autoSpaceDN w:val="false"/>
        <w:adjustRightInd w:val="false"/>
        <w:spacing w:after="0"/>
        <w:jc w:val="center"/>
        <w:rPr>
          <w:rFonts w:cs="Times New Roman" w:eastAsia="Times New Roman"/>
          <w:szCs w:val="20"/>
          <w:lang w:eastAsia="hr-HR"/>
        </w:rPr>
      </w:pP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szCs w:val="20"/>
          <w:lang w:eastAsia="hr-HR"/>
        </w:rPr>
      </w:pPr>
      <w:r w:rsidRPr="00780B5F">
        <w:rPr>
          <w:rFonts w:cs="Times New Roman" w:eastAsia="Times New Roman"/>
          <w:szCs w:val="20"/>
          <w:lang w:eastAsia="hr-HR"/>
        </w:rPr>
        <w:t xml:space="preserve">Po prijedlogu FINE sud je temeljem čl.115. st.1. Stečajnog zakona ("Narodne novine" broj 71/15, dalje: SZ) donio rješenje o pokretanju prethodnog postupka radi utvrđivanja pretpostavki za otvaranje stečajnog postupka </w:t>
      </w:r>
      <w:r w:rsidRPr="00780B5F">
        <w:rPr>
          <w:rFonts w:cs="Times New Roman" w:eastAsia="SimSun"/>
          <w:szCs w:val="20"/>
          <w:lang w:eastAsia="zh-CN"/>
        </w:rPr>
        <w:t>i s</w:t>
      </w:r>
      <w:r w:rsidRPr="00780B5F">
        <w:rPr>
          <w:rFonts w:cs="Times New Roman" w:eastAsia="Times New Roman"/>
          <w:szCs w:val="20"/>
          <w:lang w:eastAsia="hr-HR"/>
        </w:rPr>
        <w:t xml:space="preserve">azvao ročište radi izjašnjenja o prijedlogu i rasprave o uvjetima za otvaranje stečajnog postupka za dan 2. prosinca 2016. Ujedno je naloženo zakonskom zastupniku dužnika Ivani Crnjak da u roku od 15 dana od objave ovog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 te dostavi sudu obrazac godišnjeg financijskog izvješća (GFI-POD) za 2015. sa bilješkama i bruto bilancu za 2015.  </w:t>
      </w:r>
    </w:p>
    <w:p w:rsidRDefault="00780B5F" w:rsidP="00780B5F" w:rsidR="00780B5F" w:rsidRPr="00780B5F">
      <w:pPr>
        <w:overflowPunct w:val="false"/>
        <w:autoSpaceDE w:val="false"/>
        <w:autoSpaceDN w:val="false"/>
        <w:adjustRightInd w:val="false"/>
        <w:spacing w:after="0"/>
        <w:rPr>
          <w:rFonts w:cs="Times New Roman" w:eastAsia="Times New Roman"/>
          <w:szCs w:val="20"/>
          <w:lang w:eastAsia="hr-HR"/>
        </w:rPr>
      </w:pP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szCs w:val="20"/>
          <w:lang w:eastAsia="hr-HR"/>
        </w:rPr>
      </w:pPr>
      <w:r w:rsidRPr="00780B5F">
        <w:rPr>
          <w:rFonts w:cs="Times New Roman" w:eastAsia="Times New Roman"/>
          <w:szCs w:val="20"/>
          <w:lang w:eastAsia="hr-HR"/>
        </w:rPr>
        <w:t xml:space="preserve">Zakonski zastupnik dužnika nije došao na ročište 2. prosinca 2016. </w:t>
      </w: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szCs w:val="20"/>
          <w:lang w:eastAsia="hr-HR"/>
        </w:rPr>
      </w:pP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szCs w:val="20"/>
          <w:lang w:eastAsia="hr-HR"/>
        </w:rPr>
      </w:pPr>
      <w:r w:rsidRPr="00780B5F">
        <w:rPr>
          <w:rFonts w:cs="Times New Roman" w:eastAsia="Times New Roman"/>
          <w:szCs w:val="20"/>
          <w:lang w:eastAsia="hr-HR"/>
        </w:rPr>
        <w:lastRenderedPageBreak/>
        <w:t xml:space="preserve">Sud je izvršio uvid u javno dostupne podatke o podnošenju RGFI, objavljene na web stranicama FINE (list 12-15) te utvrdio da je dužnik podnio Financijski izvještaj za 2015. iz kojeg proizlazi da dužnik ima dugotrajnu imovinu u iznosu od 127.005,00 kn te kratkotrajnu imovinu u iznosu od 132.468,00 kn. Kako je iz navedenog proizlazilo da je dužnik 2015. godine imao imovinu kojom bi se mogli pokriti troškovi vođenja stečajnog postupka, no nije bilo poznato ima li dužnik i sada navedenu imovinu, sud je rješenjem od 8. rujna 2016., temeljem odredbe čl.118. st.1. SZ-a, imenovao privremenog stečajnog upravitelja </w:t>
      </w:r>
      <w:proofErr w:type="spellStart"/>
      <w:r w:rsidRPr="00780B5F">
        <w:rPr>
          <w:rFonts w:cs="Times New Roman" w:eastAsia="Times New Roman"/>
          <w:szCs w:val="20"/>
          <w:lang w:eastAsia="hr-HR"/>
        </w:rPr>
        <w:t>Tanasiju</w:t>
      </w:r>
      <w:proofErr w:type="spellEnd"/>
      <w:r w:rsidRPr="00780B5F">
        <w:rPr>
          <w:rFonts w:cs="Times New Roman" w:eastAsia="Times New Roman"/>
          <w:szCs w:val="20"/>
          <w:lang w:eastAsia="hr-HR"/>
        </w:rPr>
        <w:t xml:space="preserve"> Markovića, kojem je naloženo ispitati postoji li imovina dužnika i mogu li se tom imovinom namiriti troškovi stečajnog postupka (čl.119. st.2. i 5. SZ-a).</w:t>
      </w: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szCs w:val="20"/>
          <w:lang w:eastAsia="hr-HR"/>
        </w:rPr>
      </w:pP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noProof/>
          <w:lang w:eastAsia="hr-HR"/>
        </w:rPr>
      </w:pPr>
      <w:r w:rsidRPr="00780B5F">
        <w:rPr>
          <w:rFonts w:cs="Times New Roman" w:eastAsia="Times New Roman"/>
          <w:noProof/>
          <w:lang w:eastAsia="hr-HR"/>
        </w:rPr>
        <w:t xml:space="preserve">Privremeni stečajni upravitelj je u pisanom izvješću zaprimljenom 10. travnja 2017. (list 21-22) naveo da je dužnik tijekom 2015. bio u blokadi i negativno poslovao. No, iz knjigovodstvenih podataka dužnika proizlazi da su na dan 16. ožujka 2017. podmirene obveze u pretplati za 10.435,11 kn a iz stanja računa poreznog obveznika na dan 31. ožujka 2017. dobivenog od Porezne uprave je vidljivo da porezni obveznik ima pretplatu u iznosu od 16.780,86 kn. Na temelju podataka o solventnosti na dan 15. ožujka 2017. stečajni upravitelj je utvrdio da dužnik nije u blokadi i da nema nepodmirenih obveza. Privremeni stečajni upravitelj je zaključio da nije ispinjen ni jedan od stečajnih razloga (prezaduženost i nesposobnost za plaćanje). Predložio je odbacivanje prijedloga za otvaranje stečajnog postupka. </w:t>
      </w: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noProof/>
          <w:lang w:eastAsia="hr-HR"/>
        </w:rPr>
      </w:pP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noProof/>
          <w:lang w:eastAsia="hr-HR"/>
        </w:rPr>
      </w:pPr>
      <w:r w:rsidRPr="00780B5F">
        <w:rPr>
          <w:rFonts w:cs="Times New Roman" w:eastAsia="Times New Roman"/>
          <w:noProof/>
          <w:lang w:eastAsia="hr-HR"/>
        </w:rPr>
        <w:t>Predlagatelj FINA i zakonski zastupnik dužnika nisu se očitovali o izvješću privremenog stečajnog upravitelja.</w:t>
      </w: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noProof/>
          <w:lang w:eastAsia="hr-HR"/>
        </w:rPr>
      </w:pPr>
    </w:p>
    <w:p w:rsidRDefault="00780B5F" w:rsidP="00780B5F" w:rsidR="00780B5F" w:rsidRPr="00780B5F">
      <w:pPr>
        <w:overflowPunct w:val="false"/>
        <w:autoSpaceDE w:val="false"/>
        <w:autoSpaceDN w:val="false"/>
        <w:adjustRightInd w:val="false"/>
        <w:spacing w:after="0"/>
        <w:ind w:firstLine="851"/>
        <w:jc w:val="both"/>
        <w:rPr>
          <w:rFonts w:cs="Times New Roman" w:eastAsia="Times New Roman"/>
          <w:szCs w:val="20"/>
          <w:lang w:eastAsia="hr-HR"/>
        </w:rPr>
      </w:pPr>
      <w:r w:rsidRPr="00780B5F">
        <w:rPr>
          <w:rFonts w:cs="Times New Roman" w:eastAsia="Times New Roman"/>
          <w:noProof/>
          <w:lang w:eastAsia="hr-HR"/>
        </w:rPr>
        <w:t xml:space="preserve">Na temelju izvješća privremenog stečajnog upravitelja te uvida u podatke o solventnosti dužnika na dan 15. ožujka 2017. (list 23), stanje računa poreznog obveznika na dan 31. ožujka 2017. (list 24) i bruto bilancu dužnika za 2014. i 2015., sud utvrđuje da nisu ispunjeni stečajni razlozi nesposobnosti za plaćanje i prezaduženosti i prijedlog za otvaranje stečajnog postupka je temeljem odredbe čl.128. st.6. SZ-a odbijen. </w:t>
      </w:r>
    </w:p>
    <w:p w:rsidRDefault="00780B5F" w:rsidP="00780B5F" w:rsidR="00780B5F" w:rsidRPr="00780B5F">
      <w:pPr>
        <w:overflowPunct w:val="false"/>
        <w:autoSpaceDE w:val="false"/>
        <w:autoSpaceDN w:val="false"/>
        <w:adjustRightInd w:val="false"/>
        <w:spacing w:after="0"/>
        <w:jc w:val="both"/>
        <w:rPr>
          <w:rFonts w:cs="Times New Roman" w:eastAsia="Times New Roman"/>
          <w:noProof/>
          <w:szCs w:val="20"/>
          <w:lang w:eastAsia="hr-HR"/>
        </w:rPr>
      </w:pPr>
    </w:p>
    <w:p w:rsidRDefault="00780B5F" w:rsidP="00780B5F" w:rsidR="00780B5F" w:rsidRPr="00780B5F">
      <w:pPr>
        <w:overflowPunct w:val="false"/>
        <w:autoSpaceDE w:val="false"/>
        <w:autoSpaceDN w:val="false"/>
        <w:adjustRightInd w:val="false"/>
        <w:spacing w:after="0"/>
        <w:jc w:val="center"/>
        <w:rPr>
          <w:rFonts w:cs="Times New Roman" w:eastAsia="Times New Roman"/>
          <w:noProof/>
          <w:szCs w:val="20"/>
          <w:lang w:eastAsia="hr-HR"/>
        </w:rPr>
      </w:pPr>
      <w:r w:rsidRPr="00780B5F">
        <w:rPr>
          <w:rFonts w:cs="Times New Roman" w:eastAsia="Times New Roman"/>
          <w:noProof/>
          <w:szCs w:val="20"/>
          <w:lang w:eastAsia="hr-HR"/>
        </w:rPr>
        <w:t xml:space="preserve">U Bjelovaru, 18. svibnja 2017.  </w:t>
      </w:r>
    </w:p>
    <w:p w:rsidRDefault="00780B5F" w:rsidP="00780B5F" w:rsidR="00780B5F" w:rsidRPr="00780B5F">
      <w:pPr>
        <w:overflowPunct w:val="false"/>
        <w:autoSpaceDE w:val="false"/>
        <w:autoSpaceDN w:val="false"/>
        <w:adjustRightInd w:val="false"/>
        <w:spacing w:after="0"/>
        <w:jc w:val="both"/>
        <w:rPr>
          <w:rFonts w:cs="Times New Roman" w:eastAsia="Times New Roman"/>
          <w:noProof/>
          <w:szCs w:val="20"/>
          <w:lang w:eastAsia="hr-HR"/>
        </w:rPr>
      </w:pPr>
    </w:p>
    <w:p w:rsidRDefault="00780B5F" w:rsidP="00780B5F" w:rsidR="00780B5F" w:rsidRPr="00780B5F">
      <w:pPr>
        <w:overflowPunct w:val="false"/>
        <w:autoSpaceDE w:val="false"/>
        <w:autoSpaceDN w:val="false"/>
        <w:adjustRightInd w:val="false"/>
        <w:spacing w:after="0"/>
        <w:ind w:firstLine="5245"/>
        <w:jc w:val="both"/>
        <w:rPr>
          <w:rFonts w:cs="Times New Roman" w:eastAsia="Times New Roman"/>
          <w:noProof/>
          <w:szCs w:val="20"/>
          <w:lang w:eastAsia="hr-HR"/>
        </w:rPr>
      </w:pPr>
      <w:r w:rsidRPr="00780B5F">
        <w:rPr>
          <w:rFonts w:cs="Times New Roman" w:eastAsia="Times New Roman"/>
          <w:noProof/>
          <w:szCs w:val="20"/>
          <w:lang w:eastAsia="hr-HR"/>
        </w:rPr>
        <w:t>STEČAJNI SUDAC</w:t>
      </w:r>
    </w:p>
    <w:p w:rsidRDefault="00780B5F" w:rsidP="00780B5F" w:rsidR="00780B5F" w:rsidRPr="00780B5F">
      <w:pPr>
        <w:overflowPunct w:val="false"/>
        <w:autoSpaceDE w:val="false"/>
        <w:autoSpaceDN w:val="false"/>
        <w:adjustRightInd w:val="false"/>
        <w:spacing w:after="0"/>
        <w:ind w:firstLine="4678"/>
        <w:jc w:val="both"/>
        <w:rPr>
          <w:rFonts w:cs="Times New Roman" w:eastAsia="Times New Roman"/>
          <w:noProof/>
          <w:szCs w:val="20"/>
          <w:lang w:eastAsia="hr-HR"/>
        </w:rPr>
      </w:pPr>
      <w:r w:rsidRPr="00780B5F">
        <w:rPr>
          <w:rFonts w:cs="Times New Roman" w:eastAsia="Times New Roman"/>
          <w:noProof/>
          <w:szCs w:val="20"/>
          <w:lang w:eastAsia="hr-HR"/>
        </w:rPr>
        <w:t>MARIJA PETRINA KUBICA v.r.</w:t>
      </w:r>
    </w:p>
    <w:p w:rsidRDefault="00780B5F" w:rsidP="00780B5F" w:rsidR="00780B5F" w:rsidRPr="00780B5F">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780B5F" w:rsidP="00780B5F" w:rsidR="00780B5F" w:rsidRPr="00780B5F">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780B5F">
        <w:rPr>
          <w:rFonts w:cs="Times New Roman" w:eastAsia="Times New Roman"/>
          <w:noProof/>
          <w:szCs w:val="20"/>
          <w:lang w:eastAsia="hr-HR"/>
        </w:rPr>
        <w:t>Za točnost otpravka-</w:t>
      </w:r>
    </w:p>
    <w:p w:rsidRDefault="00780B5F" w:rsidP="00780B5F" w:rsidR="00780B5F" w:rsidRPr="00780B5F">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780B5F">
        <w:rPr>
          <w:rFonts w:cs="Times New Roman" w:eastAsia="Times New Roman"/>
          <w:noProof/>
          <w:szCs w:val="20"/>
          <w:lang w:eastAsia="hr-HR"/>
        </w:rPr>
        <w:t>ovlašteni službenik</w:t>
      </w:r>
    </w:p>
    <w:p w:rsidRDefault="00780B5F" w:rsidP="00780B5F" w:rsidR="00780B5F" w:rsidRPr="00780B5F">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780B5F">
        <w:rPr>
          <w:rFonts w:cs="Times New Roman" w:eastAsia="Times New Roman"/>
          <w:noProof/>
          <w:szCs w:val="20"/>
          <w:lang w:eastAsia="hr-HR"/>
        </w:rPr>
        <w:t xml:space="preserve">     Željka Vitez</w:t>
      </w:r>
    </w:p>
    <w:p w:rsidRDefault="00780B5F" w:rsidP="00780B5F" w:rsidR="00780B5F" w:rsidRPr="00780B5F">
      <w:pPr>
        <w:overflowPunct w:val="false"/>
        <w:autoSpaceDE w:val="false"/>
        <w:autoSpaceDN w:val="false"/>
        <w:adjustRightInd w:val="false"/>
        <w:spacing w:after="0"/>
        <w:jc w:val="both"/>
        <w:rPr>
          <w:rFonts w:cs="Times New Roman" w:eastAsia="Times New Roman"/>
          <w:noProof/>
          <w:szCs w:val="20"/>
          <w:lang w:eastAsia="hr-HR"/>
        </w:rPr>
      </w:pPr>
    </w:p>
    <w:p w:rsidRDefault="00780B5F" w:rsidP="00780B5F" w:rsidR="00780B5F" w:rsidRPr="00780B5F">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780B5F" w:rsidP="00780B5F" w:rsidR="00780B5F" w:rsidRPr="00780B5F">
      <w:pPr>
        <w:overflowPunct w:val="false"/>
        <w:autoSpaceDE w:val="false"/>
        <w:autoSpaceDN w:val="false"/>
        <w:adjustRightInd w:val="false"/>
        <w:spacing w:after="0"/>
        <w:jc w:val="both"/>
        <w:rPr>
          <w:rFonts w:cs="Times New Roman" w:eastAsia="Times New Roman"/>
          <w:noProof/>
          <w:szCs w:val="20"/>
          <w:lang w:eastAsia="hr-HR"/>
        </w:rPr>
      </w:pPr>
    </w:p>
    <w:p w:rsidRDefault="00780B5F" w:rsidP="00780B5F" w:rsidR="00780B5F" w:rsidRPr="00780B5F">
      <w:pPr>
        <w:overflowPunct w:val="false"/>
        <w:autoSpaceDE w:val="false"/>
        <w:autoSpaceDN w:val="false"/>
        <w:adjustRightInd w:val="false"/>
        <w:spacing w:after="0"/>
        <w:jc w:val="both"/>
        <w:rPr>
          <w:rFonts w:cs="Times New Roman" w:eastAsia="Times New Roman"/>
          <w:szCs w:val="20"/>
          <w:lang w:eastAsia="hr-HR"/>
        </w:rPr>
      </w:pPr>
      <w:r w:rsidRPr="00780B5F">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0B5F"/>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55381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St-1328/2016-14</izvorni_sadrzaj>
    <derivirana_varijabla naziv="DomainObject.Oznaka_1">St-1328/2016-14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1328</izvorni_sadrzaj>
    <derivirana_varijabla naziv="DomainObject.Predmet.Broj_1">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St-1328/2016</izvorni_sadrzaj>
    <derivirana_varijabla naziv="DomainObject.Predmet.OznakaBroj_1">St-1328/2016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INTEL DOM jednostavno društvo s ograničenom odgovornošću za graditeljstvo, trgovinu i usluge</izvorni_sadrzaj>
    <derivirana_varijabla naziv="DomainObject.Predmet.ProtustrankaFormated_1">  INTEL DOM jednostavno društvo s ograničenom odgovornošću za graditeljstvo, trgovinu i usluge</derivirana_varijabla>
  </DomainObject.Predmet.ProtustrankaFormated>
  <DomainObject.Predmet.ProtustrankaFormatedOIB>
    <izvorni_sadrzaj>  INTEL DOM jednostavno društvo s ograničenom odgovornošću za graditeljstvo, trgovinu i usluge, OIB 63445182772</izvorni_sadrzaj>
    <derivirana_varijabla naziv="DomainObject.Predmet.ProtustrankaFormatedOIB_1">  INTEL DOM jednostavno društvo s ograničenom odgovornošću za graditeljstvo, trgovinu i usluge, OIB 63445182772</derivirana_varijabla>
  </DomainObject.Predmet.ProtustrankaFormatedOIB>
  <DomainObject.Predmet.ProtustrankaFormatedWithAdress>
    <izvorni_sadrzaj> INTEL DOM jednostavno društvo s ograničenom odgovornošću za graditeljstvo, trgovinu i usluge, Babotok 26, 43000 Babotok</izvorni_sadrzaj>
    <derivirana_varijabla naziv="DomainObject.Predmet.ProtustrankaFormatedWithAdress_1"> INTEL DOM jednostavno društvo s ograničenom odgovornošću za graditeljstvo, trgovinu i usluge, Babotok 26, 43000 Babotok</derivirana_varijabla>
  </DomainObject.Predmet.ProtustrankaFormatedWithAdress>
  <DomainObject.Predmet.ProtustrankaFormatedWithAdressOIB>
    <izvorni_sadrzaj> INTEL DOM jednostavno društvo s ograničenom odgovornošću za graditeljstvo, trgovinu i usluge, OIB 63445182772, Babotok 26, 43000 Babotok</izvorni_sadrzaj>
    <derivirana_varijabla naziv="DomainObject.Predmet.ProtustrankaFormatedWithAdressOIB_1"> INTEL DOM jednostavno društvo s ograničenom odgovornošću za graditeljstvo, trgovinu i usluge, OIB 63445182772, Babotok 26, 43000 Babotok</derivirana_varijabla>
  </DomainObject.Predmet.ProtustrankaFormatedWithAdressOIB>
  <DomainObject.Predmet.ProtustrankaWithAdress>
    <izvorni_sadrzaj>INTEL DOM jednostavno društvo s ograničenom odgovornošću za graditeljstvo, trgovinu i usluge Babotok 26, 43000 Babotok</izvorni_sadrzaj>
    <derivirana_varijabla naziv="DomainObject.Predmet.ProtustrankaWithAdress_1">INTEL DOM jednostavno društvo s ograničenom odgovornošću za graditeljstvo, trgovinu i usluge Babotok 26, 43000 Babotok</derivirana_varijabla>
  </DomainObject.Predmet.ProtustrankaWithAdress>
  <DomainObject.Predmet.ProtustrankaWithAdressOIB>
    <izvorni_sadrzaj>INTEL DOM jednostavno društvo s ograničenom odgovornošću za graditeljstvo, trgovinu i usluge, OIB 63445182772, Babotok 26, 43000 Babotok</izvorni_sadrzaj>
    <derivirana_varijabla naziv="DomainObject.Predmet.ProtustrankaWithAdressOIB_1">INTEL DOM jednostavno društvo s ograničenom odgovornošću za graditeljstvo, trgovinu i usluge, OIB 63445182772, Babotok 26, 43000 Babotok</derivirana_varijabla>
  </DomainObject.Predmet.ProtustrankaWithAdressOIB>
  <DomainObject.Predmet.ProtustrankaNazivFormated>
    <izvorni_sadrzaj>INTEL DOM jednostavno društvo s ograničenom odgovornošću za graditeljstvo, trgovinu i usluge</izvorni_sadrzaj>
    <derivirana_varijabla naziv="DomainObject.Predmet.ProtustrankaNazivFormated_1">INTEL DOM jednostavno društvo s ograničenom odgovornošću za graditeljstvo, trgovinu i usluge</derivirana_varijabla>
  </DomainObject.Predmet.ProtustrankaNazivFormated>
  <DomainObject.Predmet.ProtustrankaNazivFormatedOIB>
    <izvorni_sadrzaj>INTEL DOM jednostavno društvo s ograničenom odgovornošću za graditeljstvo, trgovinu i usluge, OIB 63445182772</izvorni_sadrzaj>
    <derivirana_varijabla naziv="DomainObject.Predmet.ProtustrankaNazivFormatedOIB_1">INTEL DOM jednostavno društvo s ograničenom odgovornošću za graditeljstvo, trgovinu i usluge, OIB 63445182772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INTEL DOM jednostavno društvo s ograničenom odgovornošću za graditeljstvo, trgovinu i usluge</item>
    </izvorni_sadrzaj>
    <derivirana_varijabla naziv="DomainObject.Predmet.ProtuStrankaListFormated_1">
      <item>INTEL DOM jednostavno društvo s ograničenom odgovornošću za graditeljstvo, trgovinu i usluge</item>
    </derivirana_varijabla>
  </DomainObject.Predmet.ProtuStrankaListFormated>
  <DomainObject.Predmet.ProtuStrankaListFormatedOIB>
    <izvorni_sadrzaj>
      <item>INTEL DOM jednostavno društvo s ograničenom odgovornošću za graditeljstvo, trgovinu i usluge, OIB 63445182772</item>
    </izvorni_sadrzaj>
    <derivirana_varijabla naziv="DomainObject.Predmet.ProtuStrankaListFormatedOIB_1">
      <item>INTEL DOM jednostavno društvo s ograničenom odgovornošću za graditeljstvo, trgovinu i usluge, OIB 63445182772</item>
    </derivirana_varijabla>
  </DomainObject.Predmet.ProtuStrankaListFormatedOIB>
  <DomainObject.Predmet.ProtuStrankaListFormatedWithAdress>
    <izvorni_sadrzaj>
      <item>INTEL DOM jednostavno društvo s ograničenom odgovornošću za graditeljstvo, trgovinu i usluge, Babotok 26, 43000 Babotok</item>
    </izvorni_sadrzaj>
    <derivirana_varijabla naziv="DomainObject.Predmet.ProtuStrankaListFormatedWithAdress_1">
      <item>INTEL DOM jednostavno društvo s ograničenom odgovornošću za graditeljstvo, trgovinu i usluge, Babotok 26, 43000 Babotok</item>
    </derivirana_varijabla>
  </DomainObject.Predmet.ProtuStrankaListFormatedWithAdress>
  <DomainObject.Predmet.ProtuStrankaListFormatedWithAdressOIB>
    <izvorni_sadrzaj>
      <item>INTEL DOM jednostavno društvo s ograničenom odgovornošću za graditeljstvo, trgovinu i usluge, OIB 63445182772, Babotok 26, 43000 Babotok</item>
    </izvorni_sadrzaj>
    <derivirana_varijabla naziv="DomainObject.Predmet.ProtuStrankaListFormatedWithAdressOIB_1">
      <item>INTEL DOM jednostavno društvo s ograničenom odgovornošću za graditeljstvo, trgovinu i usluge, OIB 63445182772, Babotok 26, 43000 Babotok</item>
    </derivirana_varijabla>
  </DomainObject.Predmet.ProtuStrankaListFormatedWithAdressOIB>
  <DomainObject.Predmet.ProtuStrankaListNazivFormated>
    <izvorni_sadrzaj>
      <item>INTEL DOM jednostavno društvo s ograničenom odgovornošću za graditeljstvo, trgovinu i usluge</item>
    </izvorni_sadrzaj>
    <derivirana_varijabla naziv="DomainObject.Predmet.ProtuStrankaListNazivFormated_1">
      <item>INTEL DOM jednostavno društvo s ograničenom odgovornošću za graditeljstvo, trgovinu i usluge</item>
    </derivirana_varijabla>
  </DomainObject.Predmet.ProtuStrankaListNazivFormated>
  <DomainObject.Predmet.ProtuStrankaListNazivFormatedOIB>
    <izvorni_sadrzaj>
      <item>INTEL DOM jednostavno društvo s ograničenom odgovornošću za graditeljstvo, trgovinu i usluge, OIB 63445182772</item>
    </izvorni_sadrzaj>
    <derivirana_varijabla naziv="DomainObject.Predmet.ProtuStrankaListNazivFormatedOIB_1">
      <item>INTEL DOM jednostavno društvo s ograničenom odgovornošću za graditeljstvo, trgovinu i usluge, OIB 63445182772</item>
    </derivirana_varijabla>
  </DomainObject.Predmet.ProtuStrankaListNazivFormatedOIB>
  <DomainObject.Predmet.OstaliListFormated>
    <izvorni_sadrzaj>
      <item>Ivana Crnjak</item>
      <item>Tanasija Marković</item>
    </izvorni_sadrzaj>
    <derivirana_varijabla naziv="DomainObject.Predmet.OstaliListFormated_1">
      <item>Ivana Crnjak</item>
      <item>Tanasija Marković</item>
    </derivirana_varijabla>
  </DomainObject.Predmet.OstaliListFormated>
  <DomainObject.Predmet.OstaliListFormatedOIB>
    <izvorni_sadrzaj>
      <item>Ivana Crnjak, OIB 85976152442</item>
      <item>Tanasija Marković, OIB 15362271646</item>
    </izvorni_sadrzaj>
    <derivirana_varijabla naziv="DomainObject.Predmet.OstaliListFormatedOIB_1">
      <item>Ivana Crnjak, OIB 85976152442</item>
      <item>Tanasija Marković, OIB 15362271646</item>
    </derivirana_varijabla>
  </DomainObject.Predmet.OstaliListFormatedOIB>
  <DomainObject.Predmet.OstaliListFormatedWithAdress>
    <izvorni_sadrzaj>
      <item>Ivana Crnjak, Matije Gupca 43/b, 48000 Koprivnički Bregi</item>
      <item>Tanasija Marković, Vrbovačka cesta 44, 43500 Vrbovac</item>
    </izvorni_sadrzaj>
    <derivirana_varijabla naziv="DomainObject.Predmet.OstaliListFormatedWithAdress_1">
      <item>Ivana Crnjak, Matije Gupca 43/b, 48000 Koprivnički Bregi</item>
      <item>Tanasija Marković, Vrbovačka cesta 44, 43500 Vrbovac</item>
    </derivirana_varijabla>
  </DomainObject.Predmet.OstaliListFormatedWithAdress>
  <DomainObject.Predmet.OstaliListFormatedWithAdressOIB>
    <izvorni_sadrzaj>
      <item>Ivana Crnjak, OIB 85976152442, Matije Gupca 43/b, 48000 Koprivnički Bregi</item>
      <item>Tanasija Marković, OIB 15362271646, Vrbovačka cesta 44, 43500 Vrbovac</item>
    </izvorni_sadrzaj>
    <derivirana_varijabla naziv="DomainObject.Predmet.OstaliListFormatedWithAdressOIB_1">
      <item>Ivana Crnjak, OIB 85976152442, Matije Gupca 43/b, 48000 Koprivnički Bregi</item>
      <item>Tanasija Marković, OIB 15362271646, Vrbovačka cesta 44, 43500 Vrbovac</item>
    </derivirana_varijabla>
  </DomainObject.Predmet.OstaliListFormatedWithAdressOIB>
  <DomainObject.Predmet.OstaliListNazivFormated>
    <izvorni_sadrzaj>
      <item>Ivana Crnjak</item>
      <item>Tanasija Marković</item>
    </izvorni_sadrzaj>
    <derivirana_varijabla naziv="DomainObject.Predmet.OstaliListNazivFormated_1">
      <item>Ivana Crnjak</item>
      <item>Tanasija Marković</item>
    </derivirana_varijabla>
  </DomainObject.Predmet.OstaliListNazivFormated>
  <DomainObject.Predmet.OstaliListNazivFormatedOIB>
    <izvorni_sadrzaj>
      <item>Ivana Crnjak, OIB 85976152442</item>
      <item>Tanasija Marković, OIB 15362271646</item>
    </izvorni_sadrzaj>
    <derivirana_varijabla naziv="DomainObject.Predmet.OstaliListNazivFormatedOIB_1">
      <item>Ivana Crnjak, OIB 85976152442</item>
      <item>Tanasija Marković, OIB 15362271646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St-1328/2016-14</izvorni_sadrzaj>
    <derivirana_varijabla naziv="DomainObject.PoslovniBrojDokumenta_1">St-1328/2016-14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INTEL DOM jednostavno društvo s ograničenom odgovornošću za graditeljstvo, trgovinu i usluge</izvorni_sadrzaj>
    <derivirana_varijabla naziv="DomainObject.Predmet.ProtustrankaIDrugi_1">INTEL DOM jednostavno društvo s ograničenom odgovornošću za graditeljstvo,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INTEL DOM jednostavno društvo s ograničenom odgovornošću za graditeljstvo, trgovinu i usluge, OIB 63445182772, Babotok 26, 43000 Babotok</izvorni_sadrzaj>
    <derivirana_varijabla naziv="DomainObject.Predmet.ProtustrankaIDrugiAdressOIB_1">INTEL DOM jednostavno društvo s ograničenom odgovornošću za graditeljstvo, trgovinu i usluge, OIB 63445182772, Babotok 26, 43000 Babotok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INTEL DOM jednostavno društvo s ograničenom odgovornošću za graditeljstvo, trgovinu i usluge</item>
      <item>Ivana Crnjak</item>
      <item>Tanasija Marković</item>
    </izvorni_sadrzaj>
    <derivirana_varijabla naziv="DomainObject.Predmet.SudioniciListNaziv_1">
      <item>FINA, RC ZAGREB, Podružnica Bjelovar</item>
      <item>INTEL DOM jednostavno društvo s ograničenom odgovornošću za graditeljstvo, trgovinu i usluge</item>
      <item>Ivana Crnjak</item>
      <item>Tanasija Marković</item>
    </derivirana_varijabla>
  </DomainObject.Predmet.SudioniciListNaziv>
  <DomainObject.Predmet.SudioniciListAdressOIB>
    <izvorni_sadrzaj>
      <item>FINA, RC ZAGREB, Podružnica Bjelovar, OIB 85821130368, F. Supila 4,43000 Bjelovar</item>
      <item>INTEL DOM jednostavno društvo s ograničenom odgovornošću za graditeljstvo, trgovinu i usluge, OIB 63445182772, Babotok 26,43000 Babotok</item>
      <item>Ivana Crnjak, OIB 85976152442, Matije Gupca 43/b,48000 Koprivnički Bregi</item>
      <item>Tanasija Marković, OIB 15362271646, Vrbovačka cesta 44,43500 Vrbovac</item>
    </izvorni_sadrzaj>
    <derivirana_varijabla naziv="DomainObject.Predmet.SudioniciListAdressOIB_1">
      <item>FINA, RC ZAGREB, Podružnica Bjelovar, OIB 85821130368, F. Supila 4,43000 Bjelovar</item>
      <item>INTEL DOM jednostavno društvo s ograničenom odgovornošću za graditeljstvo, trgovinu i usluge, OIB 63445182772, Babotok 26,43000 Babotok</item>
      <item>Ivana Crnjak, OIB 85976152442, Matije Gupca 43/b,48000 Koprivnički Bregi</item>
      <item>Tanasija Marković, OIB 15362271646, Vrbovačka cesta 44,43500 Vrbovac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4E32E7-5E39-4EF4-855D-BA75DCBEC3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704</properties:Words>
  <properties:Characters>3800</properties:Characters>
  <properties:Lines>92</properties:Lines>
  <properties:Paragraphs>22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2017-05-19T06:37:00Z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St-1328/2016-14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