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ContentType="application/vnd.openxmlformats-package.relationships+xml" PartName="/_rels/.rels"/>
  <Override ContentType="application/vnd.openxmlformats-package.relationships+xml" PartName="/customXml/_rels/item1.xml.rels"/>
  <Override ContentType="application/xml" PartName="/customXml/item1.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1"/><Relationship Target="docProps/app.xml" Type="http://schemas.openxmlformats.org/officeDocument/2006/relationships/extended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paraId="dcf0a94" w14:textId="dcf0a94">
      <w:pPr>
        <w:pStyle w:val="Normal"/>
        <w:jc w:val="center"/>
        <w15:collapsed w:val="false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</w:r>
    </w:p>
    <w:p>
      <w:pPr>
        <w:pStyle w:val="Normal"/>
        <w:jc w:val="both"/>
        <w:rPr/>
      </w:pPr>
      <w:r>
        <w:rPr>
          <w:rFonts w:ascii="Times New Roman" w:hAnsi="Times New Roman"/>
          <w:b/>
          <w:sz w:val="24"/>
          <w:szCs w:val="24"/>
        </w:rPr>
        <w:t>S</w:t>
      </w:r>
      <w:r>
        <w:rPr>
          <w:rFonts w:ascii="Times New Roman" w:hAnsi="Times New Roman"/>
          <w:b/>
          <w:sz w:val="24"/>
          <w:szCs w:val="24"/>
          <w:lang w:val="pl-PL"/>
        </w:rPr>
        <w:t>. i M. ZELINA d.o.o.</w:t>
      </w:r>
    </w:p>
    <w:p>
      <w:pPr>
        <w:pStyle w:val="Normal"/>
        <w:jc w:val="both"/>
        <w:rPr/>
      </w:pPr>
      <w:r>
        <w:rPr>
          <w:rFonts w:ascii="Times New Roman" w:hAnsi="Times New Roman"/>
          <w:b/>
          <w:sz w:val="24"/>
          <w:szCs w:val="24"/>
          <w:lang w:val="pl-PL"/>
        </w:rPr>
        <w:t>u stečaju</w:t>
      </w:r>
    </w:p>
    <w:p>
      <w:pPr>
        <w:pStyle w:val="Normal"/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Varaždinska cesta 10A</w:t>
      </w:r>
    </w:p>
    <w:p>
      <w:pPr>
        <w:pStyle w:val="Normal"/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10360 Sesvete</w:t>
      </w:r>
    </w:p>
    <w:p>
      <w:pPr>
        <w:pStyle w:val="Normal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pl-PL"/>
        </w:rPr>
        <w:t>OIB:31483727823</w:t>
      </w:r>
    </w:p>
    <w:p>
      <w:pPr>
        <w:pStyle w:val="Normal"/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</w:r>
    </w:p>
    <w:p>
      <w:pPr>
        <w:pStyle w:val="Normal"/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pl-PL"/>
        </w:rPr>
        <w:t>TRGOVAČKI SUD U ZAGREBU</w:t>
      </w:r>
    </w:p>
    <w:p>
      <w:pPr>
        <w:pStyle w:val="Normal"/>
        <w:ind w:firstLine="10065"/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Poslovni broj spisa: St-1395/2017</w:t>
      </w:r>
    </w:p>
    <w:p>
      <w:pPr>
        <w:pStyle w:val="Normal"/>
        <w:ind w:firstLine="10065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</w:r>
    </w:p>
    <w:p>
      <w:pPr>
        <w:pStyle w:val="Normal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pl-PL"/>
        </w:rPr>
        <w:t>POPIS VJEROVNIKA</w:t>
      </w:r>
    </w:p>
    <w:p>
      <w:pPr>
        <w:pStyle w:val="Normal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pl-PL"/>
        </w:rPr>
        <w:t>Članak 222. Stečajnoga zakona</w:t>
      </w:r>
    </w:p>
    <w:p>
      <w:pPr>
        <w:pStyle w:val="Normal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</w:r>
    </w:p>
    <w:p>
      <w:pPr>
        <w:pStyle w:val="NoSpacing"/>
        <w:numPr>
          <w:ilvl w:val="0"/>
          <w:numId w:val="0"/>
        </w:numPr>
        <w:ind w:left="720" w:hanging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tbl>
      <w:tblPr>
        <w:tblpPr w:leftFromText="180" w:rightFromText="180" w:topFromText="0" w:bottomFromText="0" w:vertAnchor="text" w:horzAnchor="text" w:tblpXSpec="center" w:tblpX="0" w:tblpY="1"/>
        <w:tblW w:w="5000" w:type="pct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970"/>
        <w:gridCol w:w="4440"/>
        <w:gridCol w:w="1719"/>
        <w:gridCol w:w="2564"/>
        <w:gridCol w:w="1536"/>
        <w:gridCol w:w="2"/>
        <w:gridCol w:w="2772"/>
      </w:tblGrid>
      <w:tr>
        <w:trPr/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Redni</w:t>
            </w:r>
          </w:p>
          <w:p>
            <w:pPr>
              <w:pStyle w:val="NoSpacing"/>
              <w:spacing w:before="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br.</w:t>
            </w:r>
          </w:p>
        </w:tc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  <w:vAlign w:val="center"/>
          </w:tcPr>
          <w:p>
            <w:pPr>
              <w:pStyle w:val="NoSpacing"/>
              <w:spacing w:before="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Ime i prezime/tvrtka  ili naziv vjerovnika</w:t>
            </w: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  <w:vAlign w:val="center"/>
          </w:tcPr>
          <w:p>
            <w:pPr>
              <w:pStyle w:val="NoSpacing"/>
              <w:spacing w:before="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  <w:vAlign w:val="center"/>
          </w:tcPr>
          <w:p>
            <w:pPr>
              <w:pStyle w:val="NoSpacing"/>
              <w:spacing w:before="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Adresa/sjedište vjerovnika</w:t>
            </w:r>
          </w:p>
        </w:tc>
        <w:tc>
          <w:tcPr>
            <w:tcW w:w="15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  <w:vAlign w:val="center"/>
          </w:tcPr>
          <w:p>
            <w:pPr>
              <w:pStyle w:val="NoSpacing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w="2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  <w:vAlign w:val="center"/>
          </w:tcPr>
          <w:p>
            <w:pPr>
              <w:pStyle w:val="NoSpacing"/>
              <w:spacing w:before="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</w:tr>
      <w:tr>
        <w:trPr/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center"/>
              <w:rPr/>
            </w:pPr>
            <w:bookmarkStart w:name="__DdeLink__551_382567409" w:id="0"/>
            <w:r>
              <w:rPr>
                <w:rFonts w:ascii="Times New Roman" w:hAnsi="Times New Roman"/>
                <w:sz w:val="24"/>
                <w:szCs w:val="24"/>
              </w:rPr>
              <w:t>Republika Hrvatska-Ministarstvo financija-Porezna uprava, Područni ured Zagreb,  zastupana po Županijskom državnom odvjetništvu u Zagrebu</w:t>
            </w:r>
            <w:bookmarkEnd w:id="0"/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Avenija Dubrovnik 32</w:t>
            </w:r>
          </w:p>
        </w:tc>
        <w:tc>
          <w:tcPr>
            <w:tcW w:w="15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 xml:space="preserve">54.526,20 </w:t>
            </w:r>
          </w:p>
        </w:tc>
        <w:tc>
          <w:tcPr>
            <w:tcW w:w="2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- porez i prirez na dohodak od nesamostalog rada-plaća-3.234,73 kn</w:t>
            </w:r>
          </w:p>
          <w:p>
            <w:pPr>
              <w:pStyle w:val="NoSpacing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-doprinos za mo temeljem ind. kap. št. s osn. rada za posl. pravnu osobu,- 189,46 kn</w:t>
            </w:r>
          </w:p>
          <w:p>
            <w:pPr>
              <w:pStyle w:val="NoSpacing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-doprinos za mirov. osig. II stup temeljem radnog odnosa 11.649,51 kn,</w:t>
            </w:r>
          </w:p>
          <w:p>
            <w:pPr>
              <w:pStyle w:val="NoSpacing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-doprinos za mirovinsko osig. na tem, gen, solid. temeljem radnog odnosa 39.452,50 kn</w:t>
            </w:r>
          </w:p>
        </w:tc>
      </w:tr>
      <w:tr>
        <w:trPr/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Mladen Kušić</w:t>
            </w: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48125377704</w:t>
            </w:r>
          </w:p>
        </w:tc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Donje Psarjevo 81</w:t>
            </w:r>
          </w:p>
        </w:tc>
        <w:tc>
          <w:tcPr>
            <w:tcW w:w="15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100.378,40</w:t>
            </w:r>
          </w:p>
        </w:tc>
        <w:tc>
          <w:tcPr>
            <w:tcW w:w="2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-neisplaćene plaće</w:t>
            </w:r>
          </w:p>
          <w:p>
            <w:pPr>
              <w:pStyle w:val="NoSpacing"/>
              <w:spacing w:before="0" w:after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025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center"/>
              <w:rPr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UKUPNO: 154.904,60</w:t>
            </w:r>
          </w:p>
        </w:tc>
        <w:tc>
          <w:tcPr>
            <w:tcW w:w="27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Spacing"/>
        <w:rPr/>
      </w:pPr>
      <w:r>
        <w:rPr/>
      </w:r>
    </w:p>
    <w:tbl>
      <w:tblPr>
        <w:tblpPr w:leftFromText="180" w:rightFromText="180" w:topFromText="0" w:bottomFromText="0" w:vertAnchor="text" w:horzAnchor="text" w:tblpXSpec="center" w:tblpX="0" w:tblpY="1"/>
        <w:tblW w:w="13716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993"/>
        <w:gridCol w:w="4217"/>
        <w:gridCol w:w="1701"/>
        <w:gridCol w:w="2551"/>
        <w:gridCol w:w="1560"/>
        <w:gridCol w:w="1"/>
        <w:gridCol w:w="2692"/>
      </w:tblGrid>
      <w:tr>
        <w:trPr/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Redni</w:t>
            </w:r>
          </w:p>
          <w:p>
            <w:pPr>
              <w:pStyle w:val="NoSpacing"/>
              <w:spacing w:before="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br.</w:t>
            </w:r>
          </w:p>
        </w:tc>
        <w:tc>
          <w:tcPr>
            <w:tcW w:w="4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  <w:vAlign w:val="center"/>
          </w:tcPr>
          <w:p>
            <w:pPr>
              <w:pStyle w:val="NoSpacing"/>
              <w:spacing w:before="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Ime i prezime/tvrtka  ili naziv vjerovnika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  <w:vAlign w:val="center"/>
          </w:tcPr>
          <w:p>
            <w:pPr>
              <w:pStyle w:val="NoSpacing"/>
              <w:spacing w:before="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  <w:vAlign w:val="center"/>
          </w:tcPr>
          <w:p>
            <w:pPr>
              <w:pStyle w:val="NoSpacing"/>
              <w:spacing w:before="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Adresa/sjedište vjerovnika</w:t>
            </w:r>
          </w:p>
        </w:tc>
        <w:tc>
          <w:tcPr>
            <w:tcW w:w="15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  <w:vAlign w:val="center"/>
          </w:tcPr>
          <w:p>
            <w:pPr>
              <w:pStyle w:val="NoSpacing"/>
              <w:spacing w:before="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Iznos prijavljene tražbine (kn)</w:t>
            </w:r>
            <w:r>
              <w:rPr>
                <w:rStyle w:val="Sidrofusnote"/>
                <w:rFonts w:ascii="Times New Roman" w:hAnsi="Times New Roman"/>
                <w:sz w:val="24"/>
                <w:szCs w:val="24"/>
              </w:rPr>
              <w:footnoteReference w:id="2"/>
            </w:r>
          </w:p>
        </w:tc>
        <w:tc>
          <w:tcPr>
            <w:tcW w:w="2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  <w:vAlign w:val="center"/>
          </w:tcPr>
          <w:p>
            <w:pPr>
              <w:pStyle w:val="NoSpacing"/>
              <w:spacing w:before="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</w:tr>
      <w:tr>
        <w:trPr/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HRVATSKE ŠUME d.o.o.</w:t>
            </w:r>
          </w:p>
          <w:p>
            <w:pPr>
              <w:pStyle w:val="NoSpacing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zastupan po odvjetničko društvo KLIŠANIN`&amp; PARTNERI  d.o.o. Zagreb, Radnička cesta 52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69693144506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Ulica kneza Branimira 1,</w:t>
            </w:r>
          </w:p>
          <w:p>
            <w:pPr>
              <w:pStyle w:val="NoSpacing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</w:t>
            </w:r>
          </w:p>
        </w:tc>
        <w:tc>
          <w:tcPr>
            <w:tcW w:w="15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 xml:space="preserve">82.579,32 </w:t>
            </w:r>
          </w:p>
        </w:tc>
        <w:tc>
          <w:tcPr>
            <w:tcW w:w="2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- Pravomoćna i ovršna predstečajna nagodba Trgovačkog suda u Zagreb, Stalna služba u Karlovcu, Poslovni br. Stpn-88/15</w:t>
            </w:r>
          </w:p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-obračun kamata</w:t>
            </w:r>
          </w:p>
        </w:tc>
      </w:tr>
      <w:tr>
        <w:trPr/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BMD STIL d.o.o.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96086822394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Bedenica 45a, Bedenica</w:t>
            </w:r>
          </w:p>
        </w:tc>
        <w:tc>
          <w:tcPr>
            <w:tcW w:w="15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right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1.818,08 </w:t>
            </w:r>
          </w:p>
        </w:tc>
        <w:tc>
          <w:tcPr>
            <w:tcW w:w="2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 xml:space="preserve">-Predstečajna nagodba, poslovni broj Stpn-88/15, </w:t>
            </w:r>
          </w:p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-obračun kamata</w:t>
            </w:r>
          </w:p>
        </w:tc>
      </w:tr>
      <w:tr>
        <w:trPr/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0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 xml:space="preserve">ALLIANZ ZAGREB, d.d. </w:t>
            </w:r>
          </w:p>
          <w:p>
            <w:pPr>
              <w:pStyle w:val="NoSpacing"/>
              <w:spacing w:before="0" w:after="0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-zastupan po odvjetničko društvo HANŽEKOVIĆ &amp;PARTNERI d.o.o. Radnička cesta 22, Zagreb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23759810849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Heinzelova 70, Zagreb </w:t>
            </w:r>
          </w:p>
        </w:tc>
        <w:tc>
          <w:tcPr>
            <w:tcW w:w="15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right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1.891,89 </w:t>
            </w:r>
          </w:p>
        </w:tc>
        <w:tc>
          <w:tcPr>
            <w:tcW w:w="2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-pravomoćna predstečajna nagodba, posl. br. Stpn-88/15 od dana 15.01.2016 godine,</w:t>
            </w:r>
          </w:p>
        </w:tc>
      </w:tr>
      <w:tr>
        <w:trPr/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SLATINSKA BANKA d.d.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42252496579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Vladimira Nazora 2, Slatina</w:t>
            </w:r>
          </w:p>
        </w:tc>
        <w:tc>
          <w:tcPr>
            <w:tcW w:w="15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right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5.308.510,84 </w:t>
            </w:r>
          </w:p>
        </w:tc>
        <w:tc>
          <w:tcPr>
            <w:tcW w:w="2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ugovor o dugoročnom kreditu broj 510162-9042644 od dana 09.08.2012. godine,</w:t>
            </w:r>
          </w:p>
          <w:p>
            <w:pPr>
              <w:pStyle w:val="Normal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-izvadak iz poslovnih knjiga od 27.06.2019. godine, sa stanjem duga na dan 30.05.2019. godine,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-ugovor o otvaranju i vođenju poslovnog računa i obavljanju poslova platnog prometa broj: 2412009-1131005132, IBAN: HR6224120091131005132 od 30.09.2010. godine,</w:t>
            </w:r>
          </w:p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-izvadak iz poslovnih knjiga od 30.05.2019. godine, sa stanjem duga  na dan 30.05.2019. godine,</w:t>
            </w:r>
          </w:p>
        </w:tc>
      </w:tr>
      <w:tr>
        <w:trPr/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0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HRVATSKE VODE</w:t>
            </w:r>
          </w:p>
          <w:p>
            <w:pPr>
              <w:pStyle w:val="NoSpacing"/>
              <w:spacing w:before="0" w:after="0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vodnogospodarski odjel za srednju i donju Savu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28921383001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Ulica grada Vukovara 220,Zagreb</w:t>
            </w:r>
          </w:p>
        </w:tc>
        <w:tc>
          <w:tcPr>
            <w:tcW w:w="15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right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 xml:space="preserve">734.183,54 </w:t>
            </w:r>
          </w:p>
        </w:tc>
        <w:tc>
          <w:tcPr>
            <w:tcW w:w="2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-izvršno Rješenje Hrvatskih voda o utvrđenju naknada za uređenje voda, pravomoćna i ovršna predtečajna nagodba br. Stpn-88/2015: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Klasa: UP/I-325-08/16-08-18625, Urbroj: 374-3110-02-16-1 od 01.02.2016.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Klasa: UP/I-325-08/16-08/18626, Urbroj: 374-3110-02-16-1 od 01.02.2016.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Klasa: UP/I-325-08/12-07/0070549, Urbroj: 374-3110-2-12-1 od 18.10.2012.</w:t>
            </w:r>
          </w:p>
          <w:p>
            <w:pPr>
              <w:pStyle w:val="Normal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Klasa: UP/I-325-08/12-07/0070549, Urbroj. 374-3110-1-16-37 od 14.12.2016.</w:t>
            </w:r>
          </w:p>
          <w:p>
            <w:pPr>
              <w:pStyle w:val="Normal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-obračun kamata,</w:t>
            </w:r>
          </w:p>
          <w:p>
            <w:pPr>
              <w:pStyle w:val="Normal"/>
              <w:spacing w:before="0" w:after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0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INA-INDUSTRIJA NAFTE d.d.</w:t>
            </w:r>
          </w:p>
          <w:p>
            <w:pPr>
              <w:pStyle w:val="NoSpacing"/>
              <w:spacing w:before="0" w:after="0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- zastupan po OREHOVEC, VINTER, KIŠ, ŠIMUNOVIĆ odvjetničko društvo d.o.o., Zagreb, Smičiklasova 18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27759560625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widowControl/>
              <w:overflowPunct w:val="false"/>
              <w:bidi w:val="false"/>
              <w:spacing w:before="0" w:after="80"/>
              <w:jc w:val="left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Avenija V. Holjevca 10, Zagreb</w:t>
            </w:r>
          </w:p>
        </w:tc>
        <w:tc>
          <w:tcPr>
            <w:tcW w:w="15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right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 xml:space="preserve">55.497,20 </w:t>
            </w:r>
          </w:p>
        </w:tc>
        <w:tc>
          <w:tcPr>
            <w:tcW w:w="2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-izvod otvorenih stavki kupca na dan 05. lipnja 2019. godine,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-obračun kamata po sklopljenoj predstečajnoj nagodbi od dana 06. lipnja 2019. godine,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-obračun kamata od dana 06. lipnja 2019. godine</w:t>
            </w:r>
          </w:p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-Rješenje Trgovačkog suda u Zagrebu, Stalna služba u Karlovcu, posl. br. Stpn-88/15 od dana 15. siječnja 2016. godine.</w:t>
            </w:r>
          </w:p>
        </w:tc>
      </w:tr>
      <w:tr>
        <w:trPr/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Wiener osiguranje Vienna Insurance Group d.d.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52848403362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Slovenska ulica 24</w:t>
            </w:r>
          </w:p>
        </w:tc>
        <w:tc>
          <w:tcPr>
            <w:tcW w:w="15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right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10.476,33 </w:t>
            </w:r>
          </w:p>
        </w:tc>
        <w:tc>
          <w:tcPr>
            <w:tcW w:w="2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-izvadak iz poslovnih knjiga,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-obračun zakonskih zateznih kamata na glavnicu i obračun zakonskih zateznih kamata na trošak ovršnog postupka,</w:t>
            </w:r>
          </w:p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-rješenje o ovrsi javnog bilježnika Sandre Palinić-Čulin, posl. br. Ovrv-472/14.</w:t>
            </w:r>
          </w:p>
        </w:tc>
      </w:tr>
      <w:tr>
        <w:trPr/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0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 xml:space="preserve">Valalta d.o.o. </w:t>
            </w:r>
          </w:p>
          <w:p>
            <w:pPr>
              <w:pStyle w:val="NoSpacing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zastupan po odvjetnicima iz odvjetničkog društva Bogdanović, Dolički&amp;Partneri, Miramarska 24, Zagreb</w:t>
            </w:r>
          </w:p>
          <w:p>
            <w:pPr>
              <w:pStyle w:val="NoSpacing"/>
              <w:spacing w:before="0" w:after="0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9430736117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Cesta za Valaltu-Lim 7, Grad Rovinj -Rovigno</w:t>
            </w:r>
          </w:p>
        </w:tc>
        <w:tc>
          <w:tcPr>
            <w:tcW w:w="15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right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4.274.391,33 </w:t>
            </w:r>
          </w:p>
        </w:tc>
        <w:tc>
          <w:tcPr>
            <w:tcW w:w="2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-Ugovor o dugoročnoj poslovnoj suradnji od 02. rujna 2009. godione,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-Ugovor o  drugoj fazi tova domaće teladi od 04. veljače 2008. godine i Aneksi I. do V.,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-Utanačenje potraživanja Valalte d.o.o. prema S. i M. ZELINA d.o.o. na dan 05. ožujka 2014. godine,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-izvod iz poslovnih knjiga (otvorenih stavaka) od 04. lipnja 2019. godine sa stanjem na dan 04. lipnja 2019. godine,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-obračun kamata broj 3 (za iznos 4.189.576,99 kn) na dan 30. svibnja 2019. godine u iznosu od 651.507,92 kn,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-obračun kamata broj 177-19 ( za iznos 2.949.884,17 kn) na dan 30.svibnja 2019. godine,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-obračun kamata broj 6 ( za iznos 789.695,97 kn) na dan 30. svibnja 2019. godine u iznosu od 424.437,27 kn,</w:t>
            </w:r>
          </w:p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-rješenje o utvrđenim tražbinama i tablica razlučnih prava posl. br. Stpn-88/2014,</w:t>
            </w:r>
          </w:p>
        </w:tc>
      </w:tr>
      <w:tr>
        <w:trPr/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0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KWS Sjeme d.o.o.</w:t>
            </w:r>
          </w:p>
          <w:p>
            <w:pPr>
              <w:pStyle w:val="NoSpacing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69709303740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widowControl/>
              <w:overflowPunct w:val="false"/>
              <w:bidi w:val="false"/>
              <w:spacing w:before="0" w:after="80"/>
              <w:jc w:val="left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Petrovaradinska 1, Zagreb</w:t>
            </w:r>
          </w:p>
        </w:tc>
        <w:tc>
          <w:tcPr>
            <w:tcW w:w="15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right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 xml:space="preserve">539.932,52 </w:t>
            </w:r>
          </w:p>
        </w:tc>
        <w:tc>
          <w:tcPr>
            <w:tcW w:w="2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-isporučena, a neplaćena roba; izvod iz poslovnih knjiga; potraživanje priznato u predstečajnom postupku Stpn-88/2015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-obračun zateznih kamata na glavnicu , sve do dana otvaranja stečajnoga postupka</w:t>
            </w:r>
          </w:p>
          <w:p>
            <w:pPr>
              <w:pStyle w:val="Normal"/>
              <w:spacing w:before="0" w:after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INVEST SEDLIĆ d.o.o.,</w:t>
            </w:r>
          </w:p>
          <w:p>
            <w:pPr>
              <w:pStyle w:val="NoSpacing"/>
              <w:spacing w:before="0" w:after="0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-zastupan po Zajednički odvjetnički ured Zlatko Gregurić, Tatjana Figač-Gregurić, Hrvoje Mladinić, Mihanovićeva 15b, Bjelovar</w:t>
            </w:r>
          </w:p>
          <w:p>
            <w:pPr>
              <w:pStyle w:val="NoSpacing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66823406727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Bukovačka cesta 265</w:t>
            </w:r>
          </w:p>
        </w:tc>
        <w:tc>
          <w:tcPr>
            <w:tcW w:w="15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right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15.924,30 </w:t>
            </w:r>
          </w:p>
        </w:tc>
        <w:tc>
          <w:tcPr>
            <w:tcW w:w="2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-Rješenje o ovrsi broj Ovrv-128/2018 od 22.03.2018. godine javnog bilježnika Ignaca Vuger iz Sesveta,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-IOS OBRAZAC do datuma 15.03.2018. godine,</w:t>
            </w:r>
          </w:p>
          <w:p>
            <w:pPr>
              <w:pStyle w:val="Normal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-obračun zateznih kamata</w:t>
            </w:r>
          </w:p>
          <w:p>
            <w:pPr>
              <w:pStyle w:val="Normal"/>
              <w:spacing w:before="0" w:after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center"/>
              <w:rPr/>
            </w:pPr>
            <w:r>
              <w:rPr/>
              <w:t>11.</w:t>
            </w:r>
          </w:p>
        </w:tc>
        <w:tc>
          <w:tcPr>
            <w:tcW w:w="4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HEP-Operator distibucijskog sustava d.o.o. Elektra Zagreb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46830600751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widowControl/>
              <w:overflowPunct w:val="false"/>
              <w:bidi w:val="false"/>
              <w:spacing w:before="0" w:after="80"/>
              <w:jc w:val="left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Gundulićeva 32, Zagreb</w:t>
            </w:r>
          </w:p>
        </w:tc>
        <w:tc>
          <w:tcPr>
            <w:tcW w:w="15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right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3.970,50 </w:t>
            </w:r>
          </w:p>
        </w:tc>
        <w:tc>
          <w:tcPr>
            <w:tcW w:w="2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trike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Ugovor i Rješenje o odobrenju predstečajne nagodbe i primjerak sklopljene i potpisane predstečajne nagodbe Stpn88/15</w:t>
            </w:r>
          </w:p>
          <w:p>
            <w:pPr>
              <w:pStyle w:val="Normal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izvod iz poslovnih knjiga</w:t>
            </w:r>
          </w:p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-kartica analitičkog knjigovodstva </w:t>
            </w:r>
          </w:p>
        </w:tc>
      </w:tr>
      <w:tr>
        <w:trPr/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center"/>
              <w:rPr/>
            </w:pPr>
            <w:r>
              <w:rPr/>
              <w:t>12.</w:t>
            </w:r>
          </w:p>
        </w:tc>
        <w:tc>
          <w:tcPr>
            <w:tcW w:w="4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0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CROATIA osiguranje d.d.</w:t>
            </w:r>
          </w:p>
          <w:p>
            <w:pPr>
              <w:pStyle w:val="NoSpacing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26187994862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Vatroslava Jagića 33, Zagreb</w:t>
            </w:r>
          </w:p>
        </w:tc>
        <w:tc>
          <w:tcPr>
            <w:tcW w:w="15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right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106.488,65 </w:t>
            </w:r>
          </w:p>
        </w:tc>
        <w:tc>
          <w:tcPr>
            <w:tcW w:w="2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prestečajna nagodba posl. br. Stpn-88/15, izvadak iz poslovnih knjiga , obračun zakonskih zateznih kamata na glavnicu,</w:t>
            </w:r>
          </w:p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-izvadak iz poslovnih knjiga regres, obračun zakonskih zateznih kamata na glavnicu regres,</w:t>
            </w:r>
          </w:p>
        </w:tc>
      </w:tr>
      <w:tr>
        <w:trPr/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center"/>
              <w:rPr/>
            </w:pPr>
            <w:r>
              <w:rPr/>
              <w:t>13.</w:t>
            </w:r>
          </w:p>
        </w:tc>
        <w:tc>
          <w:tcPr>
            <w:tcW w:w="4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Republika Hrvatska-Ministarstvo financija-Porezna uprava, Područni ured Zagreb,  zastupana po Županijskom državnom odvjetništvu u Zagrebu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Avenija Dubrovnik 32</w:t>
            </w:r>
          </w:p>
        </w:tc>
        <w:tc>
          <w:tcPr>
            <w:tcW w:w="15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2.309.985,89</w:t>
            </w:r>
          </w:p>
        </w:tc>
        <w:tc>
          <w:tcPr>
            <w:tcW w:w="2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-ovjereni izlist obrasca ID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-ovjereni izlist obrasca JOPPD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-ovjereni izlist obrasca PDV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-Rješenje Općinskog suda u Velokj Gorici, Stalna služba u Ivanić Gradu, br ref. 18:Povrv 541/2017 od 17.01.2018,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Rješenje MF, PU, Ispostava Zelina za 2015. godinu Klasa: UP/I-410-12/15-01/2132, Ur. Br: 513-07-25-02-15-1 od 12.10.2015.</w:t>
            </w:r>
          </w:p>
          <w:p>
            <w:pPr>
              <w:pStyle w:val="Normal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trike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Rješenje ispostave Sesvete za 2016. godinu Klasa: UP/I410-12/16-01/1854, Ur. br. 513-07-24-06-16 od dana 25.07.2016.</w:t>
            </w:r>
          </w:p>
          <w:p>
            <w:pPr>
              <w:pStyle w:val="Normal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-Porezno rješenje MF, PU, Klasa:UP/I471-02/13-01/449, Ur. Br:513-07-01-13-2 od 11.09.2013.</w:t>
            </w:r>
          </w:p>
          <w:p>
            <w:pPr>
              <w:pStyle w:val="Normal"/>
              <w:spacing w:before="0" w:after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center"/>
              <w:rPr/>
            </w:pPr>
            <w:r>
              <w:rPr/>
              <w:t>14.</w:t>
            </w:r>
          </w:p>
        </w:tc>
        <w:tc>
          <w:tcPr>
            <w:tcW w:w="4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HEP-Opskrba d.o.o., Zagreb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63073332379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Ulica grada Vukovara 37</w:t>
            </w:r>
          </w:p>
        </w:tc>
        <w:tc>
          <w:tcPr>
            <w:tcW w:w="15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10.675,24 kn</w:t>
            </w:r>
          </w:p>
        </w:tc>
        <w:tc>
          <w:tcPr>
            <w:tcW w:w="2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-Rješenje Trgovačkog suda u Zagrebu, Stalna služba u Karlovcu, broj: Stpn-88/15 od 15. siječnja 2016. godine o odobravanju sklopljene predstečajne nagodbe , pravomoćno 04.03.2016.g.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-kartica analitičkog knjigovodstva za reprogramiranje dug po predstečajnoj nagodbi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-ispis otvorenih stavki na dan 19.07.2019. godine( za novi dug nastao nakon otvaranja postupka prestečajne nagodbe)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-kartica analitičkog knjigovodstva od 19.07.2019. godine( za novi dug nastao nakon otvaranja postupka predstečajne nagodbe)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-račun broj: 0010021207-161120-3, 0010021207-170220-9 i 0010021207-190720-0</w:t>
            </w:r>
          </w:p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-Ugovor o opskrbi električnom energijom povlaštenog kupca broj O-12-231337 od 30.08.2012. godine</w:t>
            </w:r>
          </w:p>
        </w:tc>
      </w:tr>
      <w:tr>
        <w:trPr/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KLOKOČOVNIK I PARTNERI,  odvjetničko društvo j.d.o.o.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76197627025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Ilica 13/IV, Zagreb</w:t>
            </w:r>
          </w:p>
        </w:tc>
        <w:tc>
          <w:tcPr>
            <w:tcW w:w="15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32.899,08</w:t>
            </w:r>
          </w:p>
        </w:tc>
        <w:tc>
          <w:tcPr>
            <w:tcW w:w="2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>
                <w:strike/>
              </w:rPr>
            </w:pPr>
            <w:r>
              <w:rPr/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rješenje o ovrsi, posl. br: Ovrv-449/13 od 29. listopada 2013. godine</w:t>
            </w:r>
          </w:p>
        </w:tc>
      </w:tr>
      <w:tr>
        <w:trPr/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4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HRVATSKA RADIO TELEVIZIJA, javna  ustanova, zastupana po odvjetničko društvo  HANŽEKOVIĆ &amp; PARTNERI d.o.o., Zagreb, Radnička cesta  22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68419124305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Prisavlje 3, Zagreb</w:t>
            </w:r>
          </w:p>
        </w:tc>
        <w:tc>
          <w:tcPr>
            <w:tcW w:w="15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21.026,64</w:t>
            </w:r>
          </w:p>
        </w:tc>
        <w:tc>
          <w:tcPr>
            <w:tcW w:w="2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rPr/>
            </w:pPr>
            <w:r>
              <w:rPr/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rješenje o ovrsi broj Ovrv- 26980/2018 od 15.06.2018. javnog bilježnika Mladena Ježeka, iz Zagreba, 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rješenje o ovrsi broj Ovrv-62292/2017 od 15.12.2017. javnog bilježnika Mladena Ježeka iz Zagreba</w:t>
            </w:r>
          </w:p>
          <w:p>
            <w:pPr>
              <w:pStyle w:val="Normal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-rješenje o ovrsi broj Ovrv-31502/2017 od 14.06.2017. javnog bilježnika Mladena Ježeka iz Zagreba</w:t>
            </w:r>
          </w:p>
          <w:p>
            <w:pPr>
              <w:pStyle w:val="Normal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rješenje o ovrsi broj Ovrv-19435/2018 od 14.12.2018. javnog bilježnika mr.sc. Joze Rotima iz Zagreba,</w:t>
            </w:r>
          </w:p>
          <w:p>
            <w:pPr>
              <w:pStyle w:val="Normal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rješenje o ovrsi broj Ovrv-35294/2016 od 15.02.2017. javnog bilježnika Lade Škaričić-Sinčić iz Zagreba,</w:t>
            </w:r>
          </w:p>
          <w:p>
            <w:pPr>
              <w:pStyle w:val="Normal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rješenje o ovrsi broj Ovrv-8095/2013 od 13.12.2013. javnog bilježnika Marka Jurline iz Velike Gorice,</w:t>
            </w:r>
          </w:p>
          <w:p>
            <w:pPr>
              <w:pStyle w:val="Normal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-računi za RTV pristojbu</w:t>
            </w:r>
          </w:p>
          <w:p>
            <w:pPr>
              <w:pStyle w:val="Normal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rješenje o predstečajnoj nagodbi Stpn-88/15 od 15.01.2016.</w:t>
            </w:r>
          </w:p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-obračuni kamata </w:t>
            </w:r>
          </w:p>
        </w:tc>
      </w:tr>
      <w:tr>
        <w:trPr/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HRVATSKI TELEKOM d.d. 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81793146560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Radnička cesta 21, Zagreb</w:t>
            </w:r>
          </w:p>
        </w:tc>
        <w:tc>
          <w:tcPr>
            <w:tcW w:w="15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45.164,35</w:t>
            </w:r>
          </w:p>
        </w:tc>
        <w:tc>
          <w:tcPr>
            <w:tcW w:w="2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-pravomoćna i ovršna presuda Trgovačkog suda u Zagrebu, poslovni broj P- 715/2009 od 01. listopada 2009. godine</w:t>
            </w:r>
          </w:p>
        </w:tc>
      </w:tr>
      <w:tr>
        <w:trPr/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TRIGLAV OSIGURANJE d.d.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29743547503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widowControl/>
              <w:overflowPunct w:val="false"/>
              <w:bidi w:val="false"/>
              <w:spacing w:before="0" w:after="80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Antuna Heinza 4, Zagreb</w:t>
            </w:r>
          </w:p>
        </w:tc>
        <w:tc>
          <w:tcPr>
            <w:tcW w:w="15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right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 xml:space="preserve">69.434,90 </w:t>
            </w:r>
          </w:p>
        </w:tc>
        <w:tc>
          <w:tcPr>
            <w:tcW w:w="2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-Rješenje o ovrsi na temelju vjerodostojne isprave od 0.12.2016. godine doneseno po javnom bilježniku Nevenki Jukić iz Zagreba, Koranska cesta 1c, poslovni broj:Ovrv-613/16 pravomoćno i ovršno s danom 03.05.2017. godine</w:t>
            </w:r>
          </w:p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-pravomoćno i ovršno rješenje Rješenje Trgovačkog suda u Zagrebu, Stalna služba Karlovac, poslovni broj: Stpn-88/15 kojim se odobrava predstečajna nagodba stečajnog dužnika sadržana u Zapisniku istog suda pod poslovnim brojem Stpn-88/15 od 15.01.2016.</w:t>
            </w:r>
          </w:p>
        </w:tc>
      </w:tr>
      <w:tr>
        <w:trPr/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HEP ELEKTRA  d.o.o.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43965974818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Ulica grada Vukovara 37, Zagreb</w:t>
            </w:r>
          </w:p>
        </w:tc>
        <w:tc>
          <w:tcPr>
            <w:tcW w:w="15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right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13.738,01 </w:t>
            </w:r>
          </w:p>
        </w:tc>
        <w:tc>
          <w:tcPr>
            <w:tcW w:w="2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-kartica analitičkog knjigovodstva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račun za izvršenu uslugu br.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2300005178-190420-6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-račun za električnu energiju  br.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2300005178-190422-2,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račun za izvršenu uslugu br.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2300005178-190520-2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-račun za električnu energiju  br.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2300005178-190521-0,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-račun za kamatu br.012300005178-190870-8 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-račun za električnu energiju  br.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2300017626-190420-5,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2300017626-190521-0,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račun za kamatu br. 012300017626-190872-3</w:t>
            </w:r>
          </w:p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-račun za kamatu br. 012300017626-190870-7</w:t>
            </w:r>
          </w:p>
        </w:tc>
      </w:tr>
      <w:tr>
        <w:trPr/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MMS SERVIS d.o.o.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82389877756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Ribička 4, Konjšćina</w:t>
            </w:r>
          </w:p>
        </w:tc>
        <w:tc>
          <w:tcPr>
            <w:tcW w:w="15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right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18.250,00 </w:t>
            </w:r>
          </w:p>
        </w:tc>
        <w:tc>
          <w:tcPr>
            <w:tcW w:w="2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računi br.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324/01/01, 354/01/01,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22/01/01, 49/01/01, 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75/01/01, 103/01/01,</w:t>
            </w:r>
          </w:p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132/01/01, 161/01/01, 190/01/01 </w:t>
            </w:r>
          </w:p>
        </w:tc>
      </w:tr>
      <w:tr>
        <w:trPr/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4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GRAD SISAK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08686015790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Rimska 26, Sisak</w:t>
            </w:r>
          </w:p>
        </w:tc>
        <w:tc>
          <w:tcPr>
            <w:tcW w:w="15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right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239.985,89 </w:t>
            </w:r>
          </w:p>
        </w:tc>
        <w:tc>
          <w:tcPr>
            <w:tcW w:w="2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-Rješenje Grada Siska, Upravnog odjela za komunalne djelatnosti, Klasa: UP/I-363-03/12-01/13046, Urbroj:2176/05-04-01/3-12-2 od 31.kolovoza 2012. godine,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-Rješenje Grada Siska, 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Upravnog odjela za komunalne djelatnosti, Klasa: UP/I-363-03/12-01/13047, Urbroj:2176/05-04-01/3-12-2 od 31.kolovoza 2012. godine,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-kamatni list po obračunu</w:t>
            </w:r>
          </w:p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-kartice kupaca po nivou i naknadi po šiframa partnera 0443492 i 0445525</w:t>
            </w:r>
          </w:p>
        </w:tc>
      </w:tr>
      <w:tr>
        <w:trPr/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A1 Hrvatska d.o.o.</w:t>
            </w:r>
          </w:p>
          <w:p>
            <w:pPr>
              <w:pStyle w:val="NoSpacing"/>
              <w:spacing w:before="0" w:after="0"/>
              <w:jc w:val="both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-zastupan po odvjetnica Vesna Alaburić, Zagreb, Đorđićeva 9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29524210204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widowControl/>
              <w:overflowPunct w:val="false"/>
              <w:bidi w:val="false"/>
              <w:spacing w:before="0" w:after="80"/>
              <w:jc w:val="left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Vrtni put 1, Zagreb</w:t>
            </w:r>
          </w:p>
        </w:tc>
        <w:tc>
          <w:tcPr>
            <w:tcW w:w="15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right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 xml:space="preserve">31.664,06 </w:t>
            </w:r>
          </w:p>
        </w:tc>
        <w:tc>
          <w:tcPr>
            <w:tcW w:w="2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-predstečajna nagodba sklopljena kod Trgovačkog suda u Zagrebu, poslovni br. Stpn-88/15 od 15.01.2016.</w:t>
            </w:r>
          </w:p>
        </w:tc>
      </w:tr>
      <w:tr>
        <w:trPr/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 xml:space="preserve">HRVATSKE VODE-pravna osoba za upravljanje vodama, </w:t>
            </w:r>
          </w:p>
          <w:p>
            <w:pPr>
              <w:pStyle w:val="NoSpacing"/>
              <w:spacing w:before="0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Vodnogospodarski odjel za Gornju Savu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28921383001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Ulica grada Vukovara 220,</w:t>
            </w:r>
          </w:p>
          <w:p>
            <w:pPr>
              <w:pStyle w:val="NoSpacing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</w:t>
            </w:r>
          </w:p>
        </w:tc>
        <w:tc>
          <w:tcPr>
            <w:tcW w:w="15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right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7.247,86 </w:t>
            </w:r>
          </w:p>
        </w:tc>
        <w:tc>
          <w:tcPr>
            <w:tcW w:w="2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-Rješenje o odobrenju sklapanja predstečajne nagodbe Stpn-88/15  Trgovačkog suda u Zagrebu,  Stalna služba u Karlovcu,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-rješenje Klasa: UP/I-325-08/14-04/0007980, Urbroj:374-25-3-14-1 od 17.03.2014. g.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-rješenje Klasa: UP/I-325-08/14-04/0007980, Urbroj:374-25-3-14-2 od 15.09.2014. g.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-rješenje Klasa: UP/I-325-08/17-04/0001919, Urbroj:374-25-3-17-1 od 03.07.2017. g.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-rješenje Klasa: UP/I-325-08/18-04/0002288, Urbroj:374-25-3-18-1 od 29.08.2018. g.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-privremeni obračun naknade za zaštitu voda Klasa: 325-08/18-04/0001867, Urbroj: 374-25-3-18-1 od 29.08.2018. g.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-financijska kartica obveznika</w:t>
            </w:r>
          </w:p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-obračun zatezne kamate</w:t>
            </w:r>
          </w:p>
        </w:tc>
      </w:tr>
      <w:tr>
        <w:trPr/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REPUBLIKA HRVATSKA- MINISTARSTVO FINANCIJA-Porezna uprava, Područni ured Zagreb, </w:t>
            </w:r>
          </w:p>
          <w:p>
            <w:pPr>
              <w:pStyle w:val="NoSpacing"/>
              <w:spacing w:before="0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-zastupana po Županijskom državnom odvjetništvu Zagrebu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52634238587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widowControl/>
              <w:overflowPunct w:val="false"/>
              <w:bidi w:val="false"/>
              <w:spacing w:before="0" w:after="80"/>
              <w:jc w:val="left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Zagreb</w:t>
            </w:r>
          </w:p>
        </w:tc>
        <w:tc>
          <w:tcPr>
            <w:tcW w:w="15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10.300,00 kn</w:t>
            </w:r>
          </w:p>
        </w:tc>
        <w:tc>
          <w:tcPr>
            <w:tcW w:w="2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-rješenje Općinskog suda u Sisku broj Ovr-551/2014 od 19. siječnja 2015.g.,</w:t>
            </w:r>
          </w:p>
        </w:tc>
      </w:tr>
      <w:tr>
        <w:trPr/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REPUBLIKA HRVATSKA- MINISTARSTVO POLJOPRIVREDE</w:t>
            </w:r>
          </w:p>
          <w:p>
            <w:pPr>
              <w:pStyle w:val="NoSpacing"/>
              <w:spacing w:before="0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-zastupana po Županijskom državnom odvjetništvu Zagrebu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52634238587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</w:t>
            </w:r>
          </w:p>
        </w:tc>
        <w:tc>
          <w:tcPr>
            <w:tcW w:w="15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139.310,50</w:t>
            </w:r>
          </w:p>
        </w:tc>
        <w:tc>
          <w:tcPr>
            <w:tcW w:w="2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-presuda Trgovačkog suda u Zagrebu, poslovni broj P-3028/2018 od 09. svibnja 2019. g.</w:t>
            </w:r>
          </w:p>
        </w:tc>
      </w:tr>
      <w:tr>
        <w:trPr/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4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B2 Kapital d.o.o.</w:t>
            </w:r>
          </w:p>
          <w:p>
            <w:pPr>
              <w:pStyle w:val="NoSpacing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-zastupano po Odvjetničkom društvu Hanžeković &amp; Partneri d.o.o., Radnička cesta 22, Zagreb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57509775367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Radnička cesta 41, Zagreb</w:t>
            </w:r>
          </w:p>
        </w:tc>
        <w:tc>
          <w:tcPr>
            <w:tcW w:w="15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right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6.977.758,77</w:t>
            </w:r>
          </w:p>
        </w:tc>
        <w:tc>
          <w:tcPr>
            <w:tcW w:w="2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Ugovor o kratkoročnom kreditu br. 5001762636 od 23.05.2012. Aneks br.I navedenog ugovora od 31.05.2013.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Ugovor o kratkoročnom kreditu br.5001799238 od 13.12.2012.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Ugovor o dugoročnom kreditu br.5104374818 od 31.08.2009. Aneks br. I navedenog ugovora od 15.09.2009. Aneks br. 2 navedenog ugovora od 23.09.2010.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-Ugovor o dugoročnom kreditu br.5104625679 od 14.01.2010. Aneks br. I navedenog ugovora od 23.09.2010.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-Ugovor o dugoročnom kreditu br.5105578008 od 04.03.2011.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-Ugovor o dugoročnom kreditu br.5108908659 od 24.09.2013.</w:t>
            </w:r>
          </w:p>
          <w:p>
            <w:pPr>
              <w:pStyle w:val="Normal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-Ugovor o izdavanju bankovne garancije br.5401727864 od 16.04.2013.</w:t>
            </w:r>
          </w:p>
          <w:p>
            <w:pPr>
              <w:pStyle w:val="Normal"/>
              <w:spacing w:before="0" w:after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0"/>
              <w:jc w:val="center"/>
              <w:rPr/>
            </w:pPr>
            <w:r>
              <w:rPr>
                <w:rFonts w:ascii="Times New Roman" w:hAnsi="Times New Roman"/>
              </w:rPr>
              <w:t>ERSTE CARD CLUB d.o.o.</w:t>
            </w:r>
          </w:p>
          <w:p>
            <w:pPr>
              <w:pStyle w:val="NoSpacing"/>
              <w:spacing w:before="0" w:after="0"/>
              <w:jc w:val="center"/>
              <w:rPr/>
            </w:pPr>
            <w:r>
              <w:rPr>
                <w:rFonts w:ascii="Times New Roman" w:hAnsi="Times New Roman"/>
              </w:rPr>
              <w:t>-zastupan po odvjetničkom društvu HANŽEKOVIĆ &amp;PARTNERI d.o.o., Zagreb, Radnička cesta 22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85941596441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Ulica Frana Folnegovića 6, Zagreb</w:t>
            </w:r>
          </w:p>
        </w:tc>
        <w:tc>
          <w:tcPr>
            <w:tcW w:w="15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right"/>
              <w:rPr/>
            </w:pPr>
            <w:r>
              <w:rPr>
                <w:rFonts w:ascii="Times New Roman" w:hAnsi="Times New Roman"/>
              </w:rPr>
              <w:t xml:space="preserve">294.286,73 </w:t>
            </w:r>
          </w:p>
        </w:tc>
        <w:tc>
          <w:tcPr>
            <w:tcW w:w="2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-računi</w:t>
            </w:r>
          </w:p>
        </w:tc>
      </w:tr>
      <w:tr>
        <w:trPr/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TAUROIMPEX S.R.L.</w:t>
            </w:r>
          </w:p>
          <w:p>
            <w:pPr>
              <w:pStyle w:val="NoSpacing"/>
              <w:spacing w:before="0" w:after="0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-zastupan  po</w:t>
            </w:r>
          </w:p>
          <w:p>
            <w:pPr>
              <w:pStyle w:val="NoSpacing"/>
              <w:spacing w:before="0" w:after="0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odvjetničkom društvu Divjak,Topič &amp; Bahtijarević d.o.o. iz Zagreba, Ivana Lučića 2A/18</w:t>
            </w:r>
          </w:p>
          <w:p>
            <w:pPr>
              <w:pStyle w:val="NoSpacing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54905043344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Temišvar, Rumunjska, Str. Martir Silviu Motohon Nr. 34/B, Judetul Timis</w:t>
            </w:r>
          </w:p>
        </w:tc>
        <w:tc>
          <w:tcPr>
            <w:tcW w:w="15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right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1.042.548,26 </w:t>
            </w:r>
          </w:p>
        </w:tc>
        <w:tc>
          <w:tcPr>
            <w:tcW w:w="2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-računi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-rješenje o ovrsi 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-predstečajna nagodba</w:t>
            </w:r>
          </w:p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-obračun kamata</w:t>
            </w:r>
          </w:p>
        </w:tc>
      </w:tr>
      <w:tr>
        <w:trPr/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4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VELPRO-CENTAR  plus d.o.o.</w:t>
            </w:r>
          </w:p>
          <w:p>
            <w:pPr>
              <w:pStyle w:val="NoSpacing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-zastupan po odvjetničko društvo Vukina &amp;Partneri d.o.o. Zagreb, Prila Gjure Deželića 30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81169150175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Marijana Čavića 1/a, Zagreb</w:t>
            </w:r>
          </w:p>
        </w:tc>
        <w:tc>
          <w:tcPr>
            <w:tcW w:w="15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68.071,63</w:t>
            </w:r>
          </w:p>
        </w:tc>
        <w:tc>
          <w:tcPr>
            <w:tcW w:w="2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-rješenje Trgovačkog suda u Zagrebu, Stalna služba Karlovac o odobrenju predstečajne nagodbe posl. br. Stpn-88/15</w:t>
            </w:r>
          </w:p>
          <w:p>
            <w:pPr>
              <w:pStyle w:val="Normal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-ugovor o prijenosu i prodaji tražbina između VELPRO-CENTAR d.o.o. i Konzuma od 21.prosinca 2016. godine</w:t>
            </w:r>
          </w:p>
          <w:p>
            <w:pPr>
              <w:pStyle w:val="Normal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ispis otvorenih stavki od 07. lipnja 2019. godine</w:t>
            </w:r>
          </w:p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-obračun zateznih kamata</w:t>
            </w:r>
          </w:p>
        </w:tc>
      </w:tr>
      <w:tr>
        <w:trPr/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ZAGORSKI VODOVOD    d.o.o.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61979475705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Zabok, Ksavera Šandora Gjalskog 1</w:t>
            </w:r>
          </w:p>
        </w:tc>
        <w:tc>
          <w:tcPr>
            <w:tcW w:w="15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10.561,10</w:t>
            </w:r>
          </w:p>
        </w:tc>
        <w:tc>
          <w:tcPr>
            <w:tcW w:w="2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-računi za isporučenu vodu </w:t>
            </w:r>
          </w:p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-rješenje Trgovačkog suda u Zagrebu, Stalna služba Karlovac o odobrenju predstečajne nagodbe posl. br. Stpn-88/15</w:t>
            </w:r>
          </w:p>
        </w:tc>
      </w:tr>
      <w:tr>
        <w:trPr/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00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center"/>
              <w:rPr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UKUPNO:  22.478.573,41</w:t>
            </w:r>
          </w:p>
        </w:tc>
        <w:tc>
          <w:tcPr>
            <w:tcW w:w="26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Spacing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Spacing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Spacing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</w:t>
      </w:r>
      <w:r>
        <w:rPr>
          <w:rFonts w:ascii="Times New Roman" w:hAnsi="Times New Roman"/>
          <w:sz w:val="24"/>
        </w:rPr>
        <w:t>VJEROVNICI S PRAVOM ODVOJENOG NAMIRENJA</w:t>
      </w:r>
    </w:p>
    <w:p>
      <w:pPr>
        <w:pStyle w:val="Normal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tbl>
      <w:tblPr>
        <w:tblpPr w:leftFromText="180" w:rightFromText="180" w:topFromText="0" w:bottomFromText="0" w:vertAnchor="text" w:horzAnchor="text" w:tblpXSpec="center" w:tblpX="0" w:tblpY="1"/>
        <w:tblW w:w="13539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816"/>
        <w:gridCol w:w="4253"/>
        <w:gridCol w:w="1700"/>
        <w:gridCol w:w="2551"/>
        <w:gridCol w:w="2268"/>
        <w:gridCol w:w="2"/>
        <w:gridCol w:w="1948"/>
      </w:tblGrid>
      <w:tr>
        <w:trPr/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>
            <w:pPr>
              <w:pStyle w:val="NoSpacing"/>
              <w:spacing w:before="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  <w:vAlign w:val="center"/>
          </w:tcPr>
          <w:p>
            <w:pPr>
              <w:pStyle w:val="NoSpacing"/>
              <w:spacing w:before="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Ime i prezime/ tvrtka ili naziv razlučnog vjerovnika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  <w:vAlign w:val="center"/>
          </w:tcPr>
          <w:p>
            <w:pPr>
              <w:pStyle w:val="NoSpacing"/>
              <w:spacing w:before="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  <w:vAlign w:val="center"/>
          </w:tcPr>
          <w:p>
            <w:pPr>
              <w:pStyle w:val="NoSpacing"/>
              <w:spacing w:before="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Adresa/sjedište razlučnog vjerovnika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  <w:vAlign w:val="center"/>
          </w:tcPr>
          <w:p>
            <w:pPr>
              <w:pStyle w:val="NoSpacing"/>
              <w:spacing w:before="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  <w:vAlign w:val="center"/>
          </w:tcPr>
          <w:p>
            <w:pPr>
              <w:pStyle w:val="NoSpacing"/>
              <w:spacing w:before="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Iznos tražbine osigurane razlučnim pravom</w:t>
            </w:r>
          </w:p>
        </w:tc>
      </w:tr>
      <w:tr>
        <w:trPr/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Valalta d.o.o.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9430736117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Cesta za Valaltu-Lim 7, Grad Rovinj -Rovigno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-zkč.br.1270/3, upisana u zk.ul. 3630 k.o. Psarjevo, u zemljišnim knjigama Općinskog suda u Sesvetama, Zemljišnoknjižni odjel Sveti Ivan Zelina,</w:t>
            </w:r>
          </w:p>
          <w:p>
            <w:pPr>
              <w:pStyle w:val="NoSpacing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-zkč.br.6176/1zkč. br.6176/2 i zkč. br.6176/3, sve upisane u zk.ul.2187 k.o. Poljanica Bistrička, u zemljišnim knjigama Općinskog suda u Zlataru, Zemljišnoknjižni odjel Donja Stubica,</w:t>
            </w:r>
          </w:p>
          <w:p>
            <w:pPr>
              <w:pStyle w:val="NoSpacing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-zkč.br.780/1/A/183,  upisan u zk.ul.4752 k.o. Donji Vidovec,</w:t>
            </w:r>
          </w:p>
          <w:p>
            <w:pPr>
              <w:pStyle w:val="NoSpacing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zkč.br.780/1/A/184,  upisan u zk.ul.4753 k.o. Donji Vidovec,</w:t>
            </w:r>
          </w:p>
          <w:p>
            <w:pPr>
              <w:pStyle w:val="NoSpacing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zkč.br.780/1/A/185,  upisan u zk.ul.4754k.o. Donji Vidovec,</w:t>
            </w:r>
          </w:p>
          <w:p>
            <w:pPr>
              <w:pStyle w:val="NoSpacing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zkč.br.780/1/A/186,  upisan u zk.ul.4755 k.o. Donji Vidovec,</w:t>
            </w:r>
          </w:p>
          <w:p>
            <w:pPr>
              <w:pStyle w:val="NoSpacing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zkč.br.780/1/A/187,  upisan u zk.ul.4756 k.o. Donji Vidovec, sve u zemljišnim knjigama Općinskog suda u Čakovcu, Zemljišnoknjižni odjel Prelog,</w:t>
            </w:r>
          </w:p>
          <w:p>
            <w:pPr>
              <w:pStyle w:val="NoSpacing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zk.ul.3595 k.o. Psarjevo, a koje pravo građenja je zasnovano na zkč.br.120/3, opisana kao ,, dvije gospodarske zgrade i dvorište“, površine 2.958 m2,, upisane u zk. ul. 3594 k.o., Psarjevo, u zemljišnim knjigama Općinskog suda u Sesvetama, Zemljišnoknjižni odjel Sveti Ivan Zelina.</w:t>
            </w:r>
          </w:p>
          <w:p>
            <w:pPr>
              <w:pStyle w:val="NoSpacing"/>
              <w:spacing w:before="0" w:after="8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4.841.084,91 kn</w:t>
            </w:r>
          </w:p>
        </w:tc>
      </w:tr>
      <w:tr>
        <w:trPr/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center"/>
              <w:rPr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Republika Hrvatska-Ministarstvo financija-Porezna uprava, Područni ured Zagreb,  zastupana po Županijskom državnom odvjetništvu u Zagrebu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Avenija Dubrovnik 32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rPr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-nekretnina upisana u zk.ul. 4754, k.o. Donji Vidovec, ZKO Prelog</w:t>
            </w:r>
          </w:p>
          <w:p>
            <w:pPr>
              <w:pStyle w:val="NoSpacing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Spacing"/>
              <w:spacing w:before="0" w:after="8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1.025.716,56 kn</w:t>
            </w:r>
          </w:p>
        </w:tc>
      </w:tr>
      <w:tr>
        <w:trPr/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B2 Kapital d.o.o.</w:t>
            </w:r>
          </w:p>
          <w:p>
            <w:pPr>
              <w:pStyle w:val="NoSpacing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-zastupano po Odvjetničkom društvu Hanžeković &amp; Partneri d.o.o., Radnička cesta 22, Zagreb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57509775367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widowControl/>
              <w:overflowPunct w:val="false"/>
              <w:bidi w:val="false"/>
              <w:spacing w:before="0" w:after="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Radnička cesta 41, Zagreb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tabs>
                <w:tab w:val="clear" w:pos="709"/>
                <w:tab w:val="left" w:leader="none" w:pos="1560"/>
              </w:tabs>
              <w:spacing w:before="0" w:after="0"/>
              <w:jc w:val="both"/>
              <w:rPr/>
            </w:pPr>
            <w:r>
              <w:rPr>
                <w:rFonts w:ascii="Times New Roman" w:hAnsi="Times New Roman"/>
                <w:szCs w:val="24"/>
              </w:rPr>
              <w:t>-nekretnina upisana u zk. ul. br. 2187, k.o. Poljanica Bistrička, k.č. br. 6176/1, u naravi silos i industrijsko dvorište kolosjek površine 1462 čhv, k.č.br. 6176/2 u naravi zgrada kolosjek površine 352 čhv, i k.č.br. 6176/3 u naravi zgrada kolosjek površine 352 čhv,</w:t>
            </w:r>
          </w:p>
          <w:p>
            <w:pPr>
              <w:pStyle w:val="Normal"/>
              <w:jc w:val="both"/>
              <w:rPr/>
            </w:pPr>
            <w:r>
              <w:rPr>
                <w:rFonts w:ascii="Times New Roman" w:hAnsi="Times New Roman"/>
                <w:szCs w:val="24"/>
              </w:rPr>
              <w:t>- upisana u zk. ul. br. 4751, k.o. Donji Vidovec, k.č. br. 780/1/A/182 u naravi oranica kalanica površine 301 čhv,</w:t>
            </w:r>
          </w:p>
          <w:p>
            <w:pPr>
              <w:pStyle w:val="Normal"/>
              <w:jc w:val="both"/>
              <w:rPr/>
            </w:pPr>
            <w:r>
              <w:rPr>
                <w:rFonts w:ascii="Times New Roman" w:hAnsi="Times New Roman"/>
                <w:szCs w:val="24"/>
              </w:rPr>
              <w:t>- upisana u zk.ul. br. 4752, k.o. Donji Vidovec, k.č. br. 780/1/A/183 u naravi oranica kalanica površine 407 čhv,</w:t>
            </w:r>
          </w:p>
          <w:p>
            <w:pPr>
              <w:pStyle w:val="Normal"/>
              <w:jc w:val="both"/>
              <w:rPr/>
            </w:pPr>
            <w:r>
              <w:rPr>
                <w:rFonts w:ascii="Times New Roman" w:hAnsi="Times New Roman"/>
                <w:szCs w:val="24"/>
              </w:rPr>
              <w:t>-upisana  u zk. ul. br. 4753, k.o. Donji Vidovec, k.č. br. 780/1/A/184 u naravi oranica kalanica površine 757 čhv,</w:t>
            </w:r>
          </w:p>
          <w:p>
            <w:pPr>
              <w:pStyle w:val="Normal"/>
              <w:jc w:val="both"/>
              <w:rPr/>
            </w:pPr>
            <w:r>
              <w:rPr>
                <w:rFonts w:ascii="Times New Roman" w:hAnsi="Times New Roman"/>
                <w:szCs w:val="24"/>
              </w:rPr>
              <w:t>- upisana u zk. ul. br. 4754, k.o. Donji Vidovec, k.č. br. 780/1/A/185 u naravi oranica kalanica površine 66 čhv,</w:t>
            </w:r>
          </w:p>
          <w:p>
            <w:pPr>
              <w:pStyle w:val="Normal"/>
              <w:jc w:val="both"/>
              <w:rPr/>
            </w:pPr>
            <w:r>
              <w:rPr>
                <w:rFonts w:ascii="Times New Roman" w:hAnsi="Times New Roman"/>
                <w:szCs w:val="24"/>
              </w:rPr>
              <w:t>- upisana u zk. ul. br. 4755, k.o. Donji Vidovec, k.č. br. 780/1/A/186 u naravi oranica kalanica površine 147 čhv</w:t>
            </w:r>
          </w:p>
          <w:p>
            <w:pPr>
              <w:pStyle w:val="Normal"/>
              <w:jc w:val="both"/>
              <w:rPr/>
            </w:pPr>
            <w:r>
              <w:rPr>
                <w:rFonts w:ascii="Times New Roman" w:hAnsi="Times New Roman"/>
                <w:szCs w:val="24"/>
              </w:rPr>
              <w:t>- upisana u zk. ul. br. 4756, k.o. Donji Vidovec, k.č. br. 780/1/A/187 u naravi oranica kalanica površine 114 čhv,</w:t>
            </w:r>
          </w:p>
          <w:p>
            <w:pPr>
              <w:pStyle w:val="Normal"/>
              <w:tabs>
                <w:tab w:val="clear" w:pos="709"/>
                <w:tab w:val="left" w:leader="none" w:pos="1560"/>
              </w:tabs>
              <w:spacing w:before="0" w:after="0"/>
              <w:jc w:val="both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- upisana u zk. ul. br. 3630, k.o. Psarjevo, k.č. br. 1270/3, u naravi oranica prugnica površine 10501 m2.</w:t>
            </w:r>
          </w:p>
          <w:p>
            <w:pPr>
              <w:pStyle w:val="Normal"/>
              <w:tabs>
                <w:tab w:val="clear" w:pos="709"/>
                <w:tab w:val="left" w:leader="none" w:pos="1560"/>
              </w:tabs>
              <w:spacing w:before="0" w:after="0"/>
              <w:jc w:val="both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zk.ul.3595 k.o. Psarjevo, a koje pravo građenja je zasnovano na zkč.br.120/3, opisana kao ,, dvije gospodarske zgrade i dvorište“, površine 2.958 m2,, upisane u zk. ul. 3594 k.o., Psarjevo, u zemljišnim knjigama Općinskog suda u Sesvetama, Zemljišnoknjižni odjel Sveti Ivan Zelina</w:t>
            </w:r>
          </w:p>
          <w:p>
            <w:pPr>
              <w:pStyle w:val="Normal"/>
              <w:tabs>
                <w:tab w:val="clear" w:pos="709"/>
                <w:tab w:val="left" w:leader="none" w:pos="1560"/>
              </w:tabs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6.977.758,77</w:t>
            </w:r>
          </w:p>
        </w:tc>
      </w:tr>
      <w:tr>
        <w:trPr/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077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rmal"/>
              <w:tabs>
                <w:tab w:val="clear" w:pos="709"/>
                <w:tab w:val="left" w:leader="none" w:pos="1560"/>
              </w:tabs>
              <w:spacing w:before="0" w:after="0"/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                                                                           </w:t>
            </w:r>
            <w:r>
              <w:rPr>
                <w:rFonts w:ascii="Times New Roman" w:hAnsi="Times New Roman"/>
                <w:b/>
                <w:szCs w:val="24"/>
              </w:rPr>
              <w:t>UKUPNO: 12.844.560,24</w:t>
            </w:r>
          </w:p>
        </w:tc>
        <w:tc>
          <w:tcPr>
            <w:tcW w:w="1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color="000000" w:sz="4" w:space="0"/>
              <w:insideV w:val="single" w:color="000000" w:sz="4" w:space="0"/>
            </w:tcBorders>
            <w:shd w:val="clear" w:fill="auto"/>
          </w:tcPr>
          <w:p>
            <w:pPr>
              <w:pStyle w:val="NoSpacing"/>
              <w:spacing w:before="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</w:t>
      </w:r>
      <w:r>
        <w:rPr>
          <w:rFonts w:ascii="Times New Roman" w:hAnsi="Times New Roman"/>
          <w:sz w:val="24"/>
        </w:rPr>
        <w:t>U Koprivnici, 01. listopada 2019. godine</w:t>
      </w:r>
    </w:p>
    <w:p>
      <w:pPr>
        <w:pStyle w:val="Normal"/>
        <w:rPr/>
      </w:pPr>
      <w:r>
        <w:rPr/>
      </w:r>
    </w:p>
    <w:p>
      <w:pPr>
        <w:pStyle w:val="Normal"/>
        <w:spacing w:before="0" w:after="0"/>
        <w:ind w:left="9072" w:hanging="907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</w:rPr>
        <w:t xml:space="preserve">Stečajni upravitelj  </w:t>
      </w:r>
    </w:p>
    <w:p>
      <w:pPr>
        <w:pStyle w:val="Normal"/>
        <w:spacing w:before="0" w:after="0"/>
        <w:ind w:left="9072" w:hanging="9072"/>
        <w:rPr/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</w:rPr>
        <w:t xml:space="preserve">Zlatko Kosec, dipl.oec.                            </w:t>
      </w:r>
    </w:p>
    <w:sectPr>
      <w:footnotePr>
        <w:numFmt w:val="decimal"/>
      </w:footnotePr>
      <w:type w:val="nextPage"/>
      <w:pgSz w:w="16838" w:h="11906" w:orient="landscape"/>
      <w:pgMar w:top="1417" w:right="1417" w:bottom="1417" w:left="1417" w:header="0" w:footer="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mbria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0">
    <w:p>
      <w:r>
        <w:separator/>
      </w:r>
    </w:p>
  </w:footnote>
  <w:footnote w:type="continuationSeparator" w:id="1">
    <w:p>
      <w:r>
        <w:continuationSeparator/>
      </w:r>
    </w:p>
  </w:footnote>
  <w:footnote w:id="2">
    <w:p>
      <w:pPr>
        <w:pStyle w:val="Fusnota"/>
        <w:spacing w:before="0" w:after="80"/>
        <w:rPr/>
      </w:pPr>
      <w:r>
        <w:rPr>
          <w:rStyle w:val="Znakovifusnote"/>
        </w:rPr>
        <w:footnoteRef/>
      </w:r>
      <w:r>
        <w:rPr/>
      </w:r>
    </w:p>
  </w:footnote>
</w:footnote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9"/>
  <w:footnotePr>
    <w:numFmt w:val="decimal"/>
    <w:footnote w:id="0"/>
    <w:footnote w:id="1"/>
  </w:footnotePr>
  <w:compat/>
  <w:themeFontLang w:val="hr-HR" w:eastAsia="" w:bidi="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Liberation Serif" w:hAnsi="Liberation Serif" w:eastAsia="NSimSun" w:cs="Arial"/>
        <w:kern w:val="2"/>
        <w:szCs w:val="24"/>
        <w:lang w:val="hr-HR" w:eastAsia="zh-CN" w:bidi="hi-IN"/>
      </w:rPr>
    </w:rPrDefault>
    <w:pPrDefault>
      <w:pPr/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02487"/>
    <w:pPr>
      <w:widowControl/>
      <w:overflowPunct w:val="false"/>
      <w:bidi w:val="false"/>
      <w:spacing w:before="0" w:after="80"/>
      <w:jc w:val="left"/>
    </w:pPr>
    <w:rPr>
      <w:rFonts w:ascii="Calibri" w:hAnsi="Calibri" w:eastAsia="Calibri" w:cs="Times New Roman" w:asciiTheme="minorHAnsi" w:hAnsiTheme="minorHAnsi"/>
      <w:color w:val="auto"/>
      <w:kern w:val="0"/>
      <w:sz w:val="22"/>
      <w:szCs w:val="22"/>
      <w:lang w:val="hr-HR" w:eastAsia="en-US" w:bidi="ar-SA"/>
    </w:rPr>
  </w:style>
  <w:style w:type="paragraph" w:styleId="Stilnaslova1">
    <w:name w:val="Heading 1"/>
    <w:basedOn w:val="Normal"/>
    <w:next w:val="Normal"/>
    <w:link w:val="Heading1Char"/>
    <w:uiPriority w:val="9"/>
    <w:qFormat/>
    <w:rsid w:val="00a0517b"/>
    <w:pPr>
      <w:keepNext w:val="true"/>
      <w:keepLines/>
      <w:spacing w:before="480" w:after="0"/>
      <w:outlineLvl w:val="0"/>
    </w:pPr>
    <w:rPr>
      <w:rFonts w:ascii="Cambria" w:hAnsi="Cambria" w:eastAsia="" w:cs=""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DefaultParagraphFont" w:default="true">
    <w:name w:val="Default Paragraph Font"/>
    <w:uiPriority w:val="1"/>
    <w:semiHidden/>
    <w:unhideWhenUsed/>
    <w:qFormat/>
    <w:rPr/>
  </w:style>
  <w:style w:type="character" w:styleId="FootnoteTextChar" w:customStyle="true">
    <w:name w:val="Footnote Text Char"/>
    <w:basedOn w:val="DefaultParagraphFont"/>
    <w:link w:val="FootnoteText"/>
    <w:uiPriority w:val="99"/>
    <w:semiHidden/>
    <w:qFormat/>
    <w:rsid w:val="00702487"/>
    <w:rPr>
      <w:rFonts w:ascii="Calibri" w:hAnsi="Calibri" w:eastAsia="Calibri" w:cs="Times New Roman"/>
      <w:sz w:val="20"/>
      <w:szCs w:val="20"/>
      <w:lang w:eastAsia="en-US"/>
    </w:rPr>
  </w:style>
  <w:style w:type="character" w:styleId="Sidrofusnote" w:customStyle="true">
    <w:name w:val="Sidro fusnote"/>
    <w:rsid w:val="003a4a6a"/>
    <w:rPr>
      <w:rFonts w:cs="Times New Roman"/>
      <w:vertAlign w:val="superscript"/>
    </w:rPr>
  </w:style>
  <w:style w:type="character" w:styleId="FootnoteCharacters" w:customStyle="true">
    <w:name w:val="Footnote Characters"/>
    <w:uiPriority w:val="99"/>
    <w:semiHidden/>
    <w:qFormat/>
    <w:rsid w:val="00702487"/>
    <w:rPr>
      <w:rFonts w:cs="Times New Roman"/>
      <w:vertAlign w:val="superscript"/>
    </w:rPr>
  </w:style>
  <w:style w:type="character" w:styleId="BalloonTextChar" w:customStyle="true">
    <w:name w:val="Balloon Text Char"/>
    <w:basedOn w:val="DefaultParagraphFont"/>
    <w:link w:val="BalloonText"/>
    <w:uiPriority w:val="99"/>
    <w:semiHidden/>
    <w:qFormat/>
    <w:rsid w:val="003e1ea0"/>
    <w:rPr>
      <w:rFonts w:ascii="Tahoma" w:hAnsi="Tahoma" w:eastAsia="Calibri" w:cs="Tahoma"/>
      <w:sz w:val="16"/>
      <w:szCs w:val="16"/>
      <w:lang w:eastAsia="en-US"/>
    </w:rPr>
  </w:style>
  <w:style w:type="character" w:styleId="Heading1Char" w:customStyle="true">
    <w:name w:val="Heading 1 Char"/>
    <w:basedOn w:val="DefaultParagraphFont"/>
    <w:link w:val="Heading1"/>
    <w:uiPriority w:val="9"/>
    <w:qFormat/>
    <w:rsid w:val="00a0517b"/>
    <w:rPr>
      <w:rFonts w:ascii="Cambria" w:hAnsi="Cambria" w:eastAsia="" w:cs=""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en-US"/>
    </w:rPr>
  </w:style>
  <w:style w:type="character" w:styleId="ListLabel1" w:customStyle="true">
    <w:name w:val="ListLabel 1"/>
    <w:qFormat/>
    <w:rsid w:val="003a4a6a"/>
    <w:rPr>
      <w:rFonts w:eastAsia="Times New Roman" w:cs="Times New Roman"/>
    </w:rPr>
  </w:style>
  <w:style w:type="character" w:styleId="ListLabel2" w:customStyle="true">
    <w:name w:val="ListLabel 2"/>
    <w:qFormat/>
    <w:rsid w:val="003a4a6a"/>
    <w:rPr>
      <w:rFonts w:cs="Courier New"/>
    </w:rPr>
  </w:style>
  <w:style w:type="character" w:styleId="ListLabel3" w:customStyle="true">
    <w:name w:val="ListLabel 3"/>
    <w:qFormat/>
    <w:rsid w:val="003a4a6a"/>
    <w:rPr>
      <w:rFonts w:cs="Courier New"/>
    </w:rPr>
  </w:style>
  <w:style w:type="character" w:styleId="ListLabel4" w:customStyle="true">
    <w:name w:val="ListLabel 4"/>
    <w:qFormat/>
    <w:rsid w:val="003a4a6a"/>
    <w:rPr>
      <w:rFonts w:cs="Courier New"/>
    </w:rPr>
  </w:style>
  <w:style w:type="character" w:styleId="ListLabel5" w:customStyle="true">
    <w:name w:val="ListLabel 5"/>
    <w:qFormat/>
    <w:rsid w:val="003a4a6a"/>
    <w:rPr>
      <w:rFonts w:eastAsia="Times New Roman" w:cs="Times New Roman"/>
    </w:rPr>
  </w:style>
  <w:style w:type="character" w:styleId="ListLabel6" w:customStyle="true">
    <w:name w:val="ListLabel 6"/>
    <w:qFormat/>
    <w:rsid w:val="003a4a6a"/>
    <w:rPr>
      <w:rFonts w:cs="Courier New"/>
    </w:rPr>
  </w:style>
  <w:style w:type="character" w:styleId="ListLabel7" w:customStyle="true">
    <w:name w:val="ListLabel 7"/>
    <w:qFormat/>
    <w:rsid w:val="003a4a6a"/>
    <w:rPr>
      <w:rFonts w:cs="Courier New"/>
    </w:rPr>
  </w:style>
  <w:style w:type="character" w:styleId="ListLabel8" w:customStyle="true">
    <w:name w:val="ListLabel 8"/>
    <w:qFormat/>
    <w:rsid w:val="003a4a6a"/>
    <w:rPr>
      <w:rFonts w:cs="Courier New"/>
    </w:rPr>
  </w:style>
  <w:style w:type="character" w:styleId="Znakovifusnote" w:customStyle="true">
    <w:name w:val="Znakovi fusnote"/>
    <w:qFormat/>
    <w:rsid w:val="003a4a6a"/>
    <w:rPr/>
  </w:style>
  <w:style w:type="character" w:styleId="Sidrozavrnebiljeke" w:customStyle="true">
    <w:name w:val="Sidro završne bilješke"/>
    <w:rsid w:val="003a4a6a"/>
    <w:rPr>
      <w:vertAlign w:val="superscript"/>
    </w:rPr>
  </w:style>
  <w:style w:type="character" w:styleId="Znakovioznaavanjazavrnihbiljeki" w:customStyle="true">
    <w:name w:val="Znakovi označavanja završnih bilješki"/>
    <w:qFormat/>
    <w:rsid w:val="003a4a6a"/>
    <w:rPr/>
  </w:style>
  <w:style w:type="character" w:styleId="Internetskapoveznica" w:customStyle="true">
    <w:name w:val="Internetska poveznica"/>
    <w:basedOn w:val="DefaultParagraphFont"/>
    <w:rsid w:val="003a4a6a"/>
    <w:rPr>
      <w:color w:val="0000FF"/>
      <w:u w:val="single"/>
    </w:rPr>
  </w:style>
  <w:style w:type="paragraph" w:styleId="Stilnaslova" w:customStyle="true">
    <w:name w:val="Stil naslova"/>
    <w:basedOn w:val="Normal"/>
    <w:next w:val="Tijeloteksta"/>
    <w:qFormat/>
    <w:rsid w:val="003a4a6a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ijeloteksta">
    <w:name w:val="Body Text"/>
    <w:basedOn w:val="Normal"/>
    <w:rsid w:val="003a4a6a"/>
    <w:pPr>
      <w:spacing w:before="0" w:after="140" w:line="276" w:lineRule="auto"/>
    </w:pPr>
    <w:rPr/>
  </w:style>
  <w:style w:type="paragraph" w:styleId="Popis">
    <w:name w:val="List"/>
    <w:basedOn w:val="Tijeloteksta"/>
    <w:rsid w:val="003a4a6a"/>
    <w:pPr/>
    <w:rPr>
      <w:rFonts w:cs="Arial"/>
    </w:rPr>
  </w:style>
  <w:style w:type="paragraph" w:styleId="Opiselement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true">
    <w:name w:val="Indeks"/>
    <w:basedOn w:val="Normal"/>
    <w:qFormat/>
    <w:rsid w:val="003a4a6a"/>
    <w:pPr>
      <w:suppressLineNumbers/>
    </w:pPr>
    <w:rPr>
      <w:rFonts w:cs="Arial"/>
    </w:rPr>
  </w:style>
  <w:style w:type="paragraph" w:styleId="Caption">
    <w:name w:val="caption"/>
    <w:basedOn w:val="Normal"/>
    <w:qFormat/>
    <w:rsid w:val="003a4a6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oSpacing">
    <w:name w:val="No Spacing"/>
    <w:uiPriority w:val="99"/>
    <w:qFormat/>
    <w:rsid w:val="00702487"/>
    <w:pPr>
      <w:widowControl/>
      <w:overflowPunct w:val="false"/>
      <w:bidi w:val="false"/>
      <w:spacing w:before="0" w:after="8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hr-HR" w:eastAsia="en-US" w:bidi="ar-SA"/>
    </w:rPr>
  </w:style>
  <w:style w:type="paragraph" w:styleId="Fusnota">
    <w:name w:val="Footnote Text"/>
    <w:basedOn w:val="Normal"/>
    <w:link w:val="FootnoteTextChar"/>
    <w:uiPriority w:val="99"/>
    <w:semiHidden/>
    <w:rsid w:val="00702487"/>
    <w:pPr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e1ea0"/>
    <w:pPr>
      <w:spacing w:before="0" w:after="0"/>
    </w:pPr>
    <w:rPr>
      <w:rFonts w:ascii="Tahoma" w:hAnsi="Tahoma" w:cs="Tahoma"/>
      <w:sz w:val="16"/>
      <w:szCs w:val="16"/>
    </w:rPr>
  </w:style>
  <w:style w:type="paragraph" w:styleId="Sadrajitablice" w:customStyle="true">
    <w:name w:val="Sadržaji tablice"/>
    <w:basedOn w:val="Normal"/>
    <w:qFormat/>
    <w:rsid w:val="003a4a6a"/>
    <w:pPr>
      <w:suppressLineNumbers/>
    </w:pPr>
    <w:rPr/>
  </w:style>
  <w:style w:type="paragraph" w:styleId="ListParagraph">
    <w:name w:val="List Paragraph"/>
    <w:basedOn w:val="Normal"/>
    <w:qFormat/>
    <w:rsid w:val="003a4a6a"/>
    <w:pPr>
      <w:spacing w:before="0" w:after="200"/>
      <w:ind w:left="720" w:hanging="0"/>
      <w:contextualSpacing/>
    </w:pPr>
    <w:rPr/>
  </w:style>
  <w:style w:type="numbering" w:styleId="NoList" w:default="true">
    <w:name w:val="No List"/>
    <w:uiPriority w:val="99"/>
    <w:semiHidden/>
    <w:unhideWhenUsed/>
    <w:qFormat/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Target="styles.xml" Type="http://schemas.openxmlformats.org/officeDocument/2006/relationships/styles" Id="rId1"/><Relationship Target="footnotes.xml" Type="http://schemas.openxmlformats.org/officeDocument/2006/relationships/footnotes" Id="rId2"/><Relationship Target="fontTable.xml" Type="http://schemas.openxmlformats.org/officeDocument/2006/relationships/fontTable" Id="rId3"/><Relationship Target="settings.xml" Type="http://schemas.openxmlformats.org/officeDocument/2006/relationships/settings" Id="rId4"/><Relationship Target="theme/theme1.xml" Type="http://schemas.openxmlformats.org/officeDocument/2006/relationships/theme" Id="rId5"/><Relationship Target="../customXml/item1.xml" Type="http://schemas.openxmlformats.org/officeDocument/2006/relationships/customXml" Id="rId6"/><Relationship Target="../customXml/item1c.xml" Type="http://schemas.openxmlformats.org/officeDocument/2006/relationships/customXml" Id="rId7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BA64A21C-353A-4AC5-911B-E78639B19798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IBM Corporation</properties:Company>
  <properties:Pages>22</properties:Pages>
  <properties:Words>2235</properties:Words>
  <properties:Characters>14611</properties:Characters>
  <properties:Paragraphs>372</properties:Paragraphs>
  <properties:TotalTime>439</properties:TotalTime>
  <properties:CharactersWithSpaces>17346</properties:CharactersWithSpaces>
  <properties:Application>LibreOffice/6.1.5.2$Windows_X86_64 LibreOffice_project/90f8dcf33c87b3705e78202e3df5142b201bd805</properties:Application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2019-08-07T10:41:00Z</dcterms:created>
  <dc:creator>ADMINIBM</dc:creator>
  <dc:description/>
  <dc:language>hr-HR</dc:language>
  <cp:lastModifiedBy/>
  <cp:lastPrinted>2019-09-19T10:45:00Z</cp:lastPrinted>
  <dcterms:modified xmlns:xsi="http://www.w3.org/2001/XMLSchema-instance" xsi:type="dcterms:W3CDTF">2019-10-04T14:12:22Z</dcterms:modified>
  <cp:revision>52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AppVersion">
    <vt:lpwstr>12.0000</vt:lpwstr>
  </prop:property>
  <prop:property fmtid="{D5CDD505-2E9C-101B-9397-08002B2CF9AE}" pid="3" name="Company">
    <vt:lpwstr>IBM Corporation</vt:lpwstr>
  </prop:property>
  <prop:property fmtid="{D5CDD505-2E9C-101B-9397-08002B2CF9AE}" pid="4" name="DocSecurity">
    <vt:i4>0</vt:i4>
  </prop:property>
  <prop:property fmtid="{D5CDD505-2E9C-101B-9397-08002B2CF9AE}" pid="5" name="HyperlinksChanged">
    <vt:bool>false</vt:bool>
  </prop:property>
  <prop:property fmtid="{D5CDD505-2E9C-101B-9397-08002B2CF9AE}" pid="6" name="LinksUpToDate">
    <vt:bool>false</vt:bool>
  </prop:property>
  <prop:property fmtid="{D5CDD505-2E9C-101B-9397-08002B2CF9AE}" pid="7" name="ScaleCrop">
    <vt:bool>false</vt:bool>
  </prop:property>
  <prop:property fmtid="{D5CDD505-2E9C-101B-9397-08002B2CF9AE}" pid="8" name="ShareDoc">
    <vt:bool>false</vt:bool>
  </prop:property>
</prop:Properties>
</file>