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c450b" w14:paraId="9fc450b" w:rsidRDefault="00916D8E" w:rsidP="00916D8E" w:rsidR="00916D8E">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916D8E" w:rsidP="00916D8E" w:rsidR="00916D8E">
      <w:pPr>
        <w:spacing w:after="0"/>
        <w:jc w:val="both"/>
      </w:pPr>
      <w:r>
        <w:t xml:space="preserve">         REPUBLIKA HRVATSKA</w:t>
      </w:r>
    </w:p>
    <w:p w:rsidRDefault="00916D8E" w:rsidP="00916D8E" w:rsidR="00916D8E">
      <w:pPr>
        <w:spacing w:after="0"/>
        <w:jc w:val="both"/>
      </w:pPr>
      <w:r>
        <w:rPr>
          <w:lang w:val="pt-BR"/>
        </w:rPr>
        <w:t>TRGOVA</w:t>
      </w:r>
      <w:r>
        <w:t>Č</w:t>
      </w:r>
      <w:r>
        <w:rPr>
          <w:lang w:val="pt-BR"/>
        </w:rPr>
        <w:t>KI SUD U VARA</w:t>
      </w:r>
      <w:r>
        <w:t>Ž</w:t>
      </w:r>
      <w:r>
        <w:rPr>
          <w:lang w:val="pt-BR"/>
        </w:rPr>
        <w:t>DINU</w:t>
      </w:r>
    </w:p>
    <w:p w:rsidRDefault="00916D8E" w:rsidP="00916D8E" w:rsidR="00916D8E">
      <w:pPr>
        <w:spacing w:after="0"/>
        <w:rPr>
          <w:bCs/>
        </w:rPr>
      </w:pPr>
      <w:r>
        <w:t xml:space="preserve">                      </w:t>
      </w:r>
      <w:r>
        <w:rPr>
          <w:lang w:val="pt-BR"/>
        </w:rPr>
        <w:t>B. Radić 2</w:t>
      </w:r>
      <w:r>
        <w:rPr>
          <w:bCs/>
        </w:rPr>
        <w:t xml:space="preserve">   </w:t>
      </w:r>
    </w:p>
    <w:p w:rsidRDefault="00916D8E" w:rsidP="00916D8E" w:rsidR="00916D8E">
      <w:pPr>
        <w:spacing w:after="0"/>
      </w:pPr>
      <w:r>
        <w:tab/>
      </w:r>
      <w:r>
        <w:tab/>
      </w:r>
    </w:p>
    <w:p w:rsidRDefault="00916D8E" w:rsidP="00916D8E" w:rsidR="00916D8E">
      <w:pPr>
        <w:spacing w:after="0"/>
        <w:jc w:val="center"/>
      </w:pPr>
      <w:r>
        <w:t>R E P U B L I K A   H R V A T S K A</w:t>
      </w:r>
    </w:p>
    <w:p w:rsidRDefault="00916D8E" w:rsidP="00916D8E" w:rsidR="00916D8E">
      <w:pPr>
        <w:spacing w:after="0"/>
        <w:jc w:val="center"/>
      </w:pPr>
    </w:p>
    <w:p w:rsidRDefault="00916D8E" w:rsidP="00916D8E" w:rsidR="00916D8E">
      <w:pPr>
        <w:spacing w:after="0"/>
        <w:jc w:val="center"/>
      </w:pPr>
      <w:r>
        <w:t>R J E Š E NJ E</w:t>
      </w:r>
    </w:p>
    <w:p w:rsidRDefault="00916D8E" w:rsidP="00916D8E" w:rsidR="00916D8E">
      <w:pPr>
        <w:spacing w:after="0"/>
        <w:jc w:val="center"/>
      </w:pPr>
    </w:p>
    <w:p w:rsidRDefault="00916D8E" w:rsidP="00916D8E" w:rsidR="00916D8E">
      <w:pPr>
        <w:spacing w:after="0"/>
        <w:jc w:val="both"/>
      </w:pPr>
    </w:p>
    <w:p w:rsidRDefault="00916D8E" w:rsidP="00916D8E" w:rsidR="00916D8E">
      <w:pPr>
        <w:spacing w:after="0"/>
        <w:ind w:firstLine="708"/>
        <w:jc w:val="both"/>
      </w:pPr>
      <w:r>
        <w:t xml:space="preserve">TRGOVAČKI SUD U VARAŽDINU, po sucu toga suda Jasni Lekić, u predstečajnom postupku nad dužnikom ARMIRAČ-MONTAŽA d.o.o. Varaždin, Trakošćanska 9b, OIB: 32506593096, nakon održanog ročišta radi ispitivanja tražbina, dana 10. travnja 2017. godine, </w:t>
      </w:r>
    </w:p>
    <w:p w:rsidRDefault="00916D8E" w:rsidP="00916D8E" w:rsidR="00916D8E">
      <w:pPr>
        <w:spacing w:after="0"/>
        <w:jc w:val="both"/>
      </w:pPr>
    </w:p>
    <w:p w:rsidRDefault="00916D8E" w:rsidP="00916D8E" w:rsidR="00916D8E">
      <w:pPr>
        <w:spacing w:after="0"/>
        <w:jc w:val="center"/>
      </w:pPr>
      <w:r>
        <w:t>r i j e š i o  j e</w:t>
      </w:r>
    </w:p>
    <w:p w:rsidRDefault="00916D8E" w:rsidP="00916D8E" w:rsidR="00916D8E">
      <w:pPr>
        <w:spacing w:after="0"/>
        <w:jc w:val="center"/>
      </w:pPr>
    </w:p>
    <w:p w:rsidRDefault="00916D8E" w:rsidP="00916D8E" w:rsidR="00916D8E">
      <w:pPr>
        <w:spacing w:after="0"/>
        <w:jc w:val="both"/>
        <w:rPr>
          <w:b/>
        </w:rPr>
      </w:pPr>
      <w:r>
        <w:tab/>
      </w:r>
      <w:r>
        <w:rPr>
          <w:b/>
        </w:rPr>
        <w:t>I/ Utvrđuju se osnovanim slijedeće tražbine:</w:t>
      </w:r>
    </w:p>
    <w:p w:rsidRDefault="00916D8E" w:rsidP="00916D8E" w:rsidR="00916D8E">
      <w:pPr>
        <w:spacing w:after="0"/>
        <w:jc w:val="both"/>
      </w:pPr>
    </w:p>
    <w:tbl>
      <w:tblPr>
        <w:tblW w:type="dxa" w:w="9210"/>
        <w:tblLayout w:type="fixed"/>
        <w:tblLook w:val="04A0" w:noVBand="1" w:noHBand="0" w:lastColumn="0" w:firstColumn="1" w:lastRow="0" w:firstRow="1"/>
      </w:tblPr>
      <w:tblGrid>
        <w:gridCol w:w="441"/>
        <w:gridCol w:w="955"/>
        <w:gridCol w:w="1041"/>
        <w:gridCol w:w="1245"/>
        <w:gridCol w:w="1559"/>
        <w:gridCol w:w="1276"/>
        <w:gridCol w:w="425"/>
        <w:gridCol w:w="1276"/>
        <w:gridCol w:w="992"/>
      </w:tblGrid>
      <w:tr w:rsidTr="00916D8E" w:rsidR="00916D8E">
        <w:trPr>
          <w:trHeight w:val="756"/>
        </w:trPr>
        <w:tc>
          <w:tcPr>
            <w:tcW w:type="dxa" w:w="440"/>
            <w:tcBorders>
              <w:top w:space="0" w:sz="4" w:color="auto" w:val="single"/>
              <w:left w:space="0" w:sz="4" w:color="auto" w:val="single"/>
              <w:bottom w:space="0" w:sz="4" w:color="auto" w:val="single"/>
              <w:right w:space="0" w:sz="4" w:color="auto" w:val="single"/>
            </w:tcBorders>
            <w:shd w:fill="5B9BD5" w:color="auto" w:val="clear"/>
            <w:noWrap/>
            <w:vAlign w:val="center"/>
            <w:hideMark/>
          </w:tcPr>
          <w:p w:rsidRDefault="00916D8E" w:rsidP="00916D8E" w:rsidR="00916D8E">
            <w:pPr>
              <w:spacing w:after="0"/>
              <w:jc w:val="center"/>
              <w:rPr>
                <w:rFonts w:cs="Calibri"/>
                <w:b/>
                <w:bCs/>
                <w:color w:val="000000"/>
                <w:sz w:val="10"/>
                <w:szCs w:val="10"/>
              </w:rPr>
            </w:pPr>
            <w:r>
              <w:rPr>
                <w:rFonts w:cs="Calibri"/>
                <w:b/>
                <w:bCs/>
                <w:color w:val="000000"/>
                <w:sz w:val="10"/>
                <w:szCs w:val="10"/>
              </w:rPr>
              <w:t>RBR</w:t>
            </w:r>
          </w:p>
        </w:tc>
        <w:tc>
          <w:tcPr>
            <w:tcW w:type="dxa" w:w="955"/>
            <w:tcBorders>
              <w:top w:space="0" w:sz="4" w:color="auto" w:val="single"/>
              <w:left w:val="nil"/>
              <w:bottom w:space="0" w:sz="4" w:color="auto" w:val="single"/>
              <w:right w:space="0" w:sz="4" w:color="auto" w:val="single"/>
            </w:tcBorders>
            <w:shd w:fill="5B9BD5" w:color="auto" w:val="clear"/>
            <w:noWrap/>
            <w:vAlign w:val="center"/>
            <w:hideMark/>
          </w:tcPr>
          <w:p w:rsidRDefault="00916D8E" w:rsidP="00916D8E" w:rsidR="00916D8E">
            <w:pPr>
              <w:spacing w:after="0"/>
              <w:jc w:val="center"/>
              <w:rPr>
                <w:rFonts w:cs="Calibri"/>
                <w:b/>
                <w:bCs/>
                <w:color w:val="000000"/>
                <w:sz w:val="10"/>
                <w:szCs w:val="10"/>
              </w:rPr>
            </w:pPr>
            <w:r>
              <w:rPr>
                <w:rFonts w:cs="Calibri"/>
                <w:b/>
                <w:bCs/>
                <w:color w:val="000000"/>
                <w:sz w:val="10"/>
                <w:szCs w:val="10"/>
              </w:rPr>
              <w:t>OIB VJEROVNIKA</w:t>
            </w:r>
          </w:p>
        </w:tc>
        <w:tc>
          <w:tcPr>
            <w:tcW w:type="dxa" w:w="1041"/>
            <w:tcBorders>
              <w:top w:space="0" w:sz="4" w:color="auto" w:val="single"/>
              <w:left w:val="nil"/>
              <w:bottom w:space="0" w:sz="4" w:color="auto" w:val="single"/>
              <w:right w:space="0" w:sz="4" w:color="auto" w:val="single"/>
            </w:tcBorders>
            <w:shd w:fill="5B9BD5" w:color="auto" w:val="clear"/>
            <w:vAlign w:val="center"/>
            <w:hideMark/>
          </w:tcPr>
          <w:p w:rsidRDefault="00916D8E" w:rsidP="00916D8E" w:rsidR="00916D8E">
            <w:pPr>
              <w:spacing w:after="0"/>
              <w:jc w:val="center"/>
              <w:rPr>
                <w:rFonts w:cs="Calibri"/>
                <w:b/>
                <w:bCs/>
                <w:color w:val="000000"/>
                <w:sz w:val="10"/>
                <w:szCs w:val="10"/>
              </w:rPr>
            </w:pPr>
            <w:r>
              <w:rPr>
                <w:rFonts w:cs="Calibri"/>
                <w:b/>
                <w:bCs/>
                <w:color w:val="000000"/>
                <w:sz w:val="10"/>
                <w:szCs w:val="10"/>
              </w:rPr>
              <w:t>ADRESA</w:t>
            </w:r>
          </w:p>
        </w:tc>
        <w:tc>
          <w:tcPr>
            <w:tcW w:type="dxa" w:w="1245"/>
            <w:tcBorders>
              <w:top w:space="0" w:sz="4" w:color="auto" w:val="single"/>
              <w:left w:val="nil"/>
              <w:bottom w:space="0" w:sz="4" w:color="auto" w:val="single"/>
              <w:right w:space="0" w:sz="4" w:color="auto" w:val="single"/>
            </w:tcBorders>
            <w:shd w:fill="5B9BD5" w:color="auto" w:val="clear"/>
            <w:noWrap/>
            <w:vAlign w:val="center"/>
            <w:hideMark/>
          </w:tcPr>
          <w:p w:rsidRDefault="00916D8E" w:rsidP="00916D8E" w:rsidR="00916D8E">
            <w:pPr>
              <w:spacing w:after="0"/>
              <w:jc w:val="center"/>
              <w:rPr>
                <w:rFonts w:cs="Calibri"/>
                <w:b/>
                <w:bCs/>
                <w:color w:val="000000"/>
                <w:sz w:val="10"/>
                <w:szCs w:val="10"/>
              </w:rPr>
            </w:pPr>
            <w:r>
              <w:rPr>
                <w:rFonts w:cs="Calibri"/>
                <w:b/>
                <w:bCs/>
                <w:color w:val="000000"/>
                <w:sz w:val="10"/>
                <w:szCs w:val="10"/>
              </w:rPr>
              <w:t>NAZIV VJEROVNIKA</w:t>
            </w:r>
          </w:p>
        </w:tc>
        <w:tc>
          <w:tcPr>
            <w:tcW w:type="dxa" w:w="1559"/>
            <w:tcBorders>
              <w:top w:space="0" w:sz="4" w:color="auto" w:val="single"/>
              <w:left w:val="nil"/>
              <w:bottom w:space="0" w:sz="4" w:color="auto" w:val="single"/>
              <w:right w:space="0" w:sz="4" w:color="auto" w:val="single"/>
            </w:tcBorders>
            <w:shd w:fill="5B9BD5" w:color="auto" w:val="clear"/>
            <w:vAlign w:val="center"/>
            <w:hideMark/>
          </w:tcPr>
          <w:p w:rsidRDefault="00916D8E" w:rsidP="00916D8E" w:rsidR="00916D8E">
            <w:pPr>
              <w:spacing w:after="0"/>
              <w:jc w:val="center"/>
              <w:rPr>
                <w:rFonts w:cs="Calibri"/>
                <w:b/>
                <w:bCs/>
                <w:color w:val="000000"/>
                <w:sz w:val="10"/>
                <w:szCs w:val="10"/>
              </w:rPr>
            </w:pPr>
            <w:r>
              <w:rPr>
                <w:rFonts w:cs="Calibri"/>
                <w:b/>
                <w:bCs/>
                <w:color w:val="000000"/>
                <w:sz w:val="10"/>
                <w:szCs w:val="10"/>
              </w:rPr>
              <w:t>IZNOS OBVEZE PREMA IZVJEŠĆU DUŽNIKA</w:t>
            </w:r>
          </w:p>
        </w:tc>
        <w:tc>
          <w:tcPr>
            <w:tcW w:type="dxa" w:w="1276"/>
            <w:tcBorders>
              <w:top w:space="0" w:sz="4" w:color="auto" w:val="single"/>
              <w:left w:val="nil"/>
              <w:bottom w:space="0" w:sz="4" w:color="auto" w:val="single"/>
              <w:right w:space="0" w:sz="4" w:color="auto" w:val="single"/>
            </w:tcBorders>
            <w:shd w:fill="5B9BD5" w:color="auto" w:val="clear"/>
            <w:vAlign w:val="center"/>
            <w:hideMark/>
          </w:tcPr>
          <w:p w:rsidRDefault="00916D8E" w:rsidP="00916D8E" w:rsidR="00916D8E">
            <w:pPr>
              <w:spacing w:after="0"/>
              <w:jc w:val="center"/>
              <w:rPr>
                <w:rFonts w:cs="Calibri"/>
                <w:b/>
                <w:bCs/>
                <w:color w:val="000000"/>
                <w:sz w:val="10"/>
                <w:szCs w:val="10"/>
              </w:rPr>
            </w:pPr>
            <w:r>
              <w:rPr>
                <w:rFonts w:cs="Calibri"/>
                <w:b/>
                <w:bCs/>
                <w:color w:val="000000"/>
                <w:sz w:val="10"/>
                <w:szCs w:val="10"/>
              </w:rPr>
              <w:t>IZNOS TRAŽBINE PREMA PRIJAVI VJEROVNIKA</w:t>
            </w:r>
          </w:p>
        </w:tc>
        <w:tc>
          <w:tcPr>
            <w:tcW w:type="dxa" w:w="425"/>
            <w:tcBorders>
              <w:top w:space="0" w:sz="4" w:color="auto" w:val="single"/>
              <w:left w:val="nil"/>
              <w:bottom w:space="0" w:sz="4" w:color="auto" w:val="single"/>
              <w:right w:space="0" w:sz="4" w:color="auto" w:val="single"/>
            </w:tcBorders>
            <w:shd w:fill="5B9BD5" w:color="auto" w:val="clear"/>
            <w:vAlign w:val="center"/>
            <w:hideMark/>
          </w:tcPr>
          <w:p w:rsidRDefault="00916D8E" w:rsidP="00916D8E" w:rsidR="00916D8E">
            <w:pPr>
              <w:spacing w:after="0"/>
              <w:jc w:val="center"/>
              <w:rPr>
                <w:rFonts w:cs="Calibri"/>
                <w:b/>
                <w:bCs/>
                <w:color w:val="000000"/>
                <w:sz w:val="10"/>
                <w:szCs w:val="10"/>
              </w:rPr>
            </w:pPr>
            <w:r>
              <w:rPr>
                <w:rFonts w:cs="Calibri"/>
                <w:b/>
                <w:bCs/>
                <w:color w:val="000000"/>
                <w:sz w:val="10"/>
                <w:szCs w:val="10"/>
              </w:rPr>
              <w:t>OVRŠNA ISPRAVA (DA/NE)</w:t>
            </w:r>
          </w:p>
        </w:tc>
        <w:tc>
          <w:tcPr>
            <w:tcW w:type="dxa" w:w="1276"/>
            <w:tcBorders>
              <w:top w:space="0" w:sz="4" w:color="auto" w:val="single"/>
              <w:left w:val="nil"/>
              <w:bottom w:space="0" w:sz="4" w:color="auto" w:val="single"/>
              <w:right w:space="0" w:sz="4" w:color="auto" w:val="single"/>
            </w:tcBorders>
            <w:shd w:fill="5B9BD5" w:color="auto" w:val="clear"/>
            <w:vAlign w:val="center"/>
            <w:hideMark/>
          </w:tcPr>
          <w:p w:rsidRDefault="00916D8E" w:rsidP="00916D8E" w:rsidR="00916D8E">
            <w:pPr>
              <w:spacing w:after="0"/>
              <w:jc w:val="center"/>
              <w:rPr>
                <w:rFonts w:cs="Calibri"/>
                <w:b/>
                <w:bCs/>
                <w:color w:val="000000"/>
                <w:sz w:val="10"/>
                <w:szCs w:val="10"/>
              </w:rPr>
            </w:pPr>
            <w:r>
              <w:rPr>
                <w:rFonts w:cs="Calibri"/>
                <w:b/>
                <w:bCs/>
                <w:color w:val="000000"/>
                <w:sz w:val="10"/>
                <w:szCs w:val="10"/>
              </w:rPr>
              <w:t>UTVRĐENI IZNOS TRAŽBINE</w:t>
            </w:r>
          </w:p>
        </w:tc>
        <w:tc>
          <w:tcPr>
            <w:tcW w:type="dxa" w:w="992"/>
            <w:tcBorders>
              <w:top w:space="0" w:sz="4" w:color="auto" w:val="single"/>
              <w:left w:val="nil"/>
              <w:bottom w:space="0" w:sz="4" w:color="auto" w:val="single"/>
              <w:right w:space="0" w:sz="4" w:color="auto" w:val="single"/>
            </w:tcBorders>
            <w:shd w:fill="5B9BD5" w:color="auto" w:val="clear"/>
            <w:vAlign w:val="center"/>
            <w:hideMark/>
          </w:tcPr>
          <w:p w:rsidRDefault="00916D8E" w:rsidP="00916D8E" w:rsidR="00916D8E">
            <w:pPr>
              <w:spacing w:after="0"/>
              <w:jc w:val="center"/>
              <w:rPr>
                <w:rFonts w:cs="Calibri"/>
                <w:b/>
                <w:bCs/>
                <w:color w:val="000000"/>
                <w:sz w:val="10"/>
                <w:szCs w:val="10"/>
              </w:rPr>
            </w:pPr>
            <w:r>
              <w:rPr>
                <w:rFonts w:cs="Calibri"/>
                <w:b/>
                <w:bCs/>
                <w:color w:val="000000"/>
                <w:sz w:val="10"/>
                <w:szCs w:val="10"/>
              </w:rPr>
              <w:t>OSPORENI  IZNOS TRAŽBINE</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1</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99728990838</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Otočka 14, 10361 Svibovski Otok</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ANTO TOMIĆ, vlasnik obrta AUTOPRIJEVOZNIK ANTO TOMIĆ</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400,00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400,00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1380"/>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2</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63359286791</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Anina 44, 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BRANKO HUBAK, vlasnik obrta BRANKO HUBAK AUTOPRIJEVOZNIK, PREKRCAJ I SKLADIŠTENJE, TRGOVINA I POSREDOVANJE</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4.671,14</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4.671,14</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3</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59402890861</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Galdovečka 4, 44000 Sisak</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BRODOCENTAR SISAK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13.800,00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13.800,00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4</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26187994862</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Vatroslava Jagića 33, 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CROATIA osiguranje d.d.</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98.230,42</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116.998,23</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116.998,23</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5</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69080780585</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Gradiščanska 34, 10000</w:t>
            </w:r>
            <w:r>
              <w:rPr>
                <w:rFonts w:cs="Calibri"/>
                <w:color w:val="000000"/>
                <w:sz w:val="16"/>
                <w:szCs w:val="16"/>
              </w:rPr>
              <w:br/>
              <w:t>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ČRNOMEREC CENTAR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62.398,38</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62.398,38</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lastRenderedPageBreak/>
              <w:t>6</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40725237663</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Remetinečka 7, 10000</w:t>
            </w:r>
            <w:r>
              <w:rPr>
                <w:rFonts w:cs="Calibri"/>
                <w:color w:val="000000"/>
                <w:sz w:val="16"/>
                <w:szCs w:val="16"/>
              </w:rPr>
              <w:br/>
              <w:t>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 xml:space="preserve">ĆORIĆ d.o.o. </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2.274,38</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2.274,38</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1440"/>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7</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80544678950</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Cebini 22a, 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DAMIR CEBIN, vlasnik obrta   POŽAR-SIGURNOST, OBRT ZA SERVIS I TRGOVINU VATROGASNIH APARATA I OPREME</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5.456,25</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5.456,25</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8</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68936991096</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Martinska 108, 40315</w:t>
            </w:r>
            <w:r>
              <w:rPr>
                <w:rFonts w:cs="Calibri"/>
                <w:color w:val="000000"/>
                <w:sz w:val="16"/>
                <w:szCs w:val="16"/>
              </w:rPr>
              <w:br/>
              <w:t>Mursko središće</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DAMIR CILAR, vlasnik ARMIRAČKI OBRT "CILAR"</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4.897,50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4.897,50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9</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45328454274</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Lj.Posavskog 3,</w:t>
            </w:r>
            <w:r>
              <w:rPr>
                <w:rFonts w:cs="Calibri"/>
                <w:color w:val="000000"/>
                <w:sz w:val="16"/>
                <w:szCs w:val="16"/>
              </w:rPr>
              <w:br/>
              <w:t>10360 Sesvete</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DANIJEL LISAK, vlasnik obrta   LISAK</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4.350,00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4.350,00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10</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72155560129</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Trapanjska 30,</w:t>
            </w:r>
            <w:r>
              <w:rPr>
                <w:rFonts w:cs="Calibri"/>
                <w:color w:val="000000"/>
                <w:sz w:val="16"/>
                <w:szCs w:val="16"/>
              </w:rPr>
              <w:br/>
              <w:t>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DANIJELA ADAMOVIĆ</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743.004,92</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743.004,92</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743.004,92</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11</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17166291238</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Kanalski put 14,</w:t>
            </w:r>
            <w:r>
              <w:rPr>
                <w:rFonts w:cs="Calibri"/>
                <w:color w:val="000000"/>
                <w:sz w:val="16"/>
                <w:szCs w:val="16"/>
              </w:rPr>
              <w:br/>
              <w:t>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 xml:space="preserve">DOBIT LOGISTIKA j.d.o.o. </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5,97</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5,97</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12</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05217895832</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Travanjska 9, 10000</w:t>
            </w:r>
            <w:r>
              <w:rPr>
                <w:rFonts w:cs="Calibri"/>
                <w:color w:val="000000"/>
                <w:sz w:val="16"/>
                <w:szCs w:val="16"/>
              </w:rPr>
              <w:br/>
              <w:t>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ENERGOZAVOD-ZAŠTITA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12.575,00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12.575,00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13</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85941596441</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Praška 5, 10000</w:t>
            </w:r>
            <w:r>
              <w:rPr>
                <w:rFonts w:cs="Calibri"/>
                <w:color w:val="000000"/>
                <w:sz w:val="16"/>
                <w:szCs w:val="16"/>
              </w:rPr>
              <w:br/>
              <w:t>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ERSTE CARD CLUB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4.333,70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4.333,70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14</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23057039320</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Jadranski Trg 3a, 51000 Rijeka</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ERSTE&amp;STEIERMÄRKISCHE BANKA d.d.</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11.063.292,36</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14.034.032,14</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da</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14.034.032,14</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15</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05123216428</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Kralja Tomislava</w:t>
            </w:r>
            <w:r>
              <w:rPr>
                <w:rFonts w:cs="Calibri"/>
                <w:color w:val="000000"/>
                <w:sz w:val="16"/>
                <w:szCs w:val="16"/>
              </w:rPr>
              <w:br/>
              <w:t>18, Ivanić Grad</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EURO-FERO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41.750,56</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36.150,56</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5.600,00</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16</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32627974284</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Jelkovečka 5b, 10360</w:t>
            </w:r>
            <w:r>
              <w:rPr>
                <w:rFonts w:cs="Calibri"/>
                <w:color w:val="000000"/>
                <w:sz w:val="16"/>
                <w:szCs w:val="16"/>
              </w:rPr>
              <w:br/>
              <w:t>Sesvete</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EUROS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30.971.465,29</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30.971.465,29</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sz w:val="20"/>
                <w:szCs w:val="20"/>
                <w:lang w:eastAsia="hr-HR"/>
              </w:rPr>
            </w:pP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17</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85821130368</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Ulica grada Vukovara 70, 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Financijska agencija</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542,81</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542,81</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lastRenderedPageBreak/>
              <w:t>18</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08983285387</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Primorska 8, 10000</w:t>
            </w:r>
            <w:r>
              <w:rPr>
                <w:rFonts w:cs="Calibri"/>
                <w:color w:val="000000"/>
                <w:sz w:val="16"/>
                <w:szCs w:val="16"/>
              </w:rPr>
              <w:br/>
              <w:t>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GAMONT d.o.o. u stečaju</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253.404,00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253.404,00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19</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36368117919</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Argentinska 4, 10000</w:t>
            </w:r>
            <w:r>
              <w:rPr>
                <w:rFonts w:cs="Calibri"/>
                <w:color w:val="000000"/>
                <w:sz w:val="16"/>
                <w:szCs w:val="16"/>
              </w:rPr>
              <w:br/>
              <w:t>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 xml:space="preserve">GOinfoZG d.o.o. </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12.207,72</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12.207,72</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20</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96493347698</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Branimira Gušića</w:t>
            </w:r>
            <w:r>
              <w:rPr>
                <w:rFonts w:cs="Calibri"/>
                <w:color w:val="000000"/>
                <w:sz w:val="16"/>
                <w:szCs w:val="16"/>
              </w:rPr>
              <w:br/>
              <w:t>22, 10090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GORDANA ŠIMUNOVIĆ</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14.032.578,15</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14.032.578,15</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sz w:val="20"/>
                <w:szCs w:val="20"/>
                <w:lang w:eastAsia="hr-HR"/>
              </w:rPr>
            </w:pP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21</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61817894937</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Trg Stjepana Radića 1, 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GRAD ZAGREB</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62.138,73</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62.138,73</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22</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16443180193</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Ćirilometodska 19/c,</w:t>
            </w:r>
            <w:r>
              <w:rPr>
                <w:rFonts w:cs="Calibri"/>
                <w:color w:val="000000"/>
                <w:sz w:val="16"/>
                <w:szCs w:val="16"/>
              </w:rPr>
              <w:br/>
              <w:t>10430 Samobor</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GRADEM-LUMAR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261.835,62</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261.835,62</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23</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74364571096</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Radnička cesta 1,</w:t>
            </w:r>
            <w:r>
              <w:rPr>
                <w:rFonts w:cs="Calibri"/>
                <w:color w:val="000000"/>
                <w:sz w:val="16"/>
                <w:szCs w:val="16"/>
              </w:rPr>
              <w:br/>
              <w:t>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GRADSKA PLINARA ZAGREB-OPSKRBA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19.580,17</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270,55</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19.237,62</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24</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41396589417</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Juraja Habdelića 17,</w:t>
            </w:r>
            <w:r>
              <w:rPr>
                <w:rFonts w:cs="Calibri"/>
                <w:color w:val="000000"/>
                <w:sz w:val="16"/>
                <w:szCs w:val="16"/>
              </w:rPr>
              <w:br/>
              <w:t>10410 V.Gorica</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GRANDIS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2.910,14</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2.910,14</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25</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25339023257</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Dr.Franje Tuđmana</w:t>
            </w:r>
            <w:r>
              <w:rPr>
                <w:rFonts w:cs="Calibri"/>
                <w:color w:val="000000"/>
                <w:sz w:val="16"/>
                <w:szCs w:val="16"/>
              </w:rPr>
              <w:br/>
              <w:t>16, 10431 Sveta Nedjelja</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 xml:space="preserve">HABERKORN d.o.o. </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23.703,15</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33.426,41</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Da</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33.426,41</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26</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25581064542</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Vladimira Filakovca</w:t>
            </w:r>
            <w:r>
              <w:rPr>
                <w:rFonts w:cs="Calibri"/>
                <w:color w:val="000000"/>
                <w:sz w:val="16"/>
                <w:szCs w:val="16"/>
              </w:rPr>
              <w:br/>
              <w:t>10,10360 Sesvete</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HABUNEK PROMET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4,95</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4,95</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27</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63073332379</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Ulica Grada</w:t>
            </w:r>
            <w:r>
              <w:rPr>
                <w:rFonts w:cs="Calibri"/>
                <w:color w:val="000000"/>
                <w:sz w:val="16"/>
                <w:szCs w:val="16"/>
              </w:rPr>
              <w:br/>
              <w:t>Vukovara 37,10000</w:t>
            </w:r>
            <w:r>
              <w:rPr>
                <w:rFonts w:cs="Calibri"/>
                <w:color w:val="000000"/>
                <w:sz w:val="16"/>
                <w:szCs w:val="16"/>
              </w:rPr>
              <w:br/>
              <w:t>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HEP - Opskrba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10.816,47</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0,00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10.816,47</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28</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54088531631</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V.Lisinskog 4b,</w:t>
            </w:r>
            <w:r>
              <w:rPr>
                <w:rFonts w:cs="Calibri"/>
                <w:color w:val="000000"/>
                <w:sz w:val="16"/>
                <w:szCs w:val="16"/>
              </w:rPr>
              <w:br/>
              <w:t>43000 Bjelovar</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HIDROREGULACIJA d.d.</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12.495,38</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12.495,38</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29</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69693144506</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Ul.Ljudevita Farkaša Vukotinovića 2, 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HRVATSKE ŠUME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236.793,20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597.797,63</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da</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597.797,63</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30</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28921383001</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Grada Vukovara 220, 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Hrvatske vode, pravna osoba za upravljanje vodama</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12.863,59</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12.863,59</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lastRenderedPageBreak/>
              <w:t>31</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81793146560</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R.F.Mihanovića</w:t>
            </w:r>
            <w:r>
              <w:rPr>
                <w:rFonts w:cs="Calibri"/>
                <w:color w:val="000000"/>
                <w:sz w:val="16"/>
                <w:szCs w:val="16"/>
              </w:rPr>
              <w:br/>
              <w:t>9,10000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Hrvatski Telekom d.d.</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19.315,15</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9.657,35</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9.657,80</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32</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71550462229</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Karlovačka ulica 2,</w:t>
            </w:r>
            <w:r>
              <w:rPr>
                <w:rFonts w:cs="Calibri"/>
                <w:color w:val="000000"/>
                <w:sz w:val="16"/>
                <w:szCs w:val="16"/>
              </w:rPr>
              <w:br/>
              <w:t>10360 Sesvete</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IGNAC VUGER, javni bilježnik</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7.957,50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7.957,50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33</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88423014871</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Pikli 3, 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IVAN BUREČIĆ, vlasnik obrta   "B.I. TRANSPORT"</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5.625,00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5.625,00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34</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49691893763</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Brezarić 16, 10454 Brezarić</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JOSIP MIKUŠ, vlasnik obrta "ELMIKS"</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2.750,00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2.750,00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35</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23708554420</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Ustrinska 4,10000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JUMAR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120,69</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120,69</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36</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71656312864</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Branimira gušića 22, 10000</w:t>
            </w:r>
            <w:r>
              <w:rPr>
                <w:rFonts w:cs="Calibri"/>
                <w:color w:val="000000"/>
                <w:sz w:val="16"/>
                <w:szCs w:val="16"/>
              </w:rPr>
              <w:br/>
              <w:t>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JURE PIVAC</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19.980,17</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19.980,17</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37</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89931241548</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Josipa Lončara 1h, 10000</w:t>
            </w:r>
            <w:r>
              <w:rPr>
                <w:rFonts w:cs="Calibri"/>
                <w:color w:val="000000"/>
                <w:sz w:val="16"/>
                <w:szCs w:val="16"/>
              </w:rPr>
              <w:br/>
              <w:t>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 xml:space="preserve">KAMGRAD d.o.o. </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4,96</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4,96</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38</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27914034687</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Balaška 8,Rakov</w:t>
            </w:r>
            <w:r>
              <w:rPr>
                <w:rFonts w:cs="Calibri"/>
                <w:color w:val="000000"/>
                <w:sz w:val="16"/>
                <w:szCs w:val="16"/>
              </w:rPr>
              <w:br/>
              <w:t>potok,10430 Samobor</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KONSTRUKCIJE-KOSTELAC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6.250,00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6.250,00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39</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91668567313</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Vebera Tkalčevića 22,</w:t>
            </w:r>
            <w:r>
              <w:rPr>
                <w:rFonts w:cs="Calibri"/>
                <w:color w:val="000000"/>
                <w:sz w:val="16"/>
                <w:szCs w:val="16"/>
              </w:rPr>
              <w:br/>
              <w:t>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 xml:space="preserve">M.T.-UREDSKA OPREMA d.o.o. </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2.375,00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2.375,00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40</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04438942853</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Branimira gušića 22, 10000</w:t>
            </w:r>
            <w:r>
              <w:rPr>
                <w:rFonts w:cs="Calibri"/>
                <w:color w:val="000000"/>
                <w:sz w:val="16"/>
                <w:szCs w:val="16"/>
              </w:rPr>
              <w:br/>
              <w:t>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MARIJA ŠIMUNOVIĆ</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13.669.868,93</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13.669.868,93</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sz w:val="20"/>
                <w:szCs w:val="20"/>
                <w:lang w:eastAsia="hr-HR"/>
              </w:rPr>
            </w:pP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41</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89017622627</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Ljudevita gaja 19, 40319</w:t>
            </w:r>
            <w:r>
              <w:rPr>
                <w:rFonts w:cs="Calibri"/>
                <w:color w:val="000000"/>
                <w:sz w:val="16"/>
                <w:szCs w:val="16"/>
              </w:rPr>
              <w:br/>
              <w:t>Bjelica</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 xml:space="preserve">METALPRODUKT d.o.o. </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775,00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775,00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42</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80305267896</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Ilica 297, 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MLADEN MATOŠ, javni bilježnik</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1.925,00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1.925,00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43</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41176416257</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Branimira gušića 22, 10000</w:t>
            </w:r>
            <w:r>
              <w:rPr>
                <w:rFonts w:cs="Calibri"/>
                <w:color w:val="000000"/>
                <w:sz w:val="16"/>
                <w:szCs w:val="16"/>
              </w:rPr>
              <w:br/>
              <w:t>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NIKOLA ŠIMUNOVIĆ</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540.092,00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540.092,00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lastRenderedPageBreak/>
              <w:t>44</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93469338075</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Dužica 199, 44272 Dužica</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OKTAN ŽAŽINE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3.450,00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3.450,00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45</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88983260227</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Trg bana J.Jelačića 10,</w:t>
            </w:r>
            <w:r>
              <w:rPr>
                <w:rFonts w:cs="Calibri"/>
                <w:color w:val="000000"/>
                <w:sz w:val="16"/>
                <w:szCs w:val="16"/>
              </w:rPr>
              <w:br/>
              <w:t>44440 Dvor</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OPĆINA DVOR</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12.989,99</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12.989,99</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46</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07871487398</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Ravnice 2, 10294 Donja Pušća</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 xml:space="preserve">PERUŠA TRANSPORTI d.o.o. </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2.933,07</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2.933,07</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47</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25210761537</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Ivana Šibla 9,10000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 xml:space="preserve">PROTEKTA d.o.o. </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4.687,50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4.687,50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48</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21846792292</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Kralja Tomisla 45,48260</w:t>
            </w:r>
            <w:r>
              <w:rPr>
                <w:rFonts w:cs="Calibri"/>
                <w:color w:val="000000"/>
                <w:sz w:val="16"/>
                <w:szCs w:val="16"/>
              </w:rPr>
              <w:br/>
              <w:t>Križevci</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RADNIK građevinarstvo i građevinska industrija d.d.</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36.998,79</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36.998,79</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49</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18683136487</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Katančičeva 5,</w:t>
            </w:r>
            <w:r>
              <w:rPr>
                <w:rFonts w:cs="Calibri"/>
                <w:color w:val="000000"/>
                <w:sz w:val="16"/>
                <w:szCs w:val="16"/>
              </w:rPr>
              <w:br/>
              <w:t>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REPUBLIKA HRVATSKA MINISTARSTVO FINANCIJA - POREZNA UPRAVA</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1.571.217,08</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1.091.615,39</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xml:space="preserve">da </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1.091.615,39</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50</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75715390821</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Sveti Duh 2-10,10000</w:t>
            </w:r>
            <w:r>
              <w:rPr>
                <w:rFonts w:cs="Calibri"/>
                <w:color w:val="000000"/>
                <w:sz w:val="16"/>
                <w:szCs w:val="16"/>
              </w:rPr>
              <w:br/>
              <w:t>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 xml:space="preserve">RETEL d.o.o. </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16.575,00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19.488,19</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xml:space="preserve">da </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19.488,19</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51</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 xml:space="preserve">           </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ROBERT ĆORIĆ</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16.698,10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16.698,10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52</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50652316719</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Branimira gušića 22, 10000</w:t>
            </w:r>
            <w:r>
              <w:rPr>
                <w:rFonts w:cs="Calibri"/>
                <w:color w:val="000000"/>
                <w:sz w:val="16"/>
                <w:szCs w:val="16"/>
              </w:rPr>
              <w:br/>
              <w:t>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ROMAN ŠIMUNOVIĆ</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14.307.015,04</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14.307.015,04</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53</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12684804036</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Tuškanova 39, 10000</w:t>
            </w:r>
            <w:r>
              <w:rPr>
                <w:rFonts w:cs="Calibri"/>
                <w:color w:val="000000"/>
                <w:sz w:val="16"/>
                <w:szCs w:val="16"/>
              </w:rPr>
              <w:br/>
              <w:t>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SANJA LEVAK</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713.807,97</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713.807,97</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54</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54190227200</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Ilica 109, 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 xml:space="preserve">SG KRISTALI 1978 d.o.o. </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15.000.000,00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15.000.000,00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sz w:val="20"/>
                <w:szCs w:val="20"/>
                <w:lang w:eastAsia="hr-HR"/>
              </w:rPr>
            </w:pP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55</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65019194525</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Punjeki 25,10000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 xml:space="preserve">Simply Clever d.o.o. </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1.702,52</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1.702,52</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56</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81773389478</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Jure Kaštelana 19,10000</w:t>
            </w:r>
            <w:r>
              <w:rPr>
                <w:rFonts w:cs="Calibri"/>
                <w:color w:val="000000"/>
                <w:sz w:val="16"/>
                <w:szCs w:val="16"/>
              </w:rPr>
              <w:br/>
              <w:t>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SKYLINK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1.131,00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1.131,00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lastRenderedPageBreak/>
              <w:t>57</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82249739943</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R.Boškovića</w:t>
            </w:r>
            <w:r>
              <w:rPr>
                <w:rFonts w:cs="Calibri"/>
                <w:color w:val="000000"/>
                <w:sz w:val="16"/>
                <w:szCs w:val="16"/>
              </w:rPr>
              <w:br/>
              <w:t>38,31500 Našice</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SLAVKO LUKIĆ, vlasnik obrta LUKIĆ TRANS</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16.375,00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16.375,00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58</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91725363853</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Hlebinska 3,10000</w:t>
            </w:r>
            <w:r>
              <w:rPr>
                <w:rFonts w:cs="Calibri"/>
                <w:color w:val="000000"/>
                <w:sz w:val="16"/>
                <w:szCs w:val="16"/>
              </w:rPr>
              <w:br/>
              <w:t>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SUPER IGRA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12.764,00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12.764,00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59</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66366657013</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Malešnica 27,10000</w:t>
            </w:r>
            <w:r>
              <w:rPr>
                <w:rFonts w:cs="Calibri"/>
                <w:color w:val="000000"/>
                <w:sz w:val="16"/>
                <w:szCs w:val="16"/>
              </w:rPr>
              <w:br/>
              <w:t>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 xml:space="preserve">SUPERIOR LIDER GRADNJA d.o.o. </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31,75</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31,75</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60</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30315080038</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Zagreb.odreda 19a,</w:t>
            </w:r>
            <w:r>
              <w:rPr>
                <w:rFonts w:cs="Calibri"/>
                <w:color w:val="000000"/>
                <w:sz w:val="16"/>
                <w:szCs w:val="16"/>
              </w:rPr>
              <w:br/>
              <w:t>10360 Sesvete</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 xml:space="preserve">T D M - TIM d.o.o. </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36,35</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36,35</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61</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51390945090</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Kranjčevićeva</w:t>
            </w:r>
            <w:r>
              <w:rPr>
                <w:rFonts w:cs="Calibri"/>
                <w:color w:val="000000"/>
                <w:sz w:val="16"/>
                <w:szCs w:val="16"/>
              </w:rPr>
              <w:br/>
              <w:t>25a,10000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 xml:space="preserve">TEHNIČAR-COPYSERVIS d.o.o. </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13.259,21</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13.259,21</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62</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64520989853</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Dr.Mile Budaka 1,</w:t>
            </w:r>
            <w:r>
              <w:rPr>
                <w:rFonts w:cs="Calibri"/>
                <w:color w:val="000000"/>
                <w:sz w:val="16"/>
                <w:szCs w:val="16"/>
              </w:rPr>
              <w:br/>
              <w:t>35000 Slavonski</w:t>
            </w:r>
            <w:r>
              <w:rPr>
                <w:rFonts w:cs="Calibri"/>
                <w:color w:val="000000"/>
                <w:sz w:val="16"/>
                <w:szCs w:val="16"/>
              </w:rPr>
              <w:br/>
              <w:t>Brod</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TÜV Croatia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4.000,00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4.000,00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63</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30335873024</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Koledovčina</w:t>
            </w:r>
            <w:r>
              <w:rPr>
                <w:rFonts w:cs="Calibri"/>
                <w:color w:val="000000"/>
                <w:sz w:val="16"/>
                <w:szCs w:val="16"/>
              </w:rPr>
              <w:br/>
              <w:t>2/a,10000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VAGE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11.975,00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11.975,00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64</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67912509737</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Industrijska 5</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VELEBIT-PROMET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95.187,50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95.187,50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65</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58773509272</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Soline 84, 20207 Soline</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VITKO ZOVAK</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15.083.570,00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15.083.570,00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66</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85584865987</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Ulica grada Vukovara 41, 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ZAGREBAČKI HOLDING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4.276,49</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xml:space="preserve">da </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4.276,49</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67</w:t>
            </w:r>
          </w:p>
        </w:tc>
        <w:tc>
          <w:tcPr>
            <w:tcW w:type="dxa" w:w="95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color w:val="000000"/>
                <w:sz w:val="16"/>
                <w:szCs w:val="16"/>
              </w:rPr>
            </w:pPr>
            <w:r>
              <w:rPr>
                <w:rFonts w:cs="Calibri"/>
                <w:color w:val="000000"/>
                <w:sz w:val="16"/>
                <w:szCs w:val="16"/>
              </w:rPr>
              <w:t>05494093403</w:t>
            </w:r>
          </w:p>
        </w:tc>
        <w:tc>
          <w:tcPr>
            <w:tcW w:type="dxa" w:w="1041"/>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Ul. Grada Vukovara 68, 10000, Zagreb</w:t>
            </w:r>
          </w:p>
        </w:tc>
        <w:tc>
          <w:tcPr>
            <w:tcW w:type="dxa" w:w="1245"/>
            <w:tcBorders>
              <w:top w:val="nil"/>
              <w:left w:val="nil"/>
              <w:bottom w:space="0" w:sz="4" w:color="auto" w:val="single"/>
              <w:right w:space="0" w:sz="4" w:color="auto" w:val="single"/>
            </w:tcBorders>
            <w:vAlign w:val="center"/>
            <w:hideMark/>
          </w:tcPr>
          <w:p w:rsidRDefault="00916D8E" w:rsidP="00916D8E" w:rsidR="00916D8E">
            <w:pPr>
              <w:spacing w:after="0"/>
              <w:rPr>
                <w:rFonts w:cs="Calibri"/>
                <w:color w:val="000000"/>
                <w:sz w:val="16"/>
                <w:szCs w:val="16"/>
              </w:rPr>
            </w:pPr>
            <w:r>
              <w:rPr>
                <w:rFonts w:cs="Calibri"/>
                <w:color w:val="000000"/>
                <w:sz w:val="16"/>
                <w:szCs w:val="16"/>
              </w:rPr>
              <w:t>ZAVOD ZA ISTRAŽIVANJE I RAZVOJ SIGURNOSTI d.o.o.</w:t>
            </w:r>
          </w:p>
        </w:tc>
        <w:tc>
          <w:tcPr>
            <w:tcW w:type="dxa" w:w="1559"/>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11.475,00</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c>
          <w:tcPr>
            <w:tcW w:type="dxa" w:w="425"/>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ne</w:t>
            </w:r>
          </w:p>
        </w:tc>
        <w:tc>
          <w:tcPr>
            <w:tcW w:type="dxa" w:w="1276"/>
            <w:tcBorders>
              <w:top w:val="nil"/>
              <w:left w:val="nil"/>
              <w:bottom w:space="0" w:sz="4" w:color="auto" w:val="single"/>
              <w:right w:space="0" w:sz="4" w:color="auto" w:val="single"/>
            </w:tcBorders>
            <w:noWrap/>
            <w:vAlign w:val="center"/>
            <w:hideMark/>
          </w:tcPr>
          <w:p w:rsidRDefault="00916D8E" w:rsidP="00916D8E" w:rsidR="00916D8E">
            <w:pPr>
              <w:spacing w:after="0"/>
              <w:jc w:val="right"/>
              <w:rPr>
                <w:rFonts w:cs="Calibri"/>
                <w:color w:val="000000"/>
                <w:sz w:val="16"/>
                <w:szCs w:val="16"/>
              </w:rPr>
            </w:pPr>
            <w:r>
              <w:rPr>
                <w:rFonts w:cs="Calibri"/>
                <w:color w:val="000000"/>
                <w:sz w:val="16"/>
                <w:szCs w:val="16"/>
              </w:rPr>
              <w:t>11.475,00</w:t>
            </w:r>
          </w:p>
        </w:tc>
        <w:tc>
          <w:tcPr>
            <w:tcW w:type="dxa" w:w="992"/>
            <w:tcBorders>
              <w:top w:val="nil"/>
              <w:left w:val="nil"/>
              <w:bottom w:space="0" w:sz="4" w:color="auto" w:val="single"/>
              <w:right w:space="0" w:sz="4" w:color="auto" w:val="single"/>
            </w:tcBorders>
            <w:noWrap/>
            <w:vAlign w:val="center"/>
            <w:hideMark/>
          </w:tcPr>
          <w:p w:rsidRDefault="00916D8E" w:rsidP="00916D8E" w:rsidR="00916D8E">
            <w:pPr>
              <w:spacing w:after="0"/>
              <w:rPr>
                <w:rFonts w:cs="Calibri"/>
                <w:color w:val="000000"/>
                <w:sz w:val="16"/>
                <w:szCs w:val="16"/>
              </w:rPr>
            </w:pPr>
            <w:r>
              <w:rPr>
                <w:rFonts w:cs="Calibri"/>
                <w:color w:val="000000"/>
                <w:sz w:val="16"/>
                <w:szCs w:val="16"/>
              </w:rPr>
              <w:t> </w:t>
            </w:r>
          </w:p>
        </w:tc>
      </w:tr>
      <w:tr w:rsidTr="00916D8E" w:rsidR="00916D8E">
        <w:trPr>
          <w:trHeight w:val="999"/>
        </w:trPr>
        <w:tc>
          <w:tcPr>
            <w:tcW w:type="dxa" w:w="440"/>
            <w:noWrap/>
            <w:vAlign w:val="bottom"/>
            <w:hideMark/>
          </w:tcPr>
          <w:p w:rsidRDefault="00916D8E" w:rsidP="00916D8E" w:rsidR="00916D8E">
            <w:pPr>
              <w:spacing w:after="0"/>
              <w:rPr>
                <w:sz w:val="20"/>
                <w:szCs w:val="20"/>
                <w:lang w:eastAsia="hr-HR"/>
              </w:rPr>
            </w:pPr>
          </w:p>
        </w:tc>
        <w:tc>
          <w:tcPr>
            <w:tcW w:type="dxa" w:w="955"/>
            <w:noWrap/>
            <w:vAlign w:val="bottom"/>
            <w:hideMark/>
          </w:tcPr>
          <w:p w:rsidRDefault="00916D8E" w:rsidP="00916D8E" w:rsidR="00916D8E">
            <w:pPr>
              <w:spacing w:after="0"/>
              <w:rPr>
                <w:sz w:val="20"/>
                <w:szCs w:val="20"/>
                <w:lang w:eastAsia="hr-HR"/>
              </w:rPr>
            </w:pPr>
          </w:p>
        </w:tc>
        <w:tc>
          <w:tcPr>
            <w:tcW w:type="dxa" w:w="1041"/>
            <w:vAlign w:val="center"/>
            <w:hideMark/>
          </w:tcPr>
          <w:p w:rsidRDefault="00916D8E" w:rsidP="00916D8E" w:rsidR="00916D8E">
            <w:pPr>
              <w:spacing w:after="0"/>
              <w:rPr>
                <w:sz w:val="20"/>
                <w:szCs w:val="20"/>
                <w:lang w:eastAsia="hr-HR"/>
              </w:rPr>
            </w:pPr>
          </w:p>
        </w:tc>
        <w:tc>
          <w:tcPr>
            <w:tcW w:type="dxa" w:w="1245"/>
            <w:tcBorders>
              <w:top w:val="nil"/>
              <w:left w:space="0" w:sz="4" w:color="auto" w:val="single"/>
              <w:bottom w:space="0" w:sz="4" w:color="auto" w:val="single"/>
              <w:right w:space="0" w:sz="4" w:color="auto" w:val="single"/>
            </w:tcBorders>
            <w:shd w:fill="4472C4" w:color="auto" w:val="clear"/>
            <w:vAlign w:val="center"/>
            <w:hideMark/>
          </w:tcPr>
          <w:p w:rsidRDefault="00916D8E" w:rsidP="00916D8E" w:rsidR="00916D8E">
            <w:pPr>
              <w:spacing w:after="0"/>
              <w:jc w:val="center"/>
              <w:rPr>
                <w:rFonts w:cs="Calibri"/>
                <w:b/>
                <w:bCs/>
                <w:color w:val="000000"/>
                <w:sz w:val="16"/>
                <w:szCs w:val="16"/>
              </w:rPr>
            </w:pPr>
            <w:r>
              <w:rPr>
                <w:rFonts w:cs="Calibri"/>
                <w:b/>
                <w:bCs/>
                <w:color w:val="000000"/>
                <w:sz w:val="16"/>
                <w:szCs w:val="16"/>
              </w:rPr>
              <w:t>UKUPNO</w:t>
            </w:r>
          </w:p>
        </w:tc>
        <w:tc>
          <w:tcPr>
            <w:tcW w:type="dxa" w:w="1559"/>
            <w:tcBorders>
              <w:top w:val="nil"/>
              <w:left w:val="nil"/>
              <w:bottom w:space="0" w:sz="4" w:color="auto" w:val="single"/>
              <w:right w:space="0" w:sz="4" w:color="auto" w:val="single"/>
            </w:tcBorders>
            <w:shd w:fill="4472C4" w:color="auto" w:val="clear"/>
            <w:noWrap/>
            <w:vAlign w:val="center"/>
            <w:hideMark/>
          </w:tcPr>
          <w:p w:rsidRDefault="00916D8E" w:rsidP="00916D8E" w:rsidR="00916D8E">
            <w:pPr>
              <w:spacing w:after="0"/>
              <w:jc w:val="center"/>
              <w:rPr>
                <w:rFonts w:cs="Calibri"/>
                <w:b/>
                <w:bCs/>
                <w:color w:val="000000"/>
                <w:sz w:val="16"/>
                <w:szCs w:val="16"/>
              </w:rPr>
            </w:pPr>
            <w:r>
              <w:rPr>
                <w:rFonts w:cs="Calibri"/>
                <w:b/>
                <w:bCs/>
                <w:color w:val="000000"/>
                <w:sz w:val="16"/>
                <w:szCs w:val="16"/>
              </w:rPr>
              <w:t>119.189.156,41</w:t>
            </w:r>
          </w:p>
        </w:tc>
        <w:tc>
          <w:tcPr>
            <w:tcW w:type="dxa" w:w="1276"/>
            <w:tcBorders>
              <w:top w:val="nil"/>
              <w:left w:val="nil"/>
              <w:bottom w:space="0" w:sz="4" w:color="auto" w:val="single"/>
              <w:right w:space="0" w:sz="4" w:color="auto" w:val="single"/>
            </w:tcBorders>
            <w:shd w:fill="4472C4" w:color="auto" w:val="clear"/>
            <w:noWrap/>
            <w:vAlign w:val="center"/>
            <w:hideMark/>
          </w:tcPr>
          <w:p w:rsidRDefault="00916D8E" w:rsidP="00916D8E" w:rsidR="00916D8E">
            <w:pPr>
              <w:spacing w:after="0"/>
              <w:rPr>
                <w:sz w:val="20"/>
                <w:szCs w:val="20"/>
                <w:lang w:eastAsia="hr-HR"/>
              </w:rPr>
            </w:pPr>
          </w:p>
        </w:tc>
        <w:tc>
          <w:tcPr>
            <w:tcW w:type="dxa" w:w="425"/>
            <w:tcBorders>
              <w:top w:val="nil"/>
              <w:left w:val="nil"/>
              <w:bottom w:space="0" w:sz="4" w:color="auto" w:val="single"/>
              <w:right w:space="0" w:sz="4" w:color="auto" w:val="single"/>
            </w:tcBorders>
            <w:shd w:fill="4472C4" w:color="auto" w:val="clear"/>
            <w:noWrap/>
            <w:vAlign w:val="center"/>
            <w:hideMark/>
          </w:tcPr>
          <w:p w:rsidRDefault="00916D8E" w:rsidP="00916D8E" w:rsidR="00916D8E">
            <w:pPr>
              <w:spacing w:after="0"/>
              <w:jc w:val="center"/>
              <w:rPr>
                <w:rFonts w:cs="Calibri"/>
                <w:b/>
                <w:bCs/>
                <w:color w:val="000000"/>
                <w:sz w:val="16"/>
                <w:szCs w:val="16"/>
              </w:rPr>
            </w:pPr>
            <w:r>
              <w:rPr>
                <w:rFonts w:cs="Calibri"/>
                <w:b/>
                <w:bCs/>
                <w:color w:val="000000"/>
                <w:sz w:val="16"/>
                <w:szCs w:val="16"/>
              </w:rPr>
              <w:t> </w:t>
            </w:r>
          </w:p>
        </w:tc>
        <w:tc>
          <w:tcPr>
            <w:tcW w:type="dxa" w:w="1276"/>
            <w:tcBorders>
              <w:top w:val="nil"/>
              <w:left w:val="nil"/>
              <w:bottom w:space="0" w:sz="4" w:color="auto" w:val="single"/>
              <w:right w:space="0" w:sz="4" w:color="auto" w:val="single"/>
            </w:tcBorders>
            <w:shd w:fill="4472C4" w:color="auto" w:val="clear"/>
            <w:noWrap/>
            <w:vAlign w:val="center"/>
            <w:hideMark/>
          </w:tcPr>
          <w:p w:rsidRDefault="00916D8E" w:rsidP="00916D8E" w:rsidR="00916D8E">
            <w:pPr>
              <w:spacing w:after="0"/>
              <w:jc w:val="center"/>
              <w:rPr>
                <w:rFonts w:cs="Calibri"/>
                <w:b/>
                <w:bCs/>
                <w:color w:val="000000"/>
                <w:sz w:val="16"/>
                <w:szCs w:val="16"/>
              </w:rPr>
            </w:pPr>
            <w:r>
              <w:rPr>
                <w:rFonts w:cs="Calibri"/>
                <w:b/>
                <w:bCs/>
                <w:color w:val="000000"/>
                <w:sz w:val="16"/>
                <w:szCs w:val="16"/>
              </w:rPr>
              <w:t>122.051.105,67</w:t>
            </w:r>
          </w:p>
        </w:tc>
        <w:tc>
          <w:tcPr>
            <w:tcW w:type="dxa" w:w="992"/>
            <w:tcBorders>
              <w:top w:val="nil"/>
              <w:left w:val="nil"/>
              <w:bottom w:space="0" w:sz="4" w:color="auto" w:val="single"/>
              <w:right w:space="0" w:sz="4" w:color="auto" w:val="single"/>
            </w:tcBorders>
            <w:shd w:fill="4472C4" w:color="auto" w:val="clear"/>
            <w:noWrap/>
            <w:vAlign w:val="center"/>
            <w:hideMark/>
          </w:tcPr>
          <w:p w:rsidRDefault="00916D8E" w:rsidP="00916D8E" w:rsidR="00916D8E">
            <w:pPr>
              <w:spacing w:after="0"/>
              <w:jc w:val="center"/>
              <w:rPr>
                <w:rFonts w:cs="Calibri"/>
                <w:b/>
                <w:bCs/>
                <w:color w:val="000000"/>
                <w:sz w:val="16"/>
                <w:szCs w:val="16"/>
              </w:rPr>
            </w:pPr>
            <w:r>
              <w:rPr>
                <w:rFonts w:cs="Calibri"/>
                <w:b/>
                <w:bCs/>
                <w:color w:val="000000"/>
                <w:sz w:val="16"/>
                <w:szCs w:val="16"/>
              </w:rPr>
              <w:t> </w:t>
            </w:r>
          </w:p>
        </w:tc>
      </w:tr>
    </w:tbl>
    <w:p w:rsidRDefault="00916D8E" w:rsidP="00916D8E" w:rsidR="00916D8E">
      <w:pPr>
        <w:spacing w:after="0"/>
      </w:pPr>
    </w:p>
    <w:p w:rsidRDefault="00916D8E" w:rsidP="00916D8E" w:rsidR="00916D8E">
      <w:pPr>
        <w:spacing w:after="0"/>
      </w:pPr>
    </w:p>
    <w:p w:rsidRDefault="00916D8E" w:rsidP="00916D8E" w:rsidR="00916D8E">
      <w:pPr>
        <w:spacing w:after="0"/>
      </w:pPr>
    </w:p>
    <w:p w:rsidRDefault="00916D8E" w:rsidP="00916D8E" w:rsidR="00916D8E">
      <w:pPr>
        <w:spacing w:after="0"/>
      </w:pPr>
    </w:p>
    <w:p w:rsidRDefault="00916D8E" w:rsidP="00916D8E" w:rsidR="00916D8E">
      <w:pPr>
        <w:spacing w:after="0"/>
      </w:pPr>
    </w:p>
    <w:tbl>
      <w:tblPr>
        <w:tblW w:type="dxa" w:w="9072"/>
        <w:tblLook w:val="04A0" w:noVBand="1" w:noHBand="0" w:lastColumn="0" w:firstColumn="1" w:lastRow="0" w:firstRow="1"/>
      </w:tblPr>
      <w:tblGrid>
        <w:gridCol w:w="722"/>
        <w:gridCol w:w="1314"/>
        <w:gridCol w:w="1146"/>
        <w:gridCol w:w="1314"/>
        <w:gridCol w:w="1325"/>
        <w:gridCol w:w="3468"/>
      </w:tblGrid>
      <w:tr w:rsidTr="00916D8E" w:rsidR="00916D8E">
        <w:trPr>
          <w:trHeight w:val="288"/>
        </w:trPr>
        <w:tc>
          <w:tcPr>
            <w:tcW w:type="dxa" w:w="756"/>
            <w:noWrap/>
            <w:vAlign w:val="bottom"/>
            <w:hideMark/>
          </w:tcPr>
          <w:p w:rsidRDefault="00916D8E" w:rsidP="00916D8E" w:rsidR="00916D8E">
            <w:pPr>
              <w:spacing w:after="0"/>
              <w:rPr>
                <w:sz w:val="20"/>
                <w:szCs w:val="20"/>
                <w:lang w:eastAsia="hr-HR"/>
              </w:rPr>
            </w:pPr>
          </w:p>
        </w:tc>
        <w:tc>
          <w:tcPr>
            <w:tcW w:type="dxa" w:w="1115"/>
            <w:tcBorders>
              <w:top w:space="0" w:sz="4" w:color="auto" w:val="single"/>
              <w:left w:space="0" w:sz="4" w:color="auto" w:val="single"/>
              <w:bottom w:space="0" w:sz="4" w:color="auto" w:val="single"/>
              <w:right w:space="0" w:sz="4" w:color="auto" w:val="single"/>
            </w:tcBorders>
            <w:shd w:fill="FFC000" w:color="auto" w:val="clear"/>
            <w:noWrap/>
            <w:vAlign w:val="center"/>
            <w:hideMark/>
          </w:tcPr>
          <w:p w:rsidRDefault="00916D8E" w:rsidP="00916D8E" w:rsidR="00916D8E">
            <w:pPr>
              <w:spacing w:after="0"/>
              <w:jc w:val="center"/>
              <w:rPr>
                <w:rFonts w:cs="Calibri" w:hAnsi="Calibri" w:ascii="Calibri"/>
                <w:color w:val="000000"/>
                <w:sz w:val="18"/>
                <w:szCs w:val="18"/>
              </w:rPr>
            </w:pPr>
            <w:r>
              <w:rPr>
                <w:rFonts w:cs="Calibri" w:hAnsi="Calibri" w:ascii="Calibri"/>
                <w:color w:val="000000"/>
                <w:sz w:val="18"/>
                <w:szCs w:val="18"/>
              </w:rPr>
              <w:t>RAZLUČNI VJEROVNICI</w:t>
            </w:r>
          </w:p>
        </w:tc>
        <w:tc>
          <w:tcPr>
            <w:tcW w:type="dxa" w:w="978"/>
            <w:vAlign w:val="center"/>
            <w:hideMark/>
          </w:tcPr>
          <w:p w:rsidRDefault="00916D8E" w:rsidP="00916D8E" w:rsidR="00916D8E">
            <w:pPr>
              <w:spacing w:after="0"/>
              <w:rPr>
                <w:sz w:val="20"/>
                <w:szCs w:val="20"/>
                <w:lang w:eastAsia="hr-HR"/>
              </w:rPr>
            </w:pPr>
          </w:p>
        </w:tc>
        <w:tc>
          <w:tcPr>
            <w:tcW w:type="dxa" w:w="1139"/>
            <w:noWrap/>
            <w:vAlign w:val="bottom"/>
            <w:hideMark/>
          </w:tcPr>
          <w:p w:rsidRDefault="00916D8E" w:rsidP="00916D8E" w:rsidR="00916D8E">
            <w:pPr>
              <w:spacing w:after="0"/>
              <w:rPr>
                <w:sz w:val="20"/>
                <w:szCs w:val="20"/>
                <w:lang w:eastAsia="hr-HR"/>
              </w:rPr>
            </w:pPr>
          </w:p>
        </w:tc>
        <w:tc>
          <w:tcPr>
            <w:tcW w:type="dxa" w:w="1399"/>
            <w:noWrap/>
            <w:vAlign w:val="center"/>
            <w:hideMark/>
          </w:tcPr>
          <w:p w:rsidRDefault="00916D8E" w:rsidP="00916D8E" w:rsidR="00916D8E">
            <w:pPr>
              <w:spacing w:after="0"/>
              <w:rPr>
                <w:sz w:val="20"/>
                <w:szCs w:val="20"/>
                <w:lang w:eastAsia="hr-HR"/>
              </w:rPr>
            </w:pPr>
          </w:p>
        </w:tc>
        <w:tc>
          <w:tcPr>
            <w:tcW w:type="dxa" w:w="3685"/>
            <w:noWrap/>
            <w:vAlign w:val="center"/>
            <w:hideMark/>
          </w:tcPr>
          <w:p w:rsidRDefault="00916D8E" w:rsidP="00916D8E" w:rsidR="00916D8E">
            <w:pPr>
              <w:spacing w:after="0"/>
              <w:rPr>
                <w:sz w:val="20"/>
                <w:szCs w:val="20"/>
                <w:lang w:eastAsia="hr-HR"/>
              </w:rPr>
            </w:pPr>
          </w:p>
        </w:tc>
      </w:tr>
      <w:tr w:rsidTr="00916D8E" w:rsidR="00916D8E">
        <w:trPr>
          <w:trHeight w:val="468"/>
        </w:trPr>
        <w:tc>
          <w:tcPr>
            <w:tcW w:type="dxa" w:w="756"/>
            <w:tcBorders>
              <w:top w:space="0" w:sz="4" w:color="auto" w:val="single"/>
              <w:left w:space="0" w:sz="4" w:color="auto" w:val="single"/>
              <w:bottom w:space="0" w:sz="4" w:color="auto" w:val="single"/>
              <w:right w:space="0" w:sz="4" w:color="auto" w:val="single"/>
            </w:tcBorders>
            <w:shd w:fill="5B9BD5" w:color="auto" w:val="clear"/>
            <w:noWrap/>
            <w:vAlign w:val="center"/>
            <w:hideMark/>
          </w:tcPr>
          <w:p w:rsidRDefault="00916D8E" w:rsidP="00916D8E" w:rsidR="00916D8E">
            <w:pPr>
              <w:spacing w:after="0"/>
              <w:jc w:val="center"/>
              <w:rPr>
                <w:rFonts w:cs="Arial" w:hAnsi="Arial" w:ascii="Arial"/>
                <w:b/>
                <w:bCs/>
                <w:color w:val="000000"/>
                <w:sz w:val="18"/>
                <w:szCs w:val="18"/>
              </w:rPr>
            </w:pPr>
            <w:r>
              <w:rPr>
                <w:rFonts w:cs="Arial" w:hAnsi="Arial" w:ascii="Arial"/>
                <w:b/>
                <w:bCs/>
                <w:color w:val="000000"/>
                <w:sz w:val="18"/>
                <w:szCs w:val="18"/>
              </w:rPr>
              <w:t>RBR</w:t>
            </w:r>
          </w:p>
        </w:tc>
        <w:tc>
          <w:tcPr>
            <w:tcW w:type="dxa" w:w="1115"/>
            <w:tcBorders>
              <w:top w:val="nil"/>
              <w:left w:val="nil"/>
              <w:bottom w:space="0" w:sz="4" w:color="auto" w:val="single"/>
              <w:right w:space="0" w:sz="4" w:color="auto" w:val="single"/>
            </w:tcBorders>
            <w:shd w:fill="5B9BD5" w:color="auto" w:val="clear"/>
            <w:noWrap/>
            <w:vAlign w:val="center"/>
            <w:hideMark/>
          </w:tcPr>
          <w:p w:rsidRDefault="00916D8E" w:rsidP="00916D8E" w:rsidR="00916D8E">
            <w:pPr>
              <w:spacing w:after="0"/>
              <w:jc w:val="center"/>
              <w:rPr>
                <w:rFonts w:cs="Arial" w:hAnsi="Arial" w:ascii="Arial"/>
                <w:b/>
                <w:bCs/>
                <w:color w:val="000000"/>
                <w:sz w:val="18"/>
                <w:szCs w:val="18"/>
              </w:rPr>
            </w:pPr>
            <w:r>
              <w:rPr>
                <w:rFonts w:cs="Arial" w:hAnsi="Arial" w:ascii="Arial"/>
                <w:b/>
                <w:bCs/>
                <w:color w:val="000000"/>
                <w:sz w:val="18"/>
                <w:szCs w:val="18"/>
              </w:rPr>
              <w:t>OIB VJEROVNIKA</w:t>
            </w:r>
          </w:p>
        </w:tc>
        <w:tc>
          <w:tcPr>
            <w:tcW w:type="dxa" w:w="978"/>
            <w:tcBorders>
              <w:top w:space="0" w:sz="4" w:color="auto" w:val="single"/>
              <w:left w:val="nil"/>
              <w:bottom w:space="0" w:sz="4" w:color="auto" w:val="single"/>
              <w:right w:space="0" w:sz="4" w:color="auto" w:val="single"/>
            </w:tcBorders>
            <w:shd w:fill="5B9BD5" w:color="auto" w:val="clear"/>
            <w:vAlign w:val="center"/>
            <w:hideMark/>
          </w:tcPr>
          <w:p w:rsidRDefault="00916D8E" w:rsidP="00916D8E" w:rsidR="00916D8E">
            <w:pPr>
              <w:spacing w:after="0"/>
              <w:jc w:val="center"/>
              <w:rPr>
                <w:rFonts w:cs="Arial" w:hAnsi="Arial" w:ascii="Arial"/>
                <w:b/>
                <w:bCs/>
                <w:color w:val="000000"/>
                <w:sz w:val="18"/>
                <w:szCs w:val="18"/>
              </w:rPr>
            </w:pPr>
            <w:r>
              <w:rPr>
                <w:rFonts w:cs="Arial" w:hAnsi="Arial" w:ascii="Arial"/>
                <w:b/>
                <w:bCs/>
                <w:color w:val="000000"/>
                <w:sz w:val="18"/>
                <w:szCs w:val="18"/>
              </w:rPr>
              <w:t>ADRESA</w:t>
            </w:r>
          </w:p>
        </w:tc>
        <w:tc>
          <w:tcPr>
            <w:tcW w:type="dxa" w:w="1139"/>
            <w:tcBorders>
              <w:top w:space="0" w:sz="4" w:color="auto" w:val="single"/>
              <w:left w:val="nil"/>
              <w:bottom w:space="0" w:sz="4" w:color="auto" w:val="single"/>
              <w:right w:space="0" w:sz="4" w:color="auto" w:val="single"/>
            </w:tcBorders>
            <w:shd w:fill="5B9BD5" w:color="auto" w:val="clear"/>
            <w:noWrap/>
            <w:vAlign w:val="center"/>
            <w:hideMark/>
          </w:tcPr>
          <w:p w:rsidRDefault="00916D8E" w:rsidP="00916D8E" w:rsidR="00916D8E">
            <w:pPr>
              <w:spacing w:after="0"/>
              <w:jc w:val="center"/>
              <w:rPr>
                <w:rFonts w:cs="Arial" w:hAnsi="Arial" w:ascii="Arial"/>
                <w:b/>
                <w:bCs/>
                <w:color w:val="000000"/>
                <w:sz w:val="18"/>
                <w:szCs w:val="18"/>
              </w:rPr>
            </w:pPr>
            <w:r>
              <w:rPr>
                <w:rFonts w:cs="Arial" w:hAnsi="Arial" w:ascii="Arial"/>
                <w:b/>
                <w:bCs/>
                <w:color w:val="000000"/>
                <w:sz w:val="18"/>
                <w:szCs w:val="18"/>
              </w:rPr>
              <w:t>NAZIV VJEROVNIKA</w:t>
            </w:r>
          </w:p>
        </w:tc>
        <w:tc>
          <w:tcPr>
            <w:tcW w:type="dxa" w:w="1399"/>
            <w:tcBorders>
              <w:top w:space="0" w:sz="4" w:color="auto" w:val="single"/>
              <w:left w:val="nil"/>
              <w:bottom w:space="0" w:sz="4" w:color="auto" w:val="single"/>
              <w:right w:space="0" w:sz="4" w:color="auto" w:val="single"/>
            </w:tcBorders>
            <w:shd w:fill="5B9BD5" w:color="auto" w:val="clear"/>
            <w:vAlign w:val="center"/>
            <w:hideMark/>
          </w:tcPr>
          <w:p w:rsidRDefault="00916D8E" w:rsidP="00916D8E" w:rsidR="00916D8E">
            <w:pPr>
              <w:spacing w:after="0"/>
              <w:jc w:val="center"/>
              <w:rPr>
                <w:rFonts w:cs="Arial" w:hAnsi="Arial" w:ascii="Arial"/>
                <w:b/>
                <w:bCs/>
                <w:color w:val="000000"/>
                <w:sz w:val="18"/>
                <w:szCs w:val="18"/>
              </w:rPr>
            </w:pPr>
            <w:r>
              <w:rPr>
                <w:rFonts w:cs="Arial" w:hAnsi="Arial" w:ascii="Arial"/>
                <w:b/>
                <w:bCs/>
                <w:color w:val="000000"/>
                <w:sz w:val="18"/>
                <w:szCs w:val="18"/>
              </w:rPr>
              <w:t>UTVRĐENI IZNOS TRAŽBINE</w:t>
            </w:r>
          </w:p>
        </w:tc>
        <w:tc>
          <w:tcPr>
            <w:tcW w:type="dxa" w:w="3685"/>
            <w:tcBorders>
              <w:top w:space="0" w:sz="4" w:color="auto" w:val="single"/>
              <w:left w:val="nil"/>
              <w:bottom w:space="0" w:sz="4" w:color="auto" w:val="single"/>
              <w:right w:space="0" w:sz="4" w:color="auto" w:val="single"/>
            </w:tcBorders>
            <w:shd w:fill="5B9BD5" w:color="auto" w:val="clear"/>
            <w:noWrap/>
            <w:vAlign w:val="center"/>
            <w:hideMark/>
          </w:tcPr>
          <w:p w:rsidRDefault="00916D8E" w:rsidP="00916D8E" w:rsidR="00916D8E">
            <w:pPr>
              <w:spacing w:after="0"/>
              <w:jc w:val="center"/>
              <w:rPr>
                <w:rFonts w:cs="Arial" w:hAnsi="Arial" w:ascii="Arial"/>
                <w:b/>
                <w:bCs/>
                <w:color w:val="000000"/>
                <w:sz w:val="18"/>
                <w:szCs w:val="18"/>
              </w:rPr>
            </w:pPr>
            <w:r>
              <w:rPr>
                <w:rFonts w:cs="Arial" w:hAnsi="Arial" w:ascii="Arial"/>
                <w:b/>
                <w:bCs/>
                <w:color w:val="000000"/>
                <w:sz w:val="18"/>
                <w:szCs w:val="18"/>
              </w:rPr>
              <w:t>NAPOMENA</w:t>
            </w:r>
          </w:p>
        </w:tc>
      </w:tr>
      <w:tr w:rsidTr="00916D8E" w:rsidR="00916D8E">
        <w:trPr>
          <w:trHeight w:val="3168"/>
        </w:trPr>
        <w:tc>
          <w:tcPr>
            <w:tcW w:type="dxa" w:w="756"/>
            <w:tcBorders>
              <w:top w:val="nil"/>
              <w:left w:space="0" w:sz="4" w:color="auto" w:val="single"/>
              <w:bottom w:space="0" w:sz="4" w:color="auto" w:val="single"/>
              <w:right w:space="0" w:sz="4" w:color="auto" w:val="single"/>
            </w:tcBorders>
            <w:noWrap/>
            <w:vAlign w:val="center"/>
            <w:hideMark/>
          </w:tcPr>
          <w:p w:rsidRDefault="00916D8E" w:rsidP="00916D8E" w:rsidR="00916D8E">
            <w:pPr>
              <w:spacing w:after="0"/>
              <w:jc w:val="center"/>
              <w:rPr>
                <w:rFonts w:cs="Calibri" w:hAnsi="Calibri" w:ascii="Calibri"/>
                <w:color w:val="000000"/>
                <w:sz w:val="18"/>
                <w:szCs w:val="18"/>
              </w:rPr>
            </w:pPr>
            <w:r>
              <w:rPr>
                <w:rFonts w:cs="Calibri" w:hAnsi="Calibri" w:ascii="Calibri"/>
                <w:color w:val="000000"/>
                <w:sz w:val="18"/>
                <w:szCs w:val="18"/>
              </w:rPr>
              <w:t>1</w:t>
            </w:r>
          </w:p>
        </w:tc>
        <w:tc>
          <w:tcPr>
            <w:tcW w:type="dxa" w:w="1115"/>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hAnsi="Calibri" w:ascii="Calibri"/>
                <w:color w:val="000000"/>
                <w:sz w:val="18"/>
                <w:szCs w:val="18"/>
              </w:rPr>
            </w:pPr>
            <w:r>
              <w:rPr>
                <w:rFonts w:cs="Calibri" w:hAnsi="Calibri" w:ascii="Calibri"/>
                <w:color w:val="000000"/>
                <w:sz w:val="18"/>
                <w:szCs w:val="18"/>
              </w:rPr>
              <w:t>26702280390</w:t>
            </w:r>
          </w:p>
        </w:tc>
        <w:tc>
          <w:tcPr>
            <w:tcW w:type="dxa" w:w="978"/>
            <w:tcBorders>
              <w:top w:val="nil"/>
              <w:left w:val="nil"/>
              <w:bottom w:space="0" w:sz="4" w:color="auto" w:val="single"/>
              <w:right w:space="0" w:sz="4" w:color="auto" w:val="single"/>
            </w:tcBorders>
            <w:vAlign w:val="center"/>
            <w:hideMark/>
          </w:tcPr>
          <w:p w:rsidRDefault="00916D8E" w:rsidP="00916D8E" w:rsidR="00916D8E">
            <w:pPr>
              <w:spacing w:after="0"/>
              <w:jc w:val="center"/>
              <w:rPr>
                <w:rFonts w:cs="Calibri" w:hAnsi="Calibri" w:ascii="Calibri"/>
                <w:color w:val="000000"/>
                <w:sz w:val="18"/>
                <w:szCs w:val="18"/>
              </w:rPr>
            </w:pPr>
            <w:r>
              <w:rPr>
                <w:rFonts w:cs="Calibri" w:hAnsi="Calibri" w:ascii="Calibri"/>
                <w:color w:val="000000"/>
                <w:sz w:val="18"/>
                <w:szCs w:val="18"/>
              </w:rPr>
              <w:t>Trg Josipa Jurja Strossmayera 9, 10000, Zagreb</w:t>
            </w:r>
          </w:p>
        </w:tc>
        <w:tc>
          <w:tcPr>
            <w:tcW w:type="dxa" w:w="1139"/>
            <w:tcBorders>
              <w:top w:val="nil"/>
              <w:left w:val="nil"/>
              <w:bottom w:space="0" w:sz="4" w:color="auto" w:val="single"/>
              <w:right w:space="0" w:sz="4" w:color="auto" w:val="single"/>
            </w:tcBorders>
            <w:vAlign w:val="center"/>
            <w:hideMark/>
          </w:tcPr>
          <w:p w:rsidRDefault="00916D8E" w:rsidP="00916D8E" w:rsidR="00916D8E">
            <w:pPr>
              <w:spacing w:after="0"/>
              <w:rPr>
                <w:rFonts w:cs="Calibri" w:hAnsi="Calibri" w:ascii="Calibri"/>
                <w:color w:val="000000"/>
                <w:sz w:val="18"/>
                <w:szCs w:val="18"/>
              </w:rPr>
            </w:pPr>
            <w:r>
              <w:rPr>
                <w:rFonts w:cs="Calibri" w:hAnsi="Calibri" w:ascii="Calibri"/>
                <w:color w:val="000000"/>
                <w:sz w:val="18"/>
                <w:szCs w:val="18"/>
              </w:rPr>
              <w:t>HRVATSKA BANKA ZA OBNOVU I RAZVITAK</w:t>
            </w:r>
          </w:p>
        </w:tc>
        <w:tc>
          <w:tcPr>
            <w:tcW w:type="dxa" w:w="1399"/>
            <w:tcBorders>
              <w:top w:val="nil"/>
              <w:left w:val="nil"/>
              <w:bottom w:space="0" w:sz="4" w:color="auto" w:val="single"/>
              <w:right w:space="0" w:sz="4" w:color="auto" w:val="single"/>
            </w:tcBorders>
            <w:noWrap/>
            <w:vAlign w:val="center"/>
            <w:hideMark/>
          </w:tcPr>
          <w:p w:rsidRDefault="00916D8E" w:rsidP="00916D8E" w:rsidR="00916D8E">
            <w:pPr>
              <w:spacing w:after="0"/>
              <w:jc w:val="center"/>
              <w:rPr>
                <w:rFonts w:cs="Calibri" w:hAnsi="Calibri" w:ascii="Calibri"/>
                <w:color w:val="000000"/>
                <w:sz w:val="18"/>
                <w:szCs w:val="18"/>
              </w:rPr>
            </w:pPr>
            <w:r>
              <w:rPr>
                <w:rFonts w:cs="Calibri" w:hAnsi="Calibri" w:ascii="Calibri"/>
                <w:color w:val="000000"/>
                <w:sz w:val="18"/>
                <w:szCs w:val="18"/>
              </w:rPr>
              <w:t>180.046,63</w:t>
            </w:r>
          </w:p>
        </w:tc>
        <w:tc>
          <w:tcPr>
            <w:tcW w:type="dxa" w:w="3685"/>
            <w:tcBorders>
              <w:top w:val="nil"/>
              <w:left w:val="nil"/>
              <w:bottom w:space="0" w:sz="4" w:color="auto" w:val="single"/>
              <w:right w:space="0" w:sz="4" w:color="auto" w:val="single"/>
            </w:tcBorders>
            <w:vAlign w:val="center"/>
            <w:hideMark/>
          </w:tcPr>
          <w:p w:rsidRDefault="00916D8E" w:rsidP="00916D8E" w:rsidR="00916D8E">
            <w:pPr>
              <w:spacing w:after="0"/>
              <w:rPr>
                <w:rFonts w:cs="Calibri" w:hAnsi="Calibri" w:ascii="Calibri"/>
                <w:color w:val="000000"/>
                <w:sz w:val="18"/>
                <w:szCs w:val="18"/>
              </w:rPr>
            </w:pPr>
            <w:r>
              <w:rPr>
                <w:rFonts w:cs="Calibri" w:hAnsi="Calibri" w:ascii="Calibri"/>
                <w:color w:val="000000"/>
                <w:sz w:val="18"/>
                <w:szCs w:val="18"/>
              </w:rPr>
              <w:t>Nekretnine upisane kod Općinskog suda u Novom Zagrebu, zamljišnoknjižni odjel Samobor, k.o. Rakitje, zk. ul. 14, kat. čest. 596, 597, 598 i 599; zk. ul. 3452, kat. čest. 456/1 i 457/1; zk. ul. 2936, kat. čest. 594 i 595.</w:t>
            </w:r>
          </w:p>
        </w:tc>
      </w:tr>
    </w:tbl>
    <w:p w:rsidRDefault="00916D8E" w:rsidP="00916D8E" w:rsidR="00916D8E">
      <w:pPr>
        <w:spacing w:after="0"/>
      </w:pPr>
    </w:p>
    <w:p w:rsidRDefault="00916D8E" w:rsidP="00916D8E" w:rsidR="00916D8E">
      <w:pPr>
        <w:spacing w:after="0"/>
      </w:pPr>
    </w:p>
    <w:p w:rsidRDefault="00916D8E" w:rsidP="00916D8E" w:rsidR="00916D8E">
      <w:pPr>
        <w:spacing w:after="0"/>
        <w:jc w:val="both"/>
      </w:pPr>
    </w:p>
    <w:p w:rsidRDefault="00916D8E" w:rsidP="00916D8E" w:rsidR="00916D8E">
      <w:pPr>
        <w:spacing w:after="0"/>
        <w:ind w:firstLine="708"/>
        <w:jc w:val="both"/>
      </w:pPr>
      <w:r>
        <w:t xml:space="preserve">Vjerovnici Euro-fero d.o.o., Gradska plinara Zagreb-opskrba d.o.o., HEP-opskrba d.o.o. i Hrvatski telekom d.d., upućuju se na pokretanje parničnog postupka radi utvrđivanja osnovanosti osporene tražbine temeljem članka 48. st. 1. SZ-a, u roku od 8 dana od dana pravomoćnosti rješenja o ispitanim tražbinama. </w:t>
      </w:r>
    </w:p>
    <w:p w:rsidRDefault="00916D8E" w:rsidP="00916D8E" w:rsidR="00916D8E">
      <w:pPr>
        <w:spacing w:after="0"/>
        <w:ind w:firstLine="708"/>
        <w:jc w:val="both"/>
      </w:pPr>
    </w:p>
    <w:p w:rsidRDefault="00916D8E" w:rsidP="00916D8E" w:rsidR="00916D8E">
      <w:pPr>
        <w:spacing w:after="0"/>
        <w:jc w:val="both"/>
      </w:pPr>
    </w:p>
    <w:p w:rsidRDefault="00916D8E" w:rsidP="00916D8E" w:rsidR="00916D8E">
      <w:pPr>
        <w:spacing w:after="0"/>
        <w:jc w:val="both"/>
      </w:pPr>
    </w:p>
    <w:p w:rsidRDefault="00916D8E" w:rsidP="00916D8E" w:rsidR="00916D8E">
      <w:pPr>
        <w:spacing w:after="0"/>
        <w:jc w:val="center"/>
      </w:pPr>
      <w:r>
        <w:t>Obrazloženje</w:t>
      </w:r>
    </w:p>
    <w:p w:rsidRDefault="00916D8E" w:rsidP="00916D8E" w:rsidR="00916D8E">
      <w:pPr>
        <w:spacing w:after="0"/>
        <w:jc w:val="center"/>
      </w:pPr>
    </w:p>
    <w:p w:rsidRDefault="00916D8E" w:rsidP="00916D8E" w:rsidR="00916D8E">
      <w:pPr>
        <w:pStyle w:val="Tijeloteksta"/>
        <w:spacing w:after="0"/>
      </w:pPr>
    </w:p>
    <w:p w:rsidRDefault="00916D8E" w:rsidP="00916D8E" w:rsidR="00916D8E">
      <w:pPr>
        <w:pStyle w:val="Tijeloteksta"/>
        <w:spacing w:after="0"/>
        <w:jc w:val="both"/>
        <w:rPr>
          <w:lang w:eastAsia="hr-HR"/>
        </w:rPr>
      </w:pPr>
      <w:r>
        <w:tab/>
        <w:t>Dužnik je podnio ovome sudu prijedlog za otvaranje predstečajnog postupka, na temelju odredbe članka 25. st. 1. Stečajnog zakona ("Narodne novine" broj 71/15, dalje skraćeno: SZ-a), nakon čega je ovaj sud donio rješenje o otvaranju predstečajnog postupka, kojim je između ostalog imenovao povjerenika i odredio ročište radi ispitivanja tražbina dana 2.3.2017. godine u 13,00 sati. Ročište je odgođeno iz razloga što nisu protekli rokovi za očitovanje o prijavama tražbina i osporavanje tražbina, te nije protekao rok radi očitovanja vjerovnika na osporavanje tražbina po povjereniku ili dužniku, te osporavanje tražbina vjerovnika. Stoga je održano ročište 10.4.2017.</w:t>
      </w:r>
    </w:p>
    <w:p w:rsidRDefault="00916D8E" w:rsidP="00916D8E" w:rsidR="00916D8E">
      <w:pPr>
        <w:pStyle w:val="Tijeloteksta"/>
        <w:spacing w:after="0"/>
        <w:jc w:val="both"/>
      </w:pPr>
      <w:r>
        <w:tab/>
        <w:t xml:space="preserve">Na ročištu radi ispitivanja tražbina od 10.4.2017. na koje su pristupili povjerenica Vesna Baranašić Horvat, direktor dužnika Jure Pivac, te vjerovnici RH Ministarstvo financija, Euros d.o.o. Sesvete, Haberkorn d.o.o. Sveta Nedjelja, Erste &amp; Steiermärkische bank d.d. i Hrvatske šume d.o.o., sud je ispitao tražbine sukladno članku 46. SZ-a. Sud je utvrdio da je tablicu prijavljenih tražbina Fina objavila na mrežnoj stranici e-Oglasna ploča sudova i to Trgovačkog suda u Varaždinu dana 27.2.2017., očitovanje dužnika i povjerenika o prijavljenim tražbinama 2.3.2017., tablicu osporenih tražbina 13.3.2017., te u spis dostavila očitovanje dužnika o prijavljenim tražbinama. Prema očitovanju dužnika o prijavljenim tražbinama dio tražbina je osporeno i to Euro-fero d.o.o. u iznosu od 5.600,00 kn, Gradska plinara Zagreb-opskrba d.o.o. u iznosu od 19.237,62 kn, HEP-Opskrba d.o.o. u iznosu od 10.816,47 kn, te HT-hrvatski telekom d.d. u iznosu od 9.657,80 kn. Navedene tražbine su osporene iz istog razloga, i to  jer su plaćene. Povjerenica predstečajne nagodbe Vesna </w:t>
      </w:r>
      <w:r>
        <w:lastRenderedPageBreak/>
        <w:t>Baranašić Horvat iskazala je da je to točno, da su navedene tražbine plaćene jer su iste bile dužne za redovno poslovanje dužnika i namirene su iz razloga kako ne bi došlo do isključenja usluge. Valja reći da je u zapisniku pogrešno navedeno da je za vjerovnika Gradska plinara Zagreb-opskrba d.o.o. osporeno 270,55 kn. Treba ispravno stajati da je osporeno 19.237,62 kn, a priznaje se 270,55 kn, kako to proizlazi iz očitovanja dužnika.</w:t>
      </w:r>
    </w:p>
    <w:p w:rsidRDefault="00916D8E" w:rsidP="00916D8E" w:rsidR="00916D8E">
      <w:pPr>
        <w:pStyle w:val="Tijeloteksta"/>
        <w:spacing w:after="0"/>
        <w:jc w:val="both"/>
      </w:pPr>
      <w:r>
        <w:tab/>
        <w:t>Ovršne isprave za svoju tražbinu imaju vjerovnici: Erste &amp; Steiermärkische bank d.d., Haberkorn d.o.o., Hrvatske šume d.o.o., Republika Hrvatska Ministarstvo financija Porezna uprava, Retel d.o.o. i Zagrebački holding d.o.o.</w:t>
      </w:r>
    </w:p>
    <w:p w:rsidRDefault="00916D8E" w:rsidP="00916D8E" w:rsidR="00916D8E">
      <w:pPr>
        <w:pStyle w:val="Tijeloteksta"/>
        <w:spacing w:after="0"/>
        <w:jc w:val="both"/>
      </w:pPr>
      <w:r>
        <w:tab/>
        <w:t>Što se tiče razlučnih vjerovnika, isti su Erste &amp; Steiermärkische bank d.d. i Hrvatska banka za obnovu i razvitak. Prema prijavi tražbine Erste &amp; Steiermärkische bank d.d. proizlazi da se ista odrekla razlučnog prava. Hrvatska banka za obnovu i razvitak nije se odrekla razlučnog prava.</w:t>
      </w:r>
    </w:p>
    <w:p w:rsidRDefault="00916D8E" w:rsidP="00916D8E" w:rsidR="00916D8E">
      <w:pPr>
        <w:pStyle w:val="Tijeloteksta"/>
        <w:spacing w:after="0"/>
        <w:jc w:val="both"/>
      </w:pPr>
      <w:r>
        <w:tab/>
        <w:t xml:space="preserve">Sud je izvršio uvid u prijavu tražbine Erste &amp; Steiermärkische bank d.d. koja je podnijeta na obrascu 3, te je utvrdio da je vjerovnik zaokružio da se odriče prava na odvojeno namirenje, a zaokružio je i da pristaje da se odgodi namirenje iz predmeta na koji se odnosi njegovo razlučno pravo radi provedbe plana restrukturiranja. </w:t>
      </w:r>
    </w:p>
    <w:p w:rsidRDefault="00916D8E" w:rsidP="00916D8E" w:rsidR="00916D8E">
      <w:pPr>
        <w:pStyle w:val="Tijeloteksta"/>
        <w:spacing w:after="0"/>
        <w:jc w:val="both"/>
      </w:pPr>
      <w:r>
        <w:tab/>
        <w:t xml:space="preserve">Sud je izvršio uvid u specifikaciju namirenih tražbina prijavljenih u predstečajni postupak na listu 164 iz koje proizlazi da je djelomično namiren vjerovnik Euro-fero d.o.o. u iznosu od 5.600,00 kn, djelomično namiren vjerovnik Gradska plinara Zagreb-opskrba d.o.o. u iznosu od 19.237,62 kn, namiren vjerovnik HEP-opskrba d.o.o. u iznosu od 10.816,47 kn, te namiren vjerovnik Hrvatski telekom d.d. u iznosu od 9.657,80 kn. </w:t>
      </w:r>
    </w:p>
    <w:p w:rsidRDefault="00916D8E" w:rsidP="00916D8E" w:rsidR="00916D8E">
      <w:pPr>
        <w:pStyle w:val="Tijeloteksta"/>
        <w:spacing w:after="0"/>
        <w:jc w:val="both"/>
      </w:pPr>
      <w:r>
        <w:tab/>
        <w:t xml:space="preserve">Iz uvida u očitovanje dužnika o prijavljenim tražbinama u predstečajnom postupku proizlazi da se dužnik očitovao o prijavljenim tražbinama vjerovnika, da je visina prijavljene i priznate tražbine Erste &amp; Steiermärkische bank d.d. 14.034.032,14 kn, priznata u cijelosti po dužniku. Kod tražbine Zagrebački holding d.o.o. dužnik je načinio štamparsku grešku i ispravan iznos tražbine iznosi 4.276,49 kn. </w:t>
      </w:r>
    </w:p>
    <w:p w:rsidRDefault="00916D8E" w:rsidP="00916D8E" w:rsidR="00916D8E">
      <w:pPr>
        <w:pStyle w:val="Tijeloteksta"/>
        <w:spacing w:after="0"/>
        <w:ind w:firstLine="708"/>
        <w:jc w:val="both"/>
      </w:pPr>
      <w:r>
        <w:t>Iz očitovanja povjerenice o prijavljenim tražbinama proizlazi da se povjerenica posebno izjasnila o svim tražbinama koje su sadržane u tablici od 1-73 tablice utvrđenih tražbina koja je objavljena na e-Oglasnoj ploči suda dana 17.2.2017., te je navela da je suglasna s iznosima utvrđenim u tablici prijavljenih tražbina za tvrtku Armirač-montaža d.o.o.</w:t>
      </w:r>
    </w:p>
    <w:p w:rsidRDefault="00916D8E" w:rsidP="00916D8E" w:rsidR="00916D8E">
      <w:pPr>
        <w:pStyle w:val="Tijeloteksta"/>
        <w:spacing w:after="0"/>
        <w:ind w:firstLine="708"/>
        <w:jc w:val="both"/>
      </w:pPr>
      <w:r>
        <w:t>Temeljem članka 41. st. 1. SZ-a, dužnik i povjerenik očitovali su se o prijavljenim tražbinama vjerovnika na propisanom obrascu. Rok za osporavanje tražbina iznosi 8 dana od dana objave očitovanja o prijavljenim tražbinama dužnika i povjerenika. Očitovanje dužnika i povjerenika o prijavljenim tražbinama je objavljeno dana 2.3.2017. Rok za osporavanje tražbina je prekluzivan. Osporiti se može ne samo postojanje, već i pravna osnova te visina tražbine. Temeljem članka 47. SZ-a, tražbine prijavljene u propisanom roku smatraju se utvrđenim ako ih nije osporio dužnik, povjerenik ako je imenovan i vjerovnik. Temeljem članka 42. st. 1. SZ-a, vjerovnik može osporiti prijavljenu tražbinu drugog vjerovnika. U konkretnom slučaju do osporavanja tražbine došlo je samo od strane dužnika i to naprijed navedenih tražbina koje su plaćene.</w:t>
      </w:r>
    </w:p>
    <w:p w:rsidRDefault="00916D8E" w:rsidP="00916D8E" w:rsidR="00916D8E">
      <w:pPr>
        <w:spacing w:after="0"/>
        <w:ind w:firstLine="708"/>
        <w:jc w:val="both"/>
      </w:pPr>
      <w:r>
        <w:t>Prema članku 41. st. 1. SZ-a dužnik i povjerenik su se dužni očitovati o prijavljenim tražbinama vjerovnika, što su i učinili. Temeljem članka 42. st. 1. SZ-a vjerovnik može osporiti prijavljenu tražbinu drugog vjerovnika. Osporiti se može ne samo postojanje, već i pravna osnova te visina tražbine. Posljedica neosporavanja tražbine je da se prijavljena tražbina smatra postojećom onako kako je prijavljena sukladno članku 47. SZ-a koji propisuje da tražbine prijavljene u propisanom roku smatraju se utvrđenim ako ih nije osporio dužnik, povjerenik ako je imenovan, ili vjerovnik.</w:t>
      </w:r>
    </w:p>
    <w:p w:rsidRDefault="00916D8E" w:rsidP="00916D8E" w:rsidR="00916D8E">
      <w:pPr>
        <w:spacing w:after="0"/>
        <w:ind w:firstLine="708"/>
        <w:jc w:val="both"/>
      </w:pPr>
      <w:r>
        <w:t xml:space="preserve">Prema Planu financijskog i operativnog restrukturiranja dužnika koji je objavljen na e-Oglasnoj ploči suda, proizlazi da su uvjetne tražbine (garancija, jamstva) tražbine vjerovnika </w:t>
      </w:r>
      <w:r>
        <w:lastRenderedPageBreak/>
        <w:t xml:space="preserve">Euros d.o.o. u iznosu od 17.732.564,50 kn, Gordana Šimunović u iznosu od 13.669.868,93 kn, Marija Šimunović u iznosu od 13.669.868,93 kn, Roman Šimunović u iznosu od 14.133.380,43 kn, SG kristali 1978 d.o.o. Zagreb u iznosu od 15.000.000,00 kn i Vitko Zovak u iznosu od 15.000.000,00 kn, te djelomično Erste &amp; Steiermärkische bank d.d. u iznosu od 521.291,62 kn. Temeljem članka 143. st. 2. SZ-a, solidarni dužnici i jamci mogu podnijeti zahtjev da im se osigura iznos što će ga platiti za dužnika razmjerno iznosu koji bi im pripao kao stečajnim vjerovnicima. Vjerovnik Euros d.o.o. i Gordana Šimunović imaju tražbinu s istog osnova, te će u smislu članka 59. st. 3. SZ-a prilikom glasovanja o Planu restrukturiranja imati jedan glas. </w:t>
      </w:r>
    </w:p>
    <w:p w:rsidRDefault="00916D8E" w:rsidP="00916D8E" w:rsidR="00916D8E">
      <w:pPr>
        <w:spacing w:after="0"/>
        <w:ind w:firstLine="708"/>
        <w:jc w:val="both"/>
      </w:pPr>
      <w:r>
        <w:t>Sukladno članku 56. SZ-a, na pravo glasa vjerovnika za glasovanje o Planu restrukturiranja na odgovarajući način primjenjuju se pravila ovoga zakona o utvrđivanju prava glasa u stečajnom planu. Temeljem članka 57. SZ-a, sud sastavlja popis vjerovnika i prava glasa koja im pripadaju za ročište za glasovanje o Planu restrukturiranja.</w:t>
      </w:r>
    </w:p>
    <w:p w:rsidRDefault="00916D8E" w:rsidP="00916D8E" w:rsidR="00916D8E">
      <w:pPr>
        <w:spacing w:after="0"/>
        <w:ind w:firstLine="708"/>
        <w:jc w:val="both"/>
      </w:pPr>
      <w:r>
        <w:t>Slijedom tako provedenog ročišta radi ispitivanja tražbina, sud je utvrdio tražbine utvrđenima onako kako je u tablici prijavljenih tražbina i kako su se očitovali dužnik i povjerenica ove predstečajne nagodbe. Vjerovnici nisu osporavali tražbine.</w:t>
      </w:r>
    </w:p>
    <w:p w:rsidRDefault="00916D8E" w:rsidP="00916D8E" w:rsidR="00916D8E">
      <w:pPr>
        <w:spacing w:after="0"/>
        <w:ind w:firstLine="708"/>
        <w:jc w:val="both"/>
      </w:pPr>
      <w:r>
        <w:t xml:space="preserve">Temeljem članka 48. st. 1. SZ-a, ako je dužnik osporio tražbinu, sud će vjerovnika osporene tražbine uputiti na parnicu protiv dužnika radi utvrđivanja osporene tražbine. </w:t>
      </w:r>
    </w:p>
    <w:p w:rsidRDefault="00916D8E" w:rsidP="00916D8E" w:rsidR="00916D8E">
      <w:pPr>
        <w:spacing w:after="0"/>
        <w:ind w:firstLine="708"/>
        <w:jc w:val="both"/>
      </w:pPr>
      <w:r>
        <w:t xml:space="preserve">Obzirom da su osporene tražbine vjerovnika Euro-fero d.o.o., Gradska plinara Zagreb-opskrba d.o.o., HEP-opskrba d.o.o. i Hrvatski telekom d.d., isti vjerovnici se upućuju na pokretanje parničnog postupka radi utvrđivanja osnovanosti osporene tražbine temeljem članka 48. st. 1. SZ-a, u roku od 8 dana od dana pravomoćnosti rješenja o ispitanim tražbinama. </w:t>
      </w:r>
    </w:p>
    <w:p w:rsidRDefault="00916D8E" w:rsidP="00916D8E" w:rsidR="00916D8E">
      <w:pPr>
        <w:spacing w:after="0"/>
        <w:ind w:firstLine="708"/>
        <w:jc w:val="both"/>
      </w:pPr>
      <w:r>
        <w:t>Valja napomenuti da je podneskom koji je zaprimljen 28.2.2017. odvjetnica Irena Radić Repač, kao punomoćnica malodobne Tee Mijatović i Vesne Mijatović, podnijela podnesak da je potrebno tražbinu s osnova naknade štete zbog izgubljenog uzdržavanja koja se vodi kod Općinskog građanskog suda u Zagrebu pod brojem P Ob-2/15 uvrstiti u tablicu.</w:t>
      </w:r>
    </w:p>
    <w:p w:rsidRDefault="00916D8E" w:rsidP="00916D8E" w:rsidR="00916D8E">
      <w:pPr>
        <w:spacing w:after="0"/>
        <w:ind w:firstLine="708"/>
        <w:jc w:val="both"/>
      </w:pPr>
      <w:r>
        <w:t xml:space="preserve">Uvidom u popis sudskih postupaka koje je dostavio dužnik Armirač-montaža d.o.o. proizlazi da je navedeni postupak prijavljen kao postupak koji se vodi po tužbi tužitelja Tee Mijatović, a u kojem je dužnik Armirač-montaža d.o.o. tuženik. Prema rješenju Općinskog građanskog suda u Zagrebu, Stalna služba u Sesvetama broj 161 P Ob-2/15-6 od 15. veljače 2017., postupak je prekinut, te je odlučeno da će se isti nastaviti nakon pravomoćnog završetka postupka predstečajne nagodbe. </w:t>
      </w:r>
    </w:p>
    <w:p w:rsidRDefault="00916D8E" w:rsidP="00916D8E" w:rsidR="00916D8E">
      <w:pPr>
        <w:spacing w:after="0"/>
        <w:ind w:firstLine="708"/>
        <w:jc w:val="both"/>
      </w:pPr>
      <w:r>
        <w:t>Prema članku 37. st. 1. SZ-a, radnici i prijašnji dužnikovi radnici u predstečajnom postupku ne podnose prijavu tražbine iz radnog odnosa, kao i tražbine po osnovi naknade štete pretrpljene zbog ozljede na radu ili profesionalne bolesti.</w:t>
      </w:r>
    </w:p>
    <w:p w:rsidRDefault="00916D8E" w:rsidP="00916D8E" w:rsidR="00916D8E">
      <w:pPr>
        <w:spacing w:after="0"/>
        <w:ind w:firstLine="708"/>
        <w:jc w:val="both"/>
      </w:pPr>
      <w:r>
        <w:t>Utvrđeno je da je dužnik navedeni spor naveo u podacima dostavljenim uz prijedlog za otvaranje predstečajnog postupka.</w:t>
      </w:r>
    </w:p>
    <w:p w:rsidRDefault="00916D8E" w:rsidP="00916D8E" w:rsidR="00916D8E">
      <w:pPr>
        <w:spacing w:after="0"/>
        <w:ind w:firstLine="708"/>
        <w:jc w:val="both"/>
      </w:pPr>
      <w:r>
        <w:t>Slijedom svega naprijed navedenog primjenom citiranih propisa, sud je riješio kao u izreci.</w:t>
      </w:r>
    </w:p>
    <w:p w:rsidRDefault="00916D8E" w:rsidP="00916D8E" w:rsidR="00916D8E">
      <w:pPr>
        <w:pStyle w:val="Tijeloteksta"/>
        <w:spacing w:after="0"/>
      </w:pPr>
    </w:p>
    <w:p w:rsidRDefault="00916D8E" w:rsidP="00916D8E" w:rsidR="00916D8E">
      <w:pPr>
        <w:pStyle w:val="Tijeloteksta"/>
        <w:spacing w:after="0"/>
      </w:pPr>
    </w:p>
    <w:p w:rsidRDefault="00916D8E" w:rsidP="00916D8E" w:rsidR="00916D8E">
      <w:pPr>
        <w:spacing w:after="0"/>
        <w:jc w:val="center"/>
      </w:pPr>
    </w:p>
    <w:p w:rsidRDefault="00916D8E" w:rsidP="00916D8E" w:rsidR="00916D8E">
      <w:pPr>
        <w:spacing w:after="0"/>
        <w:jc w:val="center"/>
      </w:pPr>
      <w:r>
        <w:t xml:space="preserve">U Varaždinu 10. travnja 2017. godine </w:t>
      </w:r>
    </w:p>
    <w:p w:rsidRDefault="00916D8E" w:rsidP="00916D8E" w:rsidR="00916D8E">
      <w:pPr>
        <w:pStyle w:val="Podnaslov"/>
        <w:spacing w:after="0"/>
        <w:ind w:left="5664"/>
      </w:pPr>
      <w:r>
        <w:t xml:space="preserve">                                                                                                                           </w:t>
      </w:r>
    </w:p>
    <w:p w:rsidRDefault="00916D8E" w:rsidP="00916D8E" w:rsidR="00916D8E" w:rsidRPr="00916D8E">
      <w:pPr>
        <w:pStyle w:val="Podnaslov"/>
        <w:spacing w:after="0"/>
        <w:ind w:firstLine="708" w:left="4956"/>
        <w:jc w:val="both"/>
        <w:rPr>
          <w:rFonts w:hAnsi="Times New Roman" w:ascii="Times New Roman"/>
          <w:i w:val="false"/>
          <w:color w:val="auto"/>
        </w:rPr>
      </w:pPr>
      <w:r>
        <w:rPr>
          <w:rFonts w:hAnsi="Times New Roman" w:ascii="Times New Roman"/>
          <w:b/>
          <w:color w:val="auto"/>
        </w:rPr>
        <w:t xml:space="preserve">                 </w:t>
      </w:r>
      <w:r w:rsidRPr="00916D8E">
        <w:rPr>
          <w:rFonts w:hAnsi="Times New Roman" w:ascii="Times New Roman"/>
          <w:i w:val="false"/>
          <w:color w:val="auto"/>
        </w:rPr>
        <w:t>SUDAC:</w:t>
      </w:r>
    </w:p>
    <w:p w:rsidRDefault="00916D8E" w:rsidP="00916D8E" w:rsidR="00916D8E">
      <w:pPr>
        <w:pStyle w:val="Podnaslov"/>
        <w:spacing w:after="0"/>
        <w:ind w:firstLine="708" w:left="4956"/>
        <w:rPr>
          <w:rFonts w:hAnsi="Tahoma" w:ascii="Tahoma"/>
          <w:b/>
          <w:color w:val="0000FF"/>
          <w:szCs w:val="20"/>
        </w:rPr>
      </w:pPr>
      <w:r>
        <w:t xml:space="preserve">  </w:t>
      </w:r>
    </w:p>
    <w:p w:rsidRDefault="00916D8E" w:rsidP="00916D8E" w:rsidR="00916D8E">
      <w:pPr>
        <w:spacing w:after="0"/>
        <w:jc w:val="both"/>
      </w:pPr>
      <w:r>
        <w:tab/>
      </w:r>
      <w:r>
        <w:tab/>
      </w:r>
      <w:r>
        <w:tab/>
      </w:r>
      <w:r>
        <w:tab/>
      </w:r>
      <w:r>
        <w:tab/>
      </w:r>
      <w:r>
        <w:tab/>
      </w:r>
      <w:r>
        <w:tab/>
        <w:t xml:space="preserve">                               Jasna Lekić</w:t>
      </w:r>
    </w:p>
    <w:p w:rsidRDefault="00916D8E" w:rsidP="00916D8E" w:rsidR="00916D8E">
      <w:pPr>
        <w:spacing w:after="0"/>
      </w:pPr>
      <w:r>
        <w:lastRenderedPageBreak/>
        <w:tab/>
      </w:r>
      <w:r>
        <w:tab/>
      </w:r>
      <w:r>
        <w:tab/>
      </w:r>
      <w:r>
        <w:tab/>
      </w:r>
      <w:r>
        <w:tab/>
      </w:r>
      <w:r>
        <w:tab/>
      </w:r>
      <w:r>
        <w:tab/>
      </w:r>
      <w:r>
        <w:tab/>
        <w:t xml:space="preserve"> </w:t>
      </w:r>
      <w:r>
        <w:tab/>
      </w:r>
      <w:r>
        <w:tab/>
      </w:r>
      <w:r>
        <w:tab/>
      </w:r>
      <w:r>
        <w:tab/>
        <w:t xml:space="preserve">              </w:t>
      </w:r>
    </w:p>
    <w:p w:rsidRDefault="00916D8E" w:rsidP="00916D8E" w:rsidR="00916D8E">
      <w:pPr>
        <w:spacing w:after="0"/>
      </w:pPr>
      <w:r>
        <w:t>UPUTA O PRAVNOM LIJEKU:</w:t>
      </w:r>
    </w:p>
    <w:p w:rsidRDefault="00916D8E" w:rsidP="00916D8E" w:rsidR="00916D8E">
      <w:pPr>
        <w:spacing w:after="0"/>
      </w:pPr>
    </w:p>
    <w:p w:rsidRDefault="00916D8E" w:rsidP="00916D8E" w:rsidR="00916D8E">
      <w:pPr>
        <w:spacing w:after="0"/>
        <w:ind w:firstLine="708"/>
        <w:jc w:val="both"/>
      </w:pPr>
      <w:r>
        <w:t>Protiv ovog rješenja pravo na žalbu ima dužnik i svaki vjerovnik u dijelu koji se odnosi na njegovu prijavljenu tražbinu i tražbinu koju je osporio (čl. 51. st. 1. Stečajnog zakona), u roku od 8 dana od isteka osmog dana od dana  objave ovog rješenja na mrežnoj stranici e-Oglasna ploča. Žalba se ulaže u 3 primjerka putem ovog suda, a o žalbi odlučuje Visoki trgovački sud Republike Hrvatske.</w:t>
      </w:r>
    </w:p>
    <w:p w:rsidRDefault="00916D8E" w:rsidP="00916D8E" w:rsidR="00916D8E">
      <w:pPr>
        <w:spacing w:after="0"/>
      </w:pPr>
    </w:p>
    <w:p w:rsidRDefault="00916D8E" w:rsidP="00916D8E" w:rsidR="00916D8E">
      <w:pPr>
        <w:spacing w:after="0"/>
      </w:pPr>
    </w:p>
    <w:p w:rsidRDefault="00916D8E" w:rsidP="00916D8E" w:rsidR="00916D8E">
      <w:pPr>
        <w:spacing w:after="0"/>
      </w:pPr>
    </w:p>
    <w:p w:rsidRDefault="00916D8E" w:rsidP="00916D8E" w:rsidR="00916D8E">
      <w:pPr>
        <w:spacing w:after="0"/>
      </w:pPr>
    </w:p>
    <w:p w:rsidRDefault="00916D8E" w:rsidP="00916D8E" w:rsidR="00916D8E">
      <w:pPr>
        <w:spacing w:after="0"/>
      </w:pPr>
      <w:r>
        <w:t>DNA: 1. e-Oglasna ploča suda</w:t>
      </w:r>
    </w:p>
    <w:p w:rsidRDefault="00AE649C" w:rsidP="00916D8E" w:rsidR="00AE649C" w:rsidRPr="00B76F3C">
      <w:pPr>
        <w:pStyle w:val="NormaleSPIS"/>
        <w:spacing w:after="0"/>
      </w:pPr>
    </w:p>
    <w:p w:rsidRDefault="00AB4602" w:rsidP="00916D8E"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916D8E"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4FDF" w:rsidP="00537B78" w:rsidR="00B74FDF">
      <w:r>
        <w:separator/>
      </w:r>
    </w:p>
  </w:endnote>
  <w:endnote w:id="0" w:type="continuationSeparator">
    <w:p w:rsidRDefault="00B74FDF" w:rsidP="00537B78" w:rsidR="00B74F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4FDF" w:rsidP="00537B78" w:rsidR="00B74FDF">
      <w:r>
        <w:separator/>
      </w:r>
    </w:p>
  </w:footnote>
  <w:footnote w:id="0" w:type="continuationSeparator">
    <w:p w:rsidRDefault="00B74FDF" w:rsidP="00537B78" w:rsidR="00B74F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49FA"/>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16D8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4FDF"/>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969886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St-1171/2016-19</izvorni_sadrzaj>
    <derivirana_varijabla naziv="DomainObject.Oznaka_1">St-1171/2016-19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1171</izvorni_sadrzaj>
    <derivirana_varijabla naziv="DomainObject.Predmet.Broj_1">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2016.</izvorni_sadrzaj>
    <derivirana_varijabla naziv="DomainObject.Predmet.DatumOsnivanja_1">27.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St-1171/2016</izvorni_sadrzaj>
    <derivirana_varijabla naziv="DomainObject.Predmet.OznakaBroj_1">St-1171/2016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izvorni_sadrzaj>
    <derivirana_varijabla naziv="DomainObject.Predmet.PrimjedbaSuca_1">prijave tražbina u st. pisarnici</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Armirač-montaža d.o.o. za graditeljstvo i usluge</izvorni_sadrzaj>
    <derivirana_varijabla naziv="DomainObject.Predmet.StrankaFormated_1">  Armirač-montaža d.o.o. za graditeljstvo i usluge</derivirana_varijabla>
  </DomainObject.Predmet.StrankaFormated>
  <DomainObject.Predmet.StrankaFormatedOIB>
    <izvorni_sadrzaj>  Armirač-montaža d.o.o. za graditeljstvo i usluge, OIB 32506593096</izvorni_sadrzaj>
    <derivirana_varijabla naziv="DomainObject.Predmet.StrankaFormatedOIB_1">  Armirač-montaža d.o.o. za graditeljstvo i usluge, OIB 32506593096</derivirana_varijabla>
  </DomainObject.Predmet.StrankaFormatedOIB>
  <DomainObject.Predmet.StrankaFormatedWithAdress>
    <izvorni_sadrzaj> Armirač-montaža d.o.o. za graditeljstvo i usluge, Trakošćanska 9B, 42000 Varaždin</izvorni_sadrzaj>
    <derivirana_varijabla naziv="DomainObject.Predmet.StrankaFormatedWithAdress_1"> Armirač-montaža d.o.o. za graditeljstvo i usluge, Trakošćanska 9B, 42000 Varaždin</derivirana_varijabla>
  </DomainObject.Predmet.StrankaFormatedWithAdress>
  <DomainObject.Predmet.StrankaFormatedWithAdressOIB>
    <izvorni_sadrzaj> Armirač-montaža d.o.o. za graditeljstvo i usluge, OIB 32506593096, Trakošćanska 9B, 42000 Varaždin</izvorni_sadrzaj>
    <derivirana_varijabla naziv="DomainObject.Predmet.StrankaFormatedWithAdressOIB_1"> Armirač-montaža d.o.o. za graditeljstvo i usluge, OIB 32506593096, Trakošćanska 9B, 42000 Varaždin</derivirana_varijabla>
  </DomainObject.Predmet.StrankaFormatedWithAdressOIB>
  <DomainObject.Predmet.StrankaWithAdress>
    <izvorni_sadrzaj>Armirač-montaža d.o.o. za graditeljstvo i usluge Trakošćanska 9B,42000 Varaždin</izvorni_sadrzaj>
    <derivirana_varijabla naziv="DomainObject.Predmet.StrankaWithAdress_1">Armirač-montaža d.o.o. za graditeljstvo i usluge Trakošćanska 9B,42000 Varaždin</derivirana_varijabla>
  </DomainObject.Predmet.StrankaWithAdress>
  <DomainObject.Predmet.StrankaWithAdressOIB>
    <izvorni_sadrzaj>Armirač-montaža d.o.o. za graditeljstvo i usluge, OIB 32506593096, Trakošćanska 9B,42000 Varaždin</izvorni_sadrzaj>
    <derivirana_varijabla naziv="DomainObject.Predmet.StrankaWithAdressOIB_1">Armirač-montaža d.o.o. za graditeljstvo i usluge, OIB 32506593096, Trakošćanska 9B,42000 Varaždin</derivirana_varijabla>
  </DomainObject.Predmet.StrankaWithAdressOIB>
  <DomainObject.Predmet.StrankaNazivFormated>
    <izvorni_sadrzaj>Armirač-montaža d.o.o. za graditeljstvo i usluge</izvorni_sadrzaj>
    <derivirana_varijabla naziv="DomainObject.Predmet.StrankaNazivFormated_1">Armirač-montaža d.o.o. za graditeljstvo i usluge</derivirana_varijabla>
  </DomainObject.Predmet.StrankaNazivFormated>
  <DomainObject.Predmet.StrankaNazivFormatedOIB>
    <izvorni_sadrzaj>Armirač-montaža d.o.o. za graditeljstvo i usluge, OIB 32506593096</izvorni_sadrzaj>
    <derivirana_varijabla naziv="DomainObject.Predmet.StrankaNazivFormatedOIB_1">Armirač-montaža d.o.o. za graditeljstvo i usluge, OIB 32506593096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17877229.71</izvorni_sadrzaj>
    <derivirana_varijabla naziv="DomainObject.Predmet.TrenutnaVrijednost_1">17877229.71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Armirač-montaža d.o.o. za graditeljstvo i usluge</item>
    </izvorni_sadrzaj>
    <derivirana_varijabla naziv="DomainObject.Predmet.StrankaListFormated_1">
      <item>Armirač-montaža d.o.o. za graditeljstvo i usluge</item>
    </derivirana_varijabla>
  </DomainObject.Predmet.StrankaListFormated>
  <DomainObject.Predmet.StrankaListFormatedOIB>
    <izvorni_sadrzaj>
      <item>Armirač-montaža d.o.o. za graditeljstvo i usluge, OIB 32506593096</item>
    </izvorni_sadrzaj>
    <derivirana_varijabla naziv="DomainObject.Predmet.StrankaListFormatedOIB_1">
      <item>Armirač-montaža d.o.o. za graditeljstvo i usluge, OIB 32506593096</item>
    </derivirana_varijabla>
  </DomainObject.Predmet.StrankaListFormatedOIB>
  <DomainObject.Predmet.StrankaListFormatedWithAdress>
    <izvorni_sadrzaj>
      <item>Armirač-montaža d.o.o. za graditeljstvo i usluge, Trakošćanska 9B, 42000 Varaždin</item>
    </izvorni_sadrzaj>
    <derivirana_varijabla naziv="DomainObject.Predmet.StrankaListFormatedWithAdress_1">
      <item>Armirač-montaža d.o.o. za graditeljstvo i usluge, Trakošćanska 9B, 42000 Varaždin</item>
    </derivirana_varijabla>
  </DomainObject.Predmet.StrankaListFormatedWithAdress>
  <DomainObject.Predmet.StrankaListFormatedWithAdressOIB>
    <izvorni_sadrzaj>
      <item>Armirač-montaža d.o.o. za graditeljstvo i usluge, OIB 32506593096, Trakošćanska 9B, 42000 Varaždin</item>
    </izvorni_sadrzaj>
    <derivirana_varijabla naziv="DomainObject.Predmet.StrankaListFormatedWithAdressOIB_1">
      <item>Armirač-montaža d.o.o. za graditeljstvo i usluge, OIB 32506593096, Trakošćanska 9B, 42000 Varaždin</item>
    </derivirana_varijabla>
  </DomainObject.Predmet.StrankaListFormatedWithAdressOIB>
  <DomainObject.Predmet.StrankaListNazivFormated>
    <izvorni_sadrzaj>
      <item>Armirač-montaža d.o.o. za graditeljstvo i usluge</item>
    </izvorni_sadrzaj>
    <derivirana_varijabla naziv="DomainObject.Predmet.StrankaListNazivFormated_1">
      <item>Armirač-montaža d.o.o. za graditeljstvo i usluge</item>
    </derivirana_varijabla>
  </DomainObject.Predmet.StrankaListNazivFormated>
  <DomainObject.Predmet.StrankaListNazivFormatedOIB>
    <izvorni_sadrzaj>
      <item>Armirač-montaža d.o.o. za graditeljstvo i usluge, OIB 32506593096</item>
    </izvorni_sadrzaj>
    <derivirana_varijabla naziv="DomainObject.Predmet.StrankaListNazivFormatedOIB_1">
      <item>Armirač-montaža d.o.o. za graditeljstvo i usluge, OIB 32506593096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Jure Pivac</item>
      <item>Vesna Mijatović</item>
      <item>Tea Mijatović</item>
      <item>Irena Radić Repač, odvjetnica</item>
      <item>HABERKORN d.o.o. za proizvodnju, trgovinu i usluge</item>
      <item>Davor Kurilić,odvjetnica</item>
    </izvorni_sadrzaj>
    <derivirana_varijabla naziv="DomainObject.Predmet.OstaliListFormated_1">
      <item>Financijska agencija</item>
      <item>Sudski registar</item>
      <item>Jure Pivac</item>
      <item>Vesna Mijatović</item>
      <item>Tea Mijatović</item>
      <item>Irena Radić Repač, odvjetnica</item>
      <item>HABERKORN d.o.o. za proizvodnju, trgovinu i usluge</item>
      <item>Davor Kurilić,odvjetnica</item>
    </derivirana_varijabla>
  </DomainObject.Predmet.OstaliListFormated>
  <DomainObject.Predmet.OstaliListFormatedOIB>
    <izvorni_sadrzaj>
      <item>Financijska agencija, OIB 85821130368</item>
      <item>Sudski registar</item>
      <item>Jure Pivac, OIB 71656312864</item>
      <item>Vesna Mijatović, OIB 93610127923</item>
      <item>Tea Mijatović, OIB 31011124484</item>
      <item>Irena Radić Repač, odvjetnica</item>
      <item>HABERKORN d.o.o. za proizvodnju, trgovinu i usluge, OIB 25339023257</item>
      <item>Davor Kurilić,odvjetnica, OIB 49681522820</item>
    </izvorni_sadrzaj>
    <derivirana_varijabla naziv="DomainObject.Predmet.OstaliListFormatedOIB_1">
      <item>Financijska agencija, OIB 85821130368</item>
      <item>Sudski registar</item>
      <item>Jure Pivac, OIB 71656312864</item>
      <item>Vesna Mijatović, OIB 93610127923</item>
      <item>Tea Mijatović, OIB 31011124484</item>
      <item>Irena Radić Repač, odvjetnica</item>
      <item>HABERKORN d.o.o. za proizvodnju, trgovinu i usluge, OIB 25339023257</item>
      <item>Davor Kurilić,odvjetnica, OIB 49681522820</item>
    </derivirana_varijabla>
  </DomainObject.Predmet.OstaliListFormatedOIB>
  <DomainObject.Predmet.OstaliListFormatedWithAdress>
    <izvorni_sadrzaj>
      <item>Financijska agencija, Ulica grada Vukovara 70, 10000 Zagreb</item>
      <item>Sudski registar</item>
      <item>Jure Pivac, Ulica Branimira Gušića 22, 10000 Zagreb</item>
      <item>Vesna Mijatović, Trg Kralja Tomislava 10, 35400 Nova Gradiška</item>
      <item>Tea Mijatović, Trg Kralja Tomislava 10, 35400 Nova Gradiška</item>
      <item>Irena Radić Repač, odvjetnica, Đorđićeva 24, 10000 Zagreb</item>
      <item>HABERKORN d.o.o. za proizvodnju, trgovinu i usluge, Dr. Franje Tuđmana 16, 10431 Sveta Nedelja</item>
      <item>Davor Kurilić,odvjetnica, Medvedgradska Ulica 45a, 10000 Zagreb</item>
    </izvorni_sadrzaj>
    <derivirana_varijabla naziv="DomainObject.Predmet.OstaliListFormatedWithAdress_1">
      <item>Financijska agencija, Ulica grada Vukovara 70, 10000 Zagreb</item>
      <item>Sudski registar</item>
      <item>Jure Pivac, Ulica Branimira Gušića 22, 10000 Zagreb</item>
      <item>Vesna Mijatović, Trg Kralja Tomislava 10, 35400 Nova Gradiška</item>
      <item>Tea Mijatović, Trg Kralja Tomislava 10, 35400 Nova Gradiška</item>
      <item>Irena Radić Repač, odvjetnica, Đorđićeva 24, 10000 Zagreb</item>
      <item>HABERKORN d.o.o. za proizvodnju, trgovinu i usluge, Dr. Franje Tuđmana 16, 10431 Sveta Nedelja</item>
      <item>Davor Kurilić,odvjetnica, Medvedgradska Ulica 45a, 10000 Zagreb</item>
    </derivirana_varijabla>
  </DomainObject.Predmet.OstaliListFormatedWithAdress>
  <DomainObject.Predmet.OstaliListFormatedWithAdressOIB>
    <izvorni_sadrzaj>
      <item>Financijska agencija, OIB 85821130368, Ulica grada Vukovara 70, 10000 Zagreb</item>
      <item>Sudski registar</item>
      <item>Jure Pivac, OIB 71656312864, Ulica Branimira Gušića 22, 10000 Zagreb</item>
      <item>Vesna Mijatović, OIB 93610127923, Trg Kralja Tomislava 10, 35400 Nova Gradiška</item>
      <item>Tea Mijatović, OIB 31011124484, Trg Kralja Tomislava 10, 35400 Nova Gradiška</item>
      <item>Irena Radić Repač, odvjetnica, Đorđićeva 24, 10000 Zagreb</item>
      <item>HABERKORN d.o.o. za proizvodnju, trgovinu i usluge, OIB 25339023257, Dr. Franje Tuđmana 16, 10431 Sveta Nedelja</item>
      <item>Davor Kurilić,odvjetnica, OIB 49681522820, Medvedgradska Ulica 45a, 10000 Zagreb</item>
    </izvorni_sadrzaj>
    <derivirana_varijabla naziv="DomainObject.Predmet.OstaliListFormatedWithAdressOIB_1">
      <item>Financijska agencija, OIB 85821130368, Ulica grada Vukovara 70, 10000 Zagreb</item>
      <item>Sudski registar</item>
      <item>Jure Pivac, OIB 71656312864, Ulica Branimira Gušića 22, 10000 Zagreb</item>
      <item>Vesna Mijatović, OIB 93610127923, Trg Kralja Tomislava 10, 35400 Nova Gradiška</item>
      <item>Tea Mijatović, OIB 31011124484, Trg Kralja Tomislava 10, 35400 Nova Gradiška</item>
      <item>Irena Radić Repač, odvjetnica, Đorđićeva 24, 10000 Zagreb</item>
      <item>HABERKORN d.o.o. za proizvodnju, trgovinu i usluge, OIB 25339023257, Dr. Franje Tuđmana 16, 10431 Sveta Nedelja</item>
      <item>Davor Kurilić,odvjetnica, OIB 49681522820, Medvedgradska Ulica 45a, 10000 Zagreb</item>
    </derivirana_varijabla>
  </DomainObject.Predmet.OstaliListFormatedWithAdressOIB>
  <DomainObject.Predmet.OstaliListNazivFormated>
    <izvorni_sadrzaj>
      <item>Financijska agencija</item>
      <item>Sudski registar</item>
      <item>Jure Pivac</item>
      <item>Vesna Mijatović</item>
      <item>Tea Mijatović</item>
      <item>Irena Radić Repač, odvjetnica</item>
      <item>HABERKORN d.o.o. za proizvodnju, trgovinu i usluge</item>
      <item>Davor Kurilić,odvjetnica</item>
    </izvorni_sadrzaj>
    <derivirana_varijabla naziv="DomainObject.Predmet.OstaliListNazivFormated_1">
      <item>Financijska agencija</item>
      <item>Sudski registar</item>
      <item>Jure Pivac</item>
      <item>Vesna Mijatović</item>
      <item>Tea Mijatović</item>
      <item>Irena Radić Repač, odvjetnica</item>
      <item>HABERKORN d.o.o. za proizvodnju, trgovinu i usluge</item>
      <item>Davor Kurilić,odvjetnica</item>
    </derivirana_varijabla>
  </DomainObject.Predmet.OstaliListNazivFormated>
  <DomainObject.Predmet.OstaliListNazivFormatedOIB>
    <izvorni_sadrzaj>
      <item>Financijska agencija, OIB 85821130368</item>
      <item>Sudski registar</item>
      <item>Jure Pivac, OIB 71656312864</item>
      <item>Vesna Mijatović, OIB 93610127923</item>
      <item>Tea Mijatović, OIB 31011124484</item>
      <item>Irena Radić Repač, odvjetnica</item>
      <item>HABERKORN d.o.o. za proizvodnju, trgovinu i usluge, OIB 25339023257</item>
      <item>Davor Kurilić,odvjetnica, OIB 49681522820</item>
    </izvorni_sadrzaj>
    <derivirana_varijabla naziv="DomainObject.Predmet.OstaliListNazivFormatedOIB_1">
      <item>Financijska agencija, OIB 85821130368</item>
      <item>Sudski registar</item>
      <item>Jure Pivac, OIB 71656312864</item>
      <item>Vesna Mijatović, OIB 93610127923</item>
      <item>Tea Mijatović, OIB 31011124484</item>
      <item>Irena Radić Repač, odvjetnica</item>
      <item>HABERKORN d.o.o. za proizvodnju, trgovinu i usluge, OIB 25339023257</item>
      <item>Davor Kurilić,odvjetnica, OIB 49681522820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St-1171/2016-19</izvorni_sadrzaj>
    <derivirana_varijabla naziv="DomainObject.PoslovniBrojDokumenta_1">St-1171/2016-19</derivirana_varijabla>
  </DomainObject.PoslovniBrojDokumenta>
  <DomainObject.Predmet.StrankaIDrugi>
    <izvorni_sadrzaj>Armirač-montaža d.o.o. za graditeljstvo i usluge</izvorni_sadrzaj>
    <derivirana_varijabla naziv="DomainObject.Predmet.StrankaIDrugi_1">Armirač-montaža d.o.o. za graditeljstvo i usluge</derivirana_varijabla>
  </DomainObject.Predmet.StrankaIDrugi>
  <DomainObject.Predmet.ProtustrankaIDrugi>
    <izvorni_sadrzaj/>
    <derivirana_varijabla naziv="DomainObject.Predmet.ProtustrankaIDrugi_1"/>
  </DomainObject.Predmet.ProtustrankaIDrugi>
  <DomainObject.Predmet.StrankaIDrugiAdressOIB>
    <izvorni_sadrzaj>Armirač-montaža d.o.o. za graditeljstvo i usluge, OIB 32506593096, Trakošćanska 9B, 42000 Varaždin</izvorni_sadrzaj>
    <derivirana_varijabla naziv="DomainObject.Predmet.StrankaIDrugiAdressOIB_1">Armirač-montaža d.o.o. za graditeljstvo i usluge, OIB 32506593096, Trakošćanska 9B,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Sudski registar</item>
      <item>Jure Pivac</item>
      <item>Armirač-montaža d.o.o. za graditeljstvo i usluge</item>
      <item>Vesna Mijatović</item>
      <item>Tea Mijatović</item>
      <item>Irena Radić Repač, odvjetnica</item>
      <item>HABERKORN d.o.o. za proizvodnju, trgovinu i usluge</item>
      <item>Davor Kurilić,odvjetnica</item>
    </izvorni_sadrzaj>
    <derivirana_varijabla naziv="DomainObject.Predmet.SudioniciListNaziv_1">
      <item>Financijska agencija</item>
      <item>Sudski registar</item>
      <item>Jure Pivac</item>
      <item>Armirač-montaža d.o.o. za graditeljstvo i usluge</item>
      <item>Vesna Mijatović</item>
      <item>Tea Mijatović</item>
      <item>Irena Radić Repač, odvjetnica</item>
      <item>HABERKORN d.o.o. za proizvodnju, trgovinu i usluge</item>
      <item>Davor Kurilić,odvjetnica</item>
    </derivirana_varijabla>
  </DomainObject.Predmet.SudioniciListNaziv>
  <DomainObject.Predmet.SudioniciListAdressOIB>
    <izvorni_sadrzaj>
      <item>Financijska agencija, OIB 85821130368, Ulica grada Vukovara 70,10000 Zagreb</item>
      <item>Sudski registar</item>
      <item>Jure Pivac, OIB 71656312864, Ulica Branimira Gušića 22,10000 Zagreb</item>
      <item>Armirač-montaža d.o.o. za graditeljstvo i usluge, OIB 32506593096, Trakošćanska 9B,42000 Varaždin</item>
      <item>Vesna Mijatović, OIB 93610127923, Trg Kralja Tomislava 10,35400 Nova Gradiška</item>
      <item>Tea Mijatović, OIB 31011124484, Trg Kralja Tomislava 10,35400 Nova Gradiška</item>
      <item>Irena Radić Repač, odvjetnica, Đorđićeva 24,10000 Zagreb</item>
      <item>HABERKORN d.o.o. za proizvodnju, trgovinu i usluge, OIB 25339023257, Dr. Franje Tuđmana 16,10431 Sveta Nedelja</item>
      <item>Davor Kurilić,odvjetnica, OIB 49681522820, Medvedgradska Ulica 45a,10000 Zagreb</item>
    </izvorni_sadrzaj>
    <derivirana_varijabla naziv="DomainObject.Predmet.SudioniciListAdressOIB_1">
      <item>Financijska agencija, OIB 85821130368, Ulica grada Vukovara 70,10000 Zagreb</item>
      <item>Sudski registar</item>
      <item>Jure Pivac, OIB 71656312864, Ulica Branimira Gušića 22,10000 Zagreb</item>
      <item>Armirač-montaža d.o.o. za graditeljstvo i usluge, OIB 32506593096, Trakošćanska 9B,42000 Varaždin</item>
      <item>Vesna Mijatović, OIB 93610127923, Trg Kralja Tomislava 10,35400 Nova Gradiška</item>
      <item>Tea Mijatović, OIB 31011124484, Trg Kralja Tomislava 10,35400 Nova Gradiška</item>
      <item>Irena Radić Repač, odvjetnica, Đorđićeva 24,10000 Zagreb</item>
      <item>HABERKORN d.o.o. za proizvodnju, trgovinu i usluge, OIB 25339023257, Dr. Franje Tuđmana 16,10431 Sveta Nedelja</item>
      <item>Davor Kurilić,odvjetnica, OIB 49681522820, Medvedgradska Ulica 45a,10000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A48D74-6656-4F3A-AD75-C31675C240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10</properties:Pages>
  <properties:Words>2487</properties:Words>
  <properties:Characters>14719</properties:Characters>
  <properties:Lines>1209</properties:Lines>
  <properties:Paragraphs>539</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2017-06-12T11:02:00Z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10</vt:i4>
  </prop:property>
  <prop:property name="Naslov" pid="5" fmtid="{D5CDD505-2E9C-101B-9397-08002B2CF9AE}">
    <vt:lpwstr>St-1171/2016-19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