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fe5a" w14:paraId="5b0fe5a" w:rsidRDefault="004F7D2B" w:rsidP="004F7D2B" w:rsidR="004F7D2B">
      <w:pPr>
        <w:pStyle w:val="Odlomakpopisa"/>
        <w:tabs>
          <w:tab w:pos="4111" w:val="left"/>
        </w:tabs>
        <w:ind w:left="0"/>
        <w:jc w:val="both"/>
        <w15:collapsed w:val="false"/>
        <w:rPr>
          <w:rFonts w:hAnsiTheme="majorHAnsi" w:asciiTheme="majorHAnsi"/>
          <w:b/>
        </w:rPr>
      </w:pPr>
      <w:bookmarkStart w:name="_GoBack" w:id="0"/>
      <w:bookmarkEnd w:id="0"/>
    </w:p>
    <w:p w:rsidRDefault="004F7D2B" w:rsidP="004F7D2B" w:rsidR="004F7D2B">
      <w:pPr>
        <w:pStyle w:val="Odlomakpopisa"/>
        <w:tabs>
          <w:tab w:pos="4111" w:val="left"/>
        </w:tabs>
        <w:ind w:left="0"/>
        <w:jc w:val="both"/>
        <w:rPr>
          <w:sz w:val="28"/>
          <w:szCs w:val="28"/>
        </w:rPr>
      </w:pPr>
      <w:r>
        <w:rPr>
          <w:rFonts w:hAnsiTheme="majorHAnsi" w:asciiTheme="majorHAnsi"/>
          <w:b/>
        </w:rPr>
        <w:t>ADRIAS GRADITELJSTVO d.o.o., u stečaju</w:t>
      </w:r>
    </w:p>
    <w:p w:rsidRDefault="004F7D2B" w:rsidP="004F7D2B" w:rsidR="004F7D2B">
      <w:pPr>
        <w:tabs>
          <w:tab w:pos="4111" w:val="left"/>
        </w:tabs>
        <w:jc w:val="both"/>
        <w:rPr>
          <w:rFonts w:hAnsiTheme="majorHAnsi" w:asciiTheme="majorHAnsi"/>
          <w:b/>
        </w:rPr>
      </w:pPr>
      <w:r>
        <w:rPr>
          <w:rFonts w:hAnsiTheme="majorHAnsi" w:asciiTheme="majorHAnsi"/>
          <w:b/>
        </w:rPr>
        <w:t>Vinodolska 20</w:t>
      </w:r>
    </w:p>
    <w:p w:rsidRDefault="004F7D2B" w:rsidP="004F7D2B" w:rsidR="004F7D2B">
      <w:pPr>
        <w:tabs>
          <w:tab w:pos="4111" w:val="left"/>
        </w:tabs>
        <w:jc w:val="both"/>
        <w:rPr>
          <w:rFonts w:hAnsiTheme="majorHAnsi" w:asciiTheme="majorHAnsi"/>
          <w:b/>
        </w:rPr>
      </w:pPr>
      <w:r>
        <w:rPr>
          <w:rFonts w:hAnsiTheme="majorHAnsi" w:asciiTheme="majorHAnsi"/>
          <w:b/>
        </w:rPr>
        <w:t>CRIKVENICA</w:t>
      </w:r>
    </w:p>
    <w:p w:rsidRDefault="004F7D2B" w:rsidP="004F7D2B" w:rsidR="004F7D2B">
      <w:pPr>
        <w:tabs>
          <w:tab w:pos="4111" w:val="left"/>
        </w:tabs>
        <w:jc w:val="both"/>
        <w:rPr>
          <w:rFonts w:hAnsiTheme="majorHAnsi" w:asciiTheme="majorHAnsi"/>
          <w:b/>
          <w:color w:val="FF0000"/>
        </w:rPr>
      </w:pPr>
    </w:p>
    <w:p w:rsidRDefault="004F7D2B" w:rsidP="004F7D2B" w:rsidR="004F7D2B">
      <w:pPr>
        <w:spacing w:lineRule="auto" w:line="288"/>
        <w:rPr>
          <w:rFonts w:hAnsiTheme="majorHAnsi" w:asciiTheme="majorHAnsi"/>
        </w:rPr>
      </w:pPr>
      <w:r>
        <w:rPr>
          <w:rFonts w:hAnsiTheme="majorHAnsi" w:asciiTheme="majorHAnsi"/>
        </w:rPr>
        <w:t>Rijeka, 20. ožujka 2017.g.</w:t>
      </w:r>
    </w:p>
    <w:p w:rsidRDefault="004F7D2B" w:rsidP="004F7D2B" w:rsidR="004F7D2B">
      <w:pPr>
        <w:spacing w:lineRule="auto" w:line="288"/>
        <w:rPr>
          <w:rFonts w:hAnsiTheme="majorHAnsi" w:asciiTheme="majorHAnsi"/>
        </w:rPr>
      </w:pPr>
    </w:p>
    <w:p w:rsidRDefault="004F7D2B" w:rsidP="004F7D2B" w:rsidR="004F7D2B">
      <w:pPr>
        <w:rPr>
          <w:rFonts w:cstheme="minorBidi" w:hAnsiTheme="majorHAnsi" w:asciiTheme="majorHAnsi"/>
          <w:b/>
        </w:rPr>
      </w:pPr>
    </w:p>
    <w:p w:rsidRDefault="004F7D2B" w:rsidP="004F7D2B" w:rsidR="004F7D2B">
      <w:pPr>
        <w:jc w:val="center"/>
        <w:rPr>
          <w:rFonts w:hAnsiTheme="majorHAnsi" w:asciiTheme="majorHAnsi"/>
          <w:b/>
        </w:rPr>
      </w:pPr>
      <w:r>
        <w:rPr>
          <w:rFonts w:hAnsiTheme="majorHAnsi" w:asciiTheme="majorHAnsi"/>
          <w:b/>
        </w:rPr>
        <w:t>IZVJEŠĆE STEČAJNOGA UPRAVITELJA O TIJEKU STEČAJNOGA POSTUPKA I STANJU STEČAJNE MASE</w:t>
      </w:r>
    </w:p>
    <w:p w:rsidRDefault="004F7D2B" w:rsidP="004F7D2B" w:rsidR="004F7D2B">
      <w:pPr>
        <w:jc w:val="center"/>
        <w:rPr>
          <w:rFonts w:hAnsiTheme="majorHAnsi" w:asciiTheme="majorHAnsi"/>
        </w:rPr>
      </w:pPr>
    </w:p>
    <w:p w:rsidRDefault="004F7D2B" w:rsidP="004F7D2B" w:rsidR="004F7D2B">
      <w:pPr>
        <w:jc w:val="center"/>
        <w:rPr>
          <w:rFonts w:hAnsiTheme="majorHAnsi" w:asciiTheme="majorHAnsi"/>
        </w:rPr>
      </w:pPr>
    </w:p>
    <w:p w:rsidRDefault="004F7D2B" w:rsidP="004F7D2B" w:rsidR="004F7D2B">
      <w:pPr>
        <w:jc w:val="both"/>
        <w:rPr>
          <w:rFonts w:hAnsiTheme="majorHAnsi" w:asciiTheme="majorHAnsi"/>
        </w:rPr>
      </w:pPr>
      <w:r>
        <w:rPr>
          <w:rFonts w:hAnsiTheme="majorHAnsi" w:asciiTheme="majorHAnsi"/>
          <w:lang w:val="pl-PL"/>
        </w:rPr>
        <w:t>Nadle</w:t>
      </w:r>
      <w:r>
        <w:rPr>
          <w:rFonts w:hAnsiTheme="majorHAnsi" w:asciiTheme="majorHAnsi"/>
        </w:rPr>
        <w:t>ž</w:t>
      </w:r>
      <w:r>
        <w:rPr>
          <w:rFonts w:hAnsiTheme="majorHAnsi" w:asciiTheme="majorHAnsi"/>
          <w:lang w:val="pl-PL"/>
        </w:rPr>
        <w:t>ni trgova</w:t>
      </w:r>
      <w:r>
        <w:rPr>
          <w:rFonts w:hAnsiTheme="majorHAnsi" w:asciiTheme="majorHAnsi"/>
        </w:rPr>
        <w:t>č</w:t>
      </w:r>
      <w:r>
        <w:rPr>
          <w:rFonts w:hAnsiTheme="majorHAnsi" w:asciiTheme="majorHAnsi"/>
          <w:lang w:val="pl-PL"/>
        </w:rPr>
        <w:t xml:space="preserve">ki sud:    </w:t>
      </w:r>
      <w:r>
        <w:rPr>
          <w:rFonts w:hAnsiTheme="majorHAnsi" w:asciiTheme="majorHAnsi"/>
          <w:b/>
        </w:rPr>
        <w:t>Trgovački sud u Rijeci</w:t>
      </w:r>
    </w:p>
    <w:p w:rsidRDefault="004F7D2B" w:rsidP="004F7D2B" w:rsidR="004F7D2B">
      <w:pPr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 xml:space="preserve">Poslovni broj spisa:           </w:t>
      </w:r>
      <w:r>
        <w:rPr>
          <w:rFonts w:hAnsiTheme="majorHAnsi" w:asciiTheme="majorHAnsi"/>
          <w:b/>
          <w:lang w:val="pl-PL"/>
        </w:rPr>
        <w:t>St-124/2013</w:t>
      </w:r>
    </w:p>
    <w:p w:rsidRDefault="004F7D2B" w:rsidP="004F7D2B" w:rsidR="004F7D2B">
      <w:pPr>
        <w:rPr>
          <w:rFonts w:hAnsiTheme="majorHAnsi" w:asciiTheme="majorHAnsi"/>
          <w:b/>
          <w:lang w:val="pl-PL"/>
        </w:rPr>
      </w:pPr>
      <w:r>
        <w:rPr>
          <w:rFonts w:hAnsiTheme="majorHAnsi" w:asciiTheme="majorHAnsi"/>
          <w:lang w:val="pl-PL"/>
        </w:rPr>
        <w:t xml:space="preserve">Dužnik:                                    </w:t>
      </w:r>
      <w:r>
        <w:rPr>
          <w:rFonts w:hAnsiTheme="majorHAnsi" w:asciiTheme="majorHAnsi"/>
          <w:b/>
          <w:lang w:val="pl-PL"/>
        </w:rPr>
        <w:t xml:space="preserve">ADRIAS GRADITELJSTVO d.o.o., u stečaju </w:t>
      </w:r>
    </w:p>
    <w:p w:rsidRDefault="004F7D2B" w:rsidP="004F7D2B" w:rsidR="004F7D2B">
      <w:pPr>
        <w:rPr>
          <w:rFonts w:hAnsiTheme="majorHAnsi" w:asciiTheme="majorHAnsi"/>
          <w:b/>
          <w:lang w:val="pl-PL"/>
        </w:rPr>
      </w:pPr>
      <w:r>
        <w:rPr>
          <w:rFonts w:hAnsiTheme="majorHAnsi" w:asciiTheme="majorHAnsi"/>
          <w:b/>
          <w:lang w:val="pl-PL"/>
        </w:rPr>
        <w:t xml:space="preserve">                                                   OIB:64139962107, Vinodolska 20,  Crikvenica</w:t>
      </w:r>
    </w:p>
    <w:p w:rsidRDefault="004F7D2B" w:rsidP="004F7D2B" w:rsidR="004F7D2B">
      <w:pPr>
        <w:rPr>
          <w:rFonts w:hAnsiTheme="majorHAnsi" w:asciiTheme="majorHAnsi"/>
          <w:lang w:val="pl-PL"/>
        </w:rPr>
      </w:pPr>
    </w:p>
    <w:p w:rsidRDefault="004F7D2B" w:rsidP="004F7D2B" w:rsidR="004F7D2B">
      <w:pPr>
        <w:rPr>
          <w:rFonts w:hAnsiTheme="majorHAnsi" w:asciiTheme="majorHAnsi"/>
          <w:lang w:val="pl-PL"/>
        </w:rPr>
      </w:pPr>
    </w:p>
    <w:p w:rsidRDefault="004F7D2B" w:rsidP="004F7D2B" w:rsidR="004F7D2B">
      <w:pPr>
        <w:jc w:val="center"/>
        <w:rPr>
          <w:rFonts w:hAnsiTheme="majorHAnsi" w:asciiTheme="majorHAnsi"/>
          <w:lang w:val="pl-PL"/>
        </w:rPr>
      </w:pPr>
    </w:p>
    <w:p w:rsidRDefault="004F7D2B" w:rsidP="004F7D2B" w:rsidR="004F7D2B">
      <w:pPr>
        <w:rPr>
          <w:rFonts w:hAnsiTheme="majorHAnsi" w:asciiTheme="majorHAnsi"/>
          <w:b/>
          <w:lang w:val="pl-PL"/>
        </w:rPr>
      </w:pPr>
      <w:r>
        <w:rPr>
          <w:rFonts w:hAnsiTheme="majorHAnsi" w:asciiTheme="majorHAnsi"/>
          <w:b/>
          <w:lang w:val="pl-PL"/>
        </w:rPr>
        <w:t>I.TIJEK STEČAJNOGA POSTUPKA U RAZDOBLJU OD 23.12. 2016.  do 20. 03.2017.</w:t>
      </w:r>
    </w:p>
    <w:p w:rsidRDefault="004F7D2B" w:rsidP="004F7D2B" w:rsidR="004F7D2B">
      <w:pPr>
        <w:rPr>
          <w:rFonts w:hAnsiTheme="majorHAnsi" w:asciiTheme="majorHAnsi"/>
          <w:lang w:val="pl-PL"/>
        </w:rPr>
      </w:pPr>
    </w:p>
    <w:p w:rsidRDefault="004F7D2B" w:rsidP="004F7D2B" w:rsidR="004F7D2B">
      <w:pPr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U navedenom razdoblju sukladno Odluci skupštine vjerovnika od 27.12.2016.g.,  da će iznos zakupnine sa društvom Jadran –Impex d.o.o., iz Kastva iznositi mjesečno 1.500,00 EUR-a  plus PDV i to od 01. siječnja 2017., zaključen je Aneks Ugovora o zakupu poslovnog prostora sa Jadran-Impexom d.o.o., dana 02. siječnja 2017.g. , sukladno kojem Aneksu zakupoprimac od 01. siječnja 2017.g., na ime mjesečne zakupnine plaća iznos od 1.500,00 eura, protuvrijednost u kunama plus PDV.</w:t>
      </w:r>
    </w:p>
    <w:p w:rsidRDefault="004F7D2B" w:rsidP="004F7D2B" w:rsidR="004F7D2B">
      <w:pPr>
        <w:jc w:val="both"/>
        <w:rPr>
          <w:rFonts w:hAnsiTheme="majorHAnsi" w:asciiTheme="majorHAnsi"/>
          <w:lang w:val="pl-PL"/>
        </w:rPr>
      </w:pPr>
    </w:p>
    <w:p w:rsidRDefault="004F7D2B" w:rsidP="004F7D2B" w:rsidR="004F7D2B">
      <w:pPr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S obzirom da je na skupštini vjerovnika ukazano stečajnoj upraviteljici da je potrebno u daljnjem tijeku postupka utvrditi da li je svrsishodno podnositi tužbu radi pobijanja dužnikovih pravnih radnji  i to cesija sa trgovačkim društvom Adrias kameno betonski proizvodi d.o.o., kao i ispitati da li postoji mogućnost za eventualno podnošenje tužbe radi utvrđenja ništetnosti Ugovora o zajmu od 01. veljače 2009.g.,  radi poduzimanja pravnih radnjih u smislu navedenog, stečajna upraviteljica je opunomoćila odvjetnika Zinka Grgurića iz Rijeke. Prikupljena je još dodatna dokumentacija i obavljen je razgovor sa stečajnom sutkinjom koja je upoznata s navedenim i izjasnila se da će dati odobrenje za podnošenje tužbi.</w:t>
      </w:r>
    </w:p>
    <w:p w:rsidRDefault="004F7D2B" w:rsidP="004F7D2B" w:rsidR="004F7D2B">
      <w:pPr>
        <w:jc w:val="both"/>
        <w:rPr>
          <w:rFonts w:hAnsiTheme="majorHAnsi" w:asciiTheme="majorHAnsi"/>
          <w:lang w:val="pl-PL"/>
        </w:rPr>
      </w:pPr>
    </w:p>
    <w:p w:rsidRDefault="004F7D2B" w:rsidP="004F7D2B" w:rsidR="004F7D2B">
      <w:pPr>
        <w:tabs>
          <w:tab w:pos="4111" w:val="left"/>
        </w:tabs>
        <w:jc w:val="both"/>
        <w:rPr>
          <w:rFonts w:hAnsiTheme="majorHAnsi" w:asciiTheme="majorHAnsi"/>
          <w:b/>
        </w:rPr>
      </w:pPr>
      <w:r>
        <w:rPr>
          <w:rFonts w:hAnsiTheme="majorHAnsi" w:asciiTheme="majorHAnsi"/>
          <w:b/>
        </w:rPr>
        <w:t xml:space="preserve">Postupci pred sudovima </w:t>
      </w:r>
    </w:p>
    <w:p w:rsidRDefault="004F7D2B" w:rsidP="004F7D2B" w:rsidR="004F7D2B">
      <w:pPr>
        <w:jc w:val="both"/>
        <w:rPr>
          <w:rFonts w:hAnsiTheme="majorHAnsi" w:asciiTheme="majorHAnsi"/>
          <w:b/>
        </w:rPr>
      </w:pPr>
      <w:r>
        <w:rPr>
          <w:rFonts w:hAnsiTheme="majorHAnsi" w:asciiTheme="majorHAnsi"/>
        </w:rPr>
        <w:t xml:space="preserve">Na Općinskom sudu u Rijeci Stalna služba u Crikvenici i dalje je u </w:t>
      </w:r>
      <w:r>
        <w:rPr>
          <w:rFonts w:hAnsiTheme="majorHAnsi" w:asciiTheme="majorHAnsi"/>
          <w:b/>
        </w:rPr>
        <w:t xml:space="preserve">tijeku   ovršni postupak u predmetu ovrhovoditelja Porezne uprave, Ispostave Crikvenica i ovršenika Adrias graditeljstvo d.o.o., u stečaju </w:t>
      </w:r>
      <w:r>
        <w:rPr>
          <w:rFonts w:hAnsiTheme="majorHAnsi" w:asciiTheme="majorHAnsi"/>
        </w:rPr>
        <w:t>, koji se vodi pod posl. br.</w:t>
      </w:r>
      <w:r>
        <w:rPr>
          <w:rFonts w:hAnsiTheme="majorHAnsi" w:asciiTheme="majorHAnsi"/>
          <w:b/>
        </w:rPr>
        <w:t xml:space="preserve"> Ovr-8268/2016 radi prodaje nekretnine </w:t>
      </w:r>
      <w:r>
        <w:rPr>
          <w:rFonts w:hAnsiTheme="majorHAnsi" w:asciiTheme="majorHAnsi"/>
        </w:rPr>
        <w:t>stečajnog dužnika upisane u zemljišnim knjigama Općinskog suda u Rijeci Zemljišno knjižnog odjela u Crikvenici koje se sastoje od k.č.br. 2720/4 upisane u zk.ul. 1987  k.o. Crikvenica , k.č.br. 2716 upisane u zk.ul. 2943 k.o. Crikvenica , k.č.br. 2720/3  i 2727/2B upisane u zk.ul. 1036 k.o. Crikvenica (poslovni objekt i zemljište, a ročište radi utvrđivanja vrijednosti nekretnina</w:t>
      </w:r>
      <w:r>
        <w:rPr>
          <w:rFonts w:hAnsiTheme="majorHAnsi" w:asciiTheme="majorHAnsi"/>
          <w:b/>
        </w:rPr>
        <w:t xml:space="preserve"> održano je dana 17. siječnja 2017.g</w:t>
      </w:r>
      <w:r>
        <w:rPr>
          <w:rFonts w:hAnsiTheme="majorHAnsi" w:asciiTheme="majorHAnsi"/>
        </w:rPr>
        <w:t xml:space="preserve">. na kojem je određena  vrijednost procijenjenih nekretnina u iznosu od </w:t>
      </w:r>
      <w:r>
        <w:rPr>
          <w:rFonts w:hAnsiTheme="majorHAnsi" w:asciiTheme="majorHAnsi"/>
          <w:b/>
        </w:rPr>
        <w:t>4.412.640,00 kn.</w:t>
      </w:r>
    </w:p>
    <w:p w:rsidRDefault="004F7D2B" w:rsidP="004F7D2B" w:rsidR="004F7D2B">
      <w:pPr>
        <w:jc w:val="center"/>
        <w:rPr>
          <w:rFonts w:hAnsiTheme="majorHAnsi" w:asciiTheme="majorHAnsi"/>
        </w:rPr>
      </w:pPr>
      <w:r>
        <w:rPr>
          <w:rFonts w:hAnsiTheme="majorHAnsi" w:asciiTheme="majorHAnsi"/>
        </w:rPr>
        <w:lastRenderedPageBreak/>
        <w:t>-2-</w:t>
      </w:r>
    </w:p>
    <w:p w:rsidRDefault="004F7D2B" w:rsidP="004F7D2B" w:rsidR="004F7D2B">
      <w:pPr>
        <w:jc w:val="both"/>
        <w:rPr>
          <w:rFonts w:hAnsiTheme="majorHAnsi" w:asciiTheme="majorHAnsi"/>
        </w:rPr>
      </w:pPr>
      <w:r>
        <w:rPr>
          <w:rFonts w:hAnsiTheme="majorHAnsi" w:asciiTheme="majorHAnsi"/>
        </w:rPr>
        <w:t>Dana 16. ožujka 2017.g. održano je ročište za prvu javnu dražbu , na koju se nije odazvao niti jedan kupac, a Republika Hrvatska nije zainteresirana za kupovinu navedene nekretnine.</w:t>
      </w:r>
    </w:p>
    <w:p w:rsidRDefault="004F7D2B" w:rsidP="004F7D2B" w:rsidR="004F7D2B">
      <w:pPr>
        <w:jc w:val="both"/>
        <w:rPr>
          <w:rFonts w:hAnsiTheme="majorHAnsi" w:asciiTheme="majorHAnsi"/>
        </w:rPr>
      </w:pPr>
      <w:r>
        <w:rPr>
          <w:rFonts w:hAnsiTheme="majorHAnsi" w:asciiTheme="majorHAnsi"/>
        </w:rPr>
        <w:t>Sljedeća javna dražba biti će zakazano naknadno.</w:t>
      </w:r>
    </w:p>
    <w:p w:rsidRDefault="004F7D2B" w:rsidP="004F7D2B" w:rsidR="004F7D2B">
      <w:pPr>
        <w:jc w:val="both"/>
        <w:rPr>
          <w:rFonts w:hAnsiTheme="majorHAnsi" w:asciiTheme="majorHAnsi"/>
        </w:rPr>
      </w:pPr>
    </w:p>
    <w:p w:rsidRDefault="004F7D2B" w:rsidP="004F7D2B" w:rsidR="004F7D2B">
      <w:pPr>
        <w:jc w:val="both"/>
        <w:rPr>
          <w:rFonts w:hAnsiTheme="majorHAnsi" w:asciiTheme="majorHAnsi"/>
        </w:rPr>
      </w:pPr>
      <w:r>
        <w:rPr>
          <w:rFonts w:hAnsiTheme="majorHAnsi" w:asciiTheme="majorHAnsi"/>
        </w:rPr>
        <w:t>Temeljem rješenja Hrvatskih voda, vodnogospodarski odjel za slivove sjevernog Jadrana od 02.03.2017.,g, stečajnom dužniku utvrđuje se mjesečni iznos naknade  za uređenje voda u iznosu od 2.286,87 kn. Kako je naknada  neosnovano utvrđena u navedenom iznosu jer nekretnina u Crikvenici, Vinodolska 20, površine od 2.177,97 m2, ne predstavlja poslovni prostor, ( kao što se navodi u rješenju) , već se radi i o neizgrađenom građevnom zemljištu, na navedeno rješenje je uložena žalba.</w:t>
      </w:r>
    </w:p>
    <w:p w:rsidRDefault="004F7D2B" w:rsidP="004F7D2B" w:rsidR="004F7D2B">
      <w:pPr>
        <w:rPr>
          <w:rFonts w:hAnsiTheme="majorHAnsi" w:asciiTheme="majorHAnsi"/>
          <w:lang w:val="pl-PL"/>
        </w:rPr>
      </w:pPr>
    </w:p>
    <w:p w:rsidRDefault="004F7D2B" w:rsidP="004F7D2B" w:rsidR="004F7D2B">
      <w:pPr>
        <w:spacing w:lineRule="auto" w:line="288"/>
        <w:rPr>
          <w:b/>
        </w:rPr>
      </w:pPr>
      <w:r>
        <w:rPr>
          <w:b/>
        </w:rPr>
        <w:t>STANJE STEČAJNE MASE</w:t>
      </w:r>
    </w:p>
    <w:p w:rsidRDefault="004F7D2B" w:rsidP="004F7D2B" w:rsidR="004F7D2B">
      <w:pPr>
        <w:rPr>
          <w:rFonts w:hAnsiTheme="majorHAnsi" w:asciiTheme="majorHAnsi"/>
          <w:b/>
        </w:rPr>
      </w:pPr>
      <w:r>
        <w:t>Stečajnu masu i dalje čine nekretnine stečajnog dužnika ,</w:t>
      </w:r>
      <w:r>
        <w:rPr>
          <w:rFonts w:hAnsiTheme="majorHAnsi" w:asciiTheme="majorHAnsi"/>
          <w:b/>
        </w:rPr>
        <w:t xml:space="preserve"> upisane u zemljišnim knjigama Općinskog suda u Rijeci Zemljišno knjižnog odjela u Crikvenici koje se </w:t>
      </w:r>
    </w:p>
    <w:p w:rsidRDefault="004F7D2B" w:rsidP="004F7D2B" w:rsidR="004F7D2B">
      <w:pPr>
        <w:jc w:val="both"/>
        <w:rPr>
          <w:rFonts w:hAnsiTheme="majorHAnsi" w:asciiTheme="majorHAnsi"/>
        </w:rPr>
      </w:pPr>
      <w:r>
        <w:rPr>
          <w:rFonts w:hAnsiTheme="majorHAnsi" w:asciiTheme="majorHAnsi"/>
          <w:b/>
        </w:rPr>
        <w:t>sastoje od k.č.br. 2720/4 upisane u zk.ul. 1987  k.o. Crikvenica , k.č.br. 2716 upisane u zk.ul. 2943 k.o. Crikvenica , k.č.br. 2720/3  i 2727/2B upisane u zk.ul. 1036 k.o. Crikvenica</w:t>
      </w:r>
      <w:r>
        <w:rPr>
          <w:rFonts w:hAnsiTheme="majorHAnsi" w:asciiTheme="majorHAnsi"/>
        </w:rPr>
        <w:t xml:space="preserve"> (poslovni objekt i zemljište , ukupne površine 2.221,65 m), a na kojim nekretninama je upisano </w:t>
      </w:r>
      <w:r>
        <w:rPr>
          <w:rFonts w:hAnsiTheme="majorHAnsi" w:asciiTheme="majorHAnsi"/>
          <w:b/>
        </w:rPr>
        <w:t>založno pravo u korist</w:t>
      </w:r>
      <w:r>
        <w:rPr>
          <w:rFonts w:hAnsiTheme="majorHAnsi" w:asciiTheme="majorHAnsi"/>
        </w:rPr>
        <w:t xml:space="preserve"> Republike Hrvatske , Ministarastva financija, Porezna uprava, Područni ured Rijeka.</w:t>
      </w:r>
    </w:p>
    <w:p w:rsidRDefault="004F7D2B" w:rsidP="004F7D2B" w:rsidR="004F7D2B">
      <w:pPr>
        <w:jc w:val="both"/>
        <w:rPr>
          <w:rFonts w:hAnsiTheme="majorHAnsi" w:asciiTheme="majorHAnsi"/>
        </w:rPr>
      </w:pPr>
    </w:p>
    <w:p w:rsidRDefault="004F7D2B" w:rsidP="004F7D2B" w:rsidR="004F7D2B">
      <w:pPr>
        <w:tabs>
          <w:tab w:pos="4111" w:val="left"/>
        </w:tabs>
        <w:jc w:val="both"/>
        <w:rPr>
          <w:b/>
        </w:rPr>
      </w:pPr>
      <w:r>
        <w:rPr>
          <w:rFonts w:hAnsiTheme="majorHAnsi" w:asciiTheme="majorHAnsi"/>
        </w:rPr>
        <w:t xml:space="preserve">Stečajnu masu čine i  nekretnine upisane u zemljišnim knjigama Općinskog suda u Rijeci,  Zemljišno knjižnog odjela u Crikvenici na k.č.br.,  </w:t>
      </w:r>
      <w:r>
        <w:rPr>
          <w:rFonts w:hAnsiTheme="majorHAnsi" w:asciiTheme="majorHAnsi" w:cs="Arial"/>
          <w:color w:val="000000"/>
        </w:rPr>
        <w:t xml:space="preserve">2710., 2711 i 2713, u naravi oranica, površine 201 čvh (723m2) upisana u zk.ul. br. 6095 k.o. Crikvenica . </w:t>
      </w:r>
      <w:r>
        <w:t xml:space="preserve">U zemljišnim knjigama izvršena je </w:t>
      </w:r>
      <w:r>
        <w:rPr>
          <w:b/>
        </w:rPr>
        <w:t xml:space="preserve">zabilježba da je prijenos prava vlasništva izvršen radi osiguranja novčane tražbine </w:t>
      </w:r>
      <w:r>
        <w:rPr>
          <w:rFonts w:hAnsiTheme="majorHAnsi" w:asciiTheme="majorHAnsi"/>
          <w:b/>
        </w:rPr>
        <w:t xml:space="preserve">Jedinka Tomas Tolo </w:t>
      </w:r>
      <w:r>
        <w:rPr>
          <w:b/>
        </w:rPr>
        <w:t>iz Crikvenice,Primorska 9b, u iznosu od 50.000,00 EUR-a u kunskoj protuvrijednosti.</w:t>
      </w:r>
    </w:p>
    <w:p w:rsidRDefault="004F7D2B" w:rsidP="004F7D2B" w:rsidR="004F7D2B">
      <w:pPr>
        <w:tabs>
          <w:tab w:pos="4111" w:val="left"/>
        </w:tabs>
        <w:jc w:val="both"/>
        <w:rPr>
          <w:b/>
        </w:rPr>
      </w:pPr>
    </w:p>
    <w:p w:rsidRDefault="004F7D2B" w:rsidP="004F7D2B" w:rsidR="004F7D2B">
      <w:pPr>
        <w:shd w:fill="FFFFFF" w:color="auto" w:val="clear"/>
        <w:jc w:val="both"/>
        <w:rPr>
          <w:rFonts w:hAnsiTheme="majorHAnsi" w:asciiTheme="majorHAnsi"/>
        </w:rPr>
      </w:pPr>
      <w:r>
        <w:rPr>
          <w:rFonts w:hAnsiTheme="majorHAnsi" w:asciiTheme="majorHAnsi"/>
        </w:rPr>
        <w:t>Dana 07.12.2016.g., primljeno  je Pismeno priopćenje Javnog bilježnika Vesne Ćuzele, na zahtjev stranke Jedinko Tomas Tolo, zast. po pun. odvjetniku Miljenku Marincel,   koje je upućeno stečajnom dužniku, kao protivniku osiguranja, a koje glasi: zahtjev za pismeno priopćenje po članku 277. Ovršnog zakona.</w:t>
      </w:r>
    </w:p>
    <w:p w:rsidRDefault="004F7D2B" w:rsidP="004F7D2B" w:rsidR="004F7D2B">
      <w:pPr>
        <w:jc w:val="both"/>
        <w:rPr>
          <w:rFonts w:hAnsiTheme="majorHAnsi" w:asciiTheme="majorHAnsi"/>
          <w:b/>
        </w:rPr>
      </w:pPr>
      <w:r>
        <w:rPr>
          <w:rFonts w:hAnsiTheme="majorHAnsi" w:asciiTheme="majorHAnsi"/>
        </w:rPr>
        <w:t xml:space="preserve">Stečajna upraviteljica je u vezi  Zahtjeva za pismeno priopćenje po čl. 277. Ovršnog zakona, br. OU-545/16 od 01. prosinca 2016.g., obavjestila JB   da nekretnine upisane u zemljišnim knjigama Općinskog suda u Rijeci,  Zemljišno knjižnog odjela u Crikvenici na k.č.br.,  </w:t>
      </w:r>
      <w:r>
        <w:rPr>
          <w:rFonts w:hAnsiTheme="majorHAnsi" w:asciiTheme="majorHAnsi" w:cs="Arial"/>
          <w:color w:val="000000"/>
        </w:rPr>
        <w:t>2710., 2711 i 2713, u naravi oranica, površine 201 čvh (723m2) upisane u zk.ul. br. 6095 k.o. Crikvenica na kojima je</w:t>
      </w:r>
      <w:r>
        <w:rPr>
          <w:rFonts w:hAnsiTheme="majorHAnsi" w:asciiTheme="majorHAnsi"/>
        </w:rPr>
        <w:t>u zemljišnim knjigama izvršena zabilježba da je prijenos prava vlasništva izvršen radi osiguranja novčane tražbine Jedinka Tomas Tolo iz Crikvenice,Primorska 9b, u iznosu od 50.000,00 EUR-a u kunskoj protuvrijednosti</w:t>
      </w:r>
      <w:r>
        <w:rPr>
          <w:rFonts w:hAnsiTheme="majorHAnsi" w:asciiTheme="majorHAnsi"/>
          <w:b/>
        </w:rPr>
        <w:t xml:space="preserve">, čine stečajnu masu stečajnog dužnika Adrias graditeljstva d.o.o., u stečaju, Crikvenica, Vinodolska 20. </w:t>
      </w:r>
      <w:r>
        <w:rPr>
          <w:rFonts w:hAnsiTheme="majorHAnsi" w:asciiTheme="majorHAnsi"/>
        </w:rPr>
        <w:t>Naime, sukladno Stečajnom zakonu, vjerovnik čija prava proizlaze iz sudskog ili javnobilježničkog osiguranja tražbine prijenosom vlasništva stvari ili prijenosom prava ima u stečajnom postupku pravni položaj razlučnog vjerovnika.</w:t>
      </w:r>
    </w:p>
    <w:p w:rsidRDefault="004F7D2B" w:rsidP="004F7D2B" w:rsidR="004F7D2B">
      <w:pPr>
        <w:tabs>
          <w:tab w:pos="4111" w:val="left"/>
        </w:tabs>
        <w:jc w:val="both"/>
        <w:rPr>
          <w:rFonts w:hAnsiTheme="majorHAnsi" w:asciiTheme="majorHAnsi"/>
        </w:rPr>
      </w:pPr>
    </w:p>
    <w:p w:rsidRDefault="004F7D2B" w:rsidP="004F7D2B" w:rsidR="004F7D2B">
      <w:pPr>
        <w:tabs>
          <w:tab w:pos="4111" w:val="left"/>
        </w:tabs>
        <w:jc w:val="both"/>
        <w:rPr>
          <w:rFonts w:hAnsiTheme="majorHAnsi" w:asciiTheme="majorHAnsi"/>
        </w:rPr>
      </w:pPr>
      <w:r>
        <w:rPr>
          <w:rFonts w:hAnsiTheme="majorHAnsi" w:asciiTheme="majorHAnsi"/>
        </w:rPr>
        <w:t xml:space="preserve">Dana 12.12.2016., primljena je Prijava razlučnog prava , razlučnog vjerovnika Jedinko Tomas Tolo, zast. po pun. Miljenko Marincel, odvjetniku iz Delnica, u kojoj se navodi pravna osnova razlučnog prava ( ugovor o zajmu od 01. veljače 2009.g. i Aneks Ugovora </w:t>
      </w:r>
    </w:p>
    <w:p w:rsidRDefault="004F7D2B" w:rsidP="004F7D2B" w:rsidR="004F7D2B">
      <w:pPr>
        <w:tabs>
          <w:tab w:pos="4111" w:val="left"/>
        </w:tabs>
        <w:jc w:val="center"/>
        <w:rPr>
          <w:rFonts w:hAnsiTheme="majorHAnsi" w:asciiTheme="majorHAnsi"/>
        </w:rPr>
      </w:pPr>
      <w:r>
        <w:rPr>
          <w:rFonts w:hAnsiTheme="majorHAnsi" w:asciiTheme="majorHAnsi"/>
        </w:rPr>
        <w:lastRenderedPageBreak/>
        <w:t>-3-</w:t>
      </w:r>
    </w:p>
    <w:p w:rsidRDefault="004F7D2B" w:rsidP="004F7D2B" w:rsidR="004F7D2B">
      <w:pPr>
        <w:tabs>
          <w:tab w:pos="4111" w:val="left"/>
        </w:tabs>
        <w:jc w:val="both"/>
        <w:rPr>
          <w:rFonts w:hAnsiTheme="majorHAnsi" w:asciiTheme="majorHAnsi"/>
          <w:b/>
        </w:rPr>
      </w:pPr>
      <w:r>
        <w:rPr>
          <w:rFonts w:hAnsiTheme="majorHAnsi" w:asciiTheme="majorHAnsi"/>
        </w:rPr>
        <w:t xml:space="preserve">o zajmu od 14. kolovoza 2009.g.), imovina na koju se odnosi razlučnog pravo: k.č. br. 2710, 2711 i 2713, upisana u zk.ul. 6095 k.o. Crikvenica, iznos osigurane tražbine na dan 31.01.2010. od </w:t>
      </w:r>
      <w:r>
        <w:rPr>
          <w:rFonts w:hAnsiTheme="majorHAnsi" w:asciiTheme="majorHAnsi"/>
          <w:b/>
        </w:rPr>
        <w:t>780.307,77 kn.</w:t>
      </w:r>
    </w:p>
    <w:p w:rsidRDefault="004F7D2B" w:rsidP="004F7D2B" w:rsidR="004F7D2B">
      <w:pPr>
        <w:tabs>
          <w:tab w:pos="4111" w:val="left"/>
        </w:tabs>
        <w:jc w:val="both"/>
        <w:rPr>
          <w:rFonts w:hAnsiTheme="majorHAnsi" w:asciiTheme="majorHAnsi"/>
          <w:b/>
        </w:rPr>
      </w:pPr>
    </w:p>
    <w:p w:rsidRDefault="004F7D2B" w:rsidP="004F7D2B" w:rsidR="004F7D2B">
      <w:pPr>
        <w:jc w:val="both"/>
        <w:rPr>
          <w:rFonts w:hAnsiTheme="majorHAnsi" w:asciiTheme="majorHAnsi"/>
        </w:rPr>
      </w:pPr>
      <w:r>
        <w:rPr>
          <w:rFonts w:hAnsiTheme="majorHAnsi" w:asciiTheme="majorHAnsi"/>
        </w:rPr>
        <w:t xml:space="preserve">Stečajnu masu čine i pokretnine stečajnog dužnika koje je stečajna upraviteljica  dala procijeniti </w:t>
      </w:r>
      <w:r>
        <w:rPr>
          <w:rFonts w:hAnsiTheme="majorHAnsi" w:asciiTheme="majorHAnsi"/>
          <w:b/>
        </w:rPr>
        <w:t>, a koje se sastoje od teretnih vozila i radnih strojeva</w:t>
      </w:r>
      <w:r>
        <w:rPr>
          <w:rFonts w:hAnsiTheme="majorHAnsi" w:asciiTheme="majorHAnsi"/>
        </w:rPr>
        <w:t xml:space="preserve">. Procjenu je izvršio Večeslav Gržinčić, dipl. ing.,stalni sudski vještak strojarske i prometne struke , koji je procijenio da </w:t>
      </w:r>
      <w:r>
        <w:rPr>
          <w:rFonts w:hAnsiTheme="majorHAnsi" w:asciiTheme="majorHAnsi"/>
          <w:b/>
        </w:rPr>
        <w:t>vrijednost pokretnina iznosi 44.700,00 kn</w:t>
      </w:r>
      <w:r>
        <w:rPr>
          <w:rFonts w:hAnsiTheme="majorHAnsi" w:asciiTheme="majorHAnsi"/>
        </w:rPr>
        <w:t xml:space="preserve"> i to  teretnih vozila  44.000,00 kn, te  vrijednost PC i materijala  700,00 kn. </w:t>
      </w:r>
    </w:p>
    <w:p w:rsidRDefault="004F7D2B" w:rsidP="004F7D2B" w:rsidR="004F7D2B">
      <w:pPr>
        <w:jc w:val="both"/>
        <w:rPr>
          <w:rFonts w:hAnsiTheme="majorHAnsi" w:asciiTheme="majorHAnsi"/>
        </w:rPr>
      </w:pPr>
      <w:r>
        <w:rPr>
          <w:rFonts w:hAnsiTheme="majorHAnsi" w:asciiTheme="majorHAnsi"/>
        </w:rPr>
        <w:t>Na teretnom vozilu – tegljač MAN tip.19.463 koje je procjenjeno na 10.050,00 kn razlučno pravo ima razlučni vjerovnik  Terra Jaska d.o.o., Strmec Samoborski.</w:t>
      </w:r>
    </w:p>
    <w:p w:rsidRDefault="004F7D2B" w:rsidP="004F7D2B" w:rsidR="004F7D2B">
      <w:pPr>
        <w:jc w:val="both"/>
        <w:rPr>
          <w:rFonts w:hAnsiTheme="majorHAnsi" w:asciiTheme="majorHAnsi"/>
        </w:rPr>
      </w:pPr>
    </w:p>
    <w:p w:rsidRDefault="004F7D2B" w:rsidP="004F7D2B" w:rsidR="004F7D2B">
      <w:pPr>
        <w:jc w:val="both"/>
        <w:rPr>
          <w:rFonts w:hAnsiTheme="majorHAnsi" w:asciiTheme="majorHAnsi"/>
        </w:rPr>
      </w:pPr>
      <w:r>
        <w:rPr>
          <w:rFonts w:hAnsiTheme="majorHAnsi" w:asciiTheme="majorHAnsi"/>
        </w:rPr>
        <w:t>Radi prodaje nekretnine koje se ne prodaju u ovršnom postupku, kao i pokretnina,  stečajna upraviteljica dala je prijedlog za sazivanje skupštine vjerovnike, te je predložila donošenje odluke o načinu i uvjetima prodaje.</w:t>
      </w:r>
    </w:p>
    <w:p w:rsidRDefault="004F7D2B" w:rsidP="004F7D2B" w:rsidR="004F7D2B">
      <w:pPr>
        <w:jc w:val="both"/>
        <w:rPr>
          <w:rFonts w:hAnsiTheme="majorHAnsi" w:asciiTheme="majorHAnsi"/>
          <w:b/>
        </w:rPr>
      </w:pPr>
      <w:r>
        <w:rPr>
          <w:rFonts w:hAnsiTheme="majorHAnsi" w:asciiTheme="majorHAnsi"/>
        </w:rPr>
        <w:t xml:space="preserve">Stanje na žiro-računu na dan 14.03.2017. g. iznosi </w:t>
      </w:r>
      <w:r>
        <w:rPr>
          <w:rFonts w:hAnsiTheme="majorHAnsi" w:asciiTheme="majorHAnsi"/>
          <w:b/>
        </w:rPr>
        <w:t>253.553,06 kn.</w:t>
      </w:r>
    </w:p>
    <w:p w:rsidRDefault="004F7D2B" w:rsidP="004F7D2B" w:rsidR="004F7D2B">
      <w:pPr>
        <w:jc w:val="both"/>
        <w:rPr>
          <w:rFonts w:hAnsiTheme="majorHAnsi" w:asciiTheme="majorHAnsi"/>
          <w:b/>
        </w:rPr>
      </w:pPr>
    </w:p>
    <w:p w:rsidRDefault="004F7D2B" w:rsidP="004F7D2B" w:rsidR="004F7D2B">
      <w:pPr>
        <w:jc w:val="both"/>
        <w:rPr>
          <w:rFonts w:hAnsiTheme="majorHAnsi" w:asciiTheme="majorHAnsi"/>
        </w:rPr>
      </w:pPr>
      <w:r>
        <w:rPr>
          <w:rFonts w:hAnsiTheme="majorHAnsi" w:asciiTheme="majorHAnsi"/>
          <w:b/>
        </w:rPr>
        <w:t>III. RADNJE KOJE ĆE SE PODUZETI U NAREDNOM RAZDOBLJU</w:t>
      </w:r>
    </w:p>
    <w:p w:rsidRDefault="004F7D2B" w:rsidP="004F7D2B" w:rsidR="004F7D2B">
      <w:pPr>
        <w:jc w:val="both"/>
        <w:rPr>
          <w:rFonts w:hAnsiTheme="majorHAnsi" w:asciiTheme="majorHAnsi"/>
        </w:rPr>
      </w:pPr>
      <w:r>
        <w:rPr>
          <w:rFonts w:hAnsiTheme="majorHAnsi" w:asciiTheme="majorHAnsi"/>
        </w:rPr>
        <w:t xml:space="preserve">U narednom razdoblju, a sukladno odluci skupštine vjerovnika prodavati će se pokretnine i nekretnina koja se ne prodaje u ovršnom postupku. </w:t>
      </w:r>
    </w:p>
    <w:p w:rsidRDefault="004F7D2B" w:rsidP="004F7D2B" w:rsidR="004F7D2B">
      <w:pPr>
        <w:rPr>
          <w:rFonts w:hAnsiTheme="majorHAnsi" w:asciiTheme="majorHAnsi"/>
          <w:b/>
          <w:lang w:val="pl-PL"/>
        </w:rPr>
      </w:pPr>
    </w:p>
    <w:p w:rsidRDefault="004F7D2B" w:rsidP="004F7D2B" w:rsidR="004F7D2B">
      <w:pPr>
        <w:rPr>
          <w:rFonts w:hAnsiTheme="majorHAnsi" w:asciiTheme="majorHAnsi"/>
          <w:b/>
          <w:lang w:val="pl-PL"/>
        </w:rPr>
      </w:pPr>
    </w:p>
    <w:p w:rsidRDefault="004F7D2B" w:rsidP="004F7D2B" w:rsidR="004F7D2B">
      <w:pPr>
        <w:rPr>
          <w:rFonts w:hAnsiTheme="majorHAnsi" w:asciiTheme="majorHAnsi"/>
          <w:lang w:val="pl-PL"/>
        </w:rPr>
      </w:pPr>
      <w:r>
        <w:rPr>
          <w:rFonts w:hAnsiTheme="majorHAnsi" w:asciiTheme="majorHAnsi"/>
          <w:b/>
          <w:lang w:val="pl-PL"/>
        </w:rPr>
        <w:t>Prilog</w:t>
      </w:r>
      <w:r>
        <w:rPr>
          <w:rFonts w:hAnsiTheme="majorHAnsi" w:asciiTheme="majorHAnsi"/>
          <w:lang w:val="pl-PL"/>
        </w:rPr>
        <w:t>:                                                                                           Nada Barišić, steč. upraviteljica</w:t>
      </w:r>
    </w:p>
    <w:p w:rsidRDefault="004F7D2B" w:rsidP="004F7D2B" w:rsidR="004F7D2B">
      <w:pPr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-Aneks Ugovora o zakupu</w:t>
      </w:r>
    </w:p>
    <w:p w:rsidRDefault="004F7D2B" w:rsidP="004F7D2B" w:rsidR="004F7D2B">
      <w:pPr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- Izvadak HPB</w:t>
      </w:r>
    </w:p>
    <w:p w:rsidRDefault="004F7D2B" w:rsidP="004F7D2B" w:rsidR="004F7D2B">
      <w:pPr>
        <w:rPr>
          <w:rFonts w:hAnsiTheme="majorHAnsi" w:asciiTheme="majorHAnsi"/>
          <w:b/>
          <w:lang w:val="pl-PL"/>
        </w:rPr>
      </w:pPr>
    </w:p>
    <w:p w:rsidRDefault="004F7D2B" w:rsidP="004F7D2B" w:rsidR="004F7D2B">
      <w:pPr>
        <w:rPr>
          <w:rFonts w:hAnsiTheme="majorHAnsi" w:asciiTheme="majorHAnsi"/>
          <w:b/>
          <w:lang w:val="pl-PL"/>
        </w:rPr>
      </w:pPr>
    </w:p>
    <w:p w:rsidRDefault="004F7D2B" w:rsidP="004F7D2B" w:rsidR="004F7D2B">
      <w:pPr>
        <w:rPr>
          <w:rFonts w:hAnsiTheme="majorHAnsi" w:asciiTheme="majorHAnsi"/>
          <w:b/>
          <w:lang w:val="pl-PL"/>
        </w:rPr>
      </w:pPr>
    </w:p>
    <w:p w:rsidRDefault="004F7D2B" w:rsidP="004F7D2B" w:rsidR="004F7D2B">
      <w:pPr>
        <w:rPr>
          <w:rFonts w:hAnsiTheme="majorHAnsi" w:asciiTheme="majorHAnsi"/>
          <w:b/>
          <w:lang w:val="pl-PL"/>
        </w:rPr>
      </w:pPr>
    </w:p>
    <w:p w:rsidRDefault="004F7D2B" w:rsidP="004F7D2B" w:rsidR="004F7D2B">
      <w:pPr>
        <w:rPr>
          <w:rFonts w:hAnsiTheme="majorHAnsi" w:asciiTheme="majorHAnsi"/>
          <w:b/>
          <w:lang w:val="pl-PL"/>
        </w:rPr>
      </w:pPr>
    </w:p>
    <w:p w:rsidRDefault="004F7D2B" w:rsidP="004F7D2B" w:rsidR="004F7D2B">
      <w:pPr>
        <w:rPr>
          <w:rFonts w:hAnsiTheme="majorHAnsi" w:asciiTheme="majorHAnsi"/>
          <w:b/>
          <w:lang w:val="pl-PL"/>
        </w:rPr>
      </w:pPr>
    </w:p>
    <w:p w:rsidRDefault="002B75DE" w:rsidR="002B75DE"/>
    <w:sectPr w:rsidR="002B75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7D2B"/>
    <w:rsid w:val="002B75DE"/>
    <w:rsid w:val="004F7D2B"/>
    <w:rsid w:val="0085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7D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7D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2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2EA"/>
    <w:rPr>
      <w:rFonts w:hAnsiTheme="majorHAnsi" w:asciiTheme="majorHAns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2EA"/>
    <w:rPr>
      <w:rFonts w:hAnsiTheme="majorHAnsi" w:asciiTheme="majorHAnsi" w:cs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2EA"/>
    <w:rPr>
      <w:rFonts w:hAnsiTheme="majorHAnsi" w:asciiTheme="majorHAnsi" w:cs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7D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7D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2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2EA"/>
    <w:rPr>
      <w:rFonts w:asciiTheme="majorHAnsi" w:hAnsiTheme="majorHAns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2EA"/>
    <w:rPr>
      <w:rFonts w:asciiTheme="majorHAnsi" w:cs="Times New Roman" w:hAnsiTheme="majorHAns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2EA"/>
    <w:rPr>
      <w:rFonts w:asciiTheme="majorHAnsi" w:cs="Times New Roman" w:hAnsiTheme="majorHAns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9863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St-124/2013-63</izvorni_sadrzaj>
    <derivirana_varijabla naziv="DomainObject.Oznaka_1">St-124/2013-63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</izvorni_sadrzaj>
    <derivirana_varijabla naziv="DomainObject.Predmet.OstaliListFormated_1">
      <item>Zvonimir Gašparović</item>
      <item>Đorđe Perković</item>
    </derivirana_varijabla>
  </DomainObject.Predmet.OstaliListFormated>
  <DomainObject.Predmet.OstaliListFormatedOIB>
    <izvorni_sadrzaj>
      <item>Zvonimir Gašparović, OIB 16190241558</item>
      <item>Đorđe Perković</item>
    </izvorni_sadrzaj>
    <derivirana_varijabla naziv="DomainObject.Predmet.OstaliListFormatedOIB_1">
      <item>Zvonimir Gašparović, OIB 16190241558</item>
      <item>Đorđe Perković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</izvorni_sadrzaj>
    <derivirana_varijabla naziv="DomainObject.Predmet.OstaliListFormatedWithAdress_1">
      <item>Zvonimir Gašparović, Kotorska 12, 51260 Crikvenica</item>
      <item>Đorđe Perković, Trg Sv. Jurja 2, 23250 Pag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</izvorni_sadrzaj>
    <derivirana_varijabla naziv="DomainObject.Predmet.OstaliListFormatedWithAdressOIB_1">
      <item>Zvonimir Gašparović, OIB 16190241558, Kotorska 12, 51260 Crikvenica</item>
      <item>Đorđe Perković, Trg Sv. Jurja 2, 23250 Pag</item>
    </derivirana_varijabla>
  </DomainObject.Predmet.OstaliListFormatedWithAdressOIB>
  <DomainObject.Predmet.OstaliListNazivFormated>
    <izvorni_sadrzaj>
      <item>Zvonimir Gašparović</item>
      <item>Đorđe Perković</item>
    </izvorni_sadrzaj>
    <derivirana_varijabla naziv="DomainObject.Predmet.OstaliListNazivFormated_1">
      <item>Zvonimir Gašparović</item>
      <item>Đorđe Perković</item>
    </derivirana_varijabla>
  </DomainObject.Predmet.OstaliListNazivFormated>
  <DomainObject.Predmet.OstaliListNazivFormatedOIB>
    <izvorni_sadrzaj>
      <item>Zvonimir Gašparović, OIB 16190241558</item>
      <item>Đorđe Perković</item>
    </izvorni_sadrzaj>
    <derivirana_varijabla naziv="DomainObject.Predmet.OstaliListNazivFormatedOIB_1">
      <item>Zvonimir Gašparović, OIB 16190241558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5945</properties:Characters>
  <properties:Lines>130</properties:Lines>
  <properties:Paragraphs>36</properties:Paragraphs>
  <properties:TotalTime>1</properties:TotalTime>
  <properties:ScaleCrop>false</properties:ScaleCrop>
  <properties:LinksUpToDate>false</properties:LinksUpToDate>
  <properties:CharactersWithSpaces>7161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2017-03-20T21:51:00Z</dcterms:created>
  <dc:creator>Nada</dc:creator>
  <cp:lastModifiedBy>Renata Valić</cp:lastModifiedBy>
  <dcterms:modified xmlns:xsi="http://www.w3.org/2001/XMLSchema-instance" xsi:type="dcterms:W3CDTF">2017-03-21T12:43:00Z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St-124/2013-63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