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94486" w14:paraId="8594486" w:rsidRDefault="00AD3353" w:rsidP="00AD3353" w:rsidR="00AD3353"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AD3353" w:rsidP="00AD3353" w:rsidR="00AD3353"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AD3353" w:rsidP="00AD3353" w:rsidR="00AD3353">
      <w:pPr>
        <w:jc w:val="center"/>
        <w:rPr>
          <w:rFonts w:hAnsi="Times New Roman" w:ascii="Times New Roman"/>
          <w:sz w:val="24"/>
        </w:rPr>
      </w:pPr>
    </w:p>
    <w:p w:rsidRDefault="00AD3353" w:rsidP="00AD3353" w:rsidR="00AD3353" w:rsidRPr="003726DD">
      <w:pPr>
        <w:jc w:val="center"/>
        <w:rPr>
          <w:rFonts w:hAnsi="Times New Roman" w:ascii="Times New Roman"/>
          <w:sz w:val="24"/>
        </w:rPr>
      </w:pPr>
    </w:p>
    <w:p w:rsidRDefault="00AD3353" w:rsidP="00AD3353" w:rsidR="00AD3353"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AD3353" w:rsidP="00AD3353" w:rsidR="00AD3353"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6288</w:t>
      </w:r>
      <w:r w:rsidRPr="008C7A84">
        <w:rPr>
          <w:rFonts w:hAnsi="Bookman Old Style" w:ascii="Bookman Old Style"/>
          <w:sz w:val="24"/>
          <w:szCs w:val="24"/>
          <w:lang w:val="pl-PL"/>
        </w:rPr>
        <w:t>/</w:t>
      </w:r>
      <w:r>
        <w:rPr>
          <w:rFonts w:hAnsi="Bookman Old Style" w:ascii="Bookman Old Style"/>
          <w:sz w:val="24"/>
          <w:szCs w:val="24"/>
          <w:lang w:val="pl-PL"/>
        </w:rPr>
        <w:t>2016</w:t>
      </w:r>
    </w:p>
    <w:p w:rsidRDefault="00AD3353" w:rsidP="00AD3353" w:rsidR="00AD3353"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AD3353" w:rsidP="00AD3353" w:rsidR="00AD3353">
      <w:pPr>
        <w:rPr>
          <w:rFonts w:hAnsi="Bookman Old Style" w:ascii="Bookman Old Style"/>
        </w:rPr>
      </w:pPr>
      <w:r w:rsidRPr="003F7CDB">
        <w:rPr>
          <w:rFonts w:hAnsi="Bookman Old Style" w:ascii="Bookman Old Style"/>
          <w:b/>
          <w:sz w:val="24"/>
          <w:szCs w:val="24"/>
          <w:lang w:val="pl-PL"/>
        </w:rPr>
        <w:t>MONERIS NEKRETNINE d.o.o. – u stečaju</w:t>
      </w:r>
      <w:r w:rsidRPr="008C7A84">
        <w:rPr>
          <w:rFonts w:hAnsi="Bookman Old Style" w:ascii="Bookman Old Style"/>
          <w:sz w:val="24"/>
          <w:szCs w:val="24"/>
          <w:lang w:val="pl-PL"/>
        </w:rPr>
        <w:t>,</w:t>
      </w:r>
      <w:r>
        <w:rPr>
          <w:rFonts w:hAnsi="Bookman Old Style" w:ascii="Bookman Old Style"/>
          <w:sz w:val="24"/>
          <w:szCs w:val="24"/>
          <w:lang w:val="pl-PL"/>
        </w:rPr>
        <w:t xml:space="preserve"> Sesvete (grad Zagreb)</w:t>
      </w:r>
      <w:r w:rsidRPr="008C7A84">
        <w:rPr>
          <w:rFonts w:hAnsi="Bookman Old Style" w:ascii="Bookman Old Style"/>
          <w:sz w:val="24"/>
          <w:szCs w:val="24"/>
          <w:lang w:val="pl-PL"/>
        </w:rPr>
        <w:t xml:space="preserve">, </w:t>
      </w:r>
      <w:r>
        <w:rPr>
          <w:rFonts w:hAnsi="Bookman Old Style" w:ascii="Bookman Old Style"/>
          <w:sz w:val="24"/>
          <w:szCs w:val="24"/>
          <w:lang w:val="pl-PL"/>
        </w:rPr>
        <w:t>Primorska 5</w:t>
      </w:r>
      <w:r>
        <w:rPr>
          <w:rFonts w:hAnsi="Bookman Old Style" w:ascii="Bookman Old Style"/>
        </w:rPr>
        <w:t xml:space="preserve">, </w:t>
      </w:r>
    </w:p>
    <w:p w:rsidRDefault="00AD3353" w:rsidP="00AD3353" w:rsidR="00AD3353" w:rsidRPr="00B608F4">
      <w:pPr>
        <w:rPr>
          <w:rFonts w:hAnsi="Bookman Old Style" w:ascii="Bookman Old Style"/>
        </w:rPr>
      </w:pPr>
      <w:r w:rsidRPr="00B608F4">
        <w:rPr>
          <w:rFonts w:hAnsi="Bookman Old Style" w:ascii="Bookman Old Style"/>
          <w:sz w:val="24"/>
        </w:rPr>
        <w:t xml:space="preserve">OIB: </w:t>
      </w:r>
      <w:r>
        <w:rPr>
          <w:rFonts w:hAnsi="Bookman Old Style" w:ascii="Bookman Old Style"/>
          <w:sz w:val="24"/>
        </w:rPr>
        <w:t>14006247481</w:t>
      </w:r>
    </w:p>
    <w:p w:rsidRDefault="00AD3353" w:rsidP="00AD3353" w:rsidR="00AD3353">
      <w:pPr>
        <w:jc w:val="center"/>
        <w:rPr>
          <w:rFonts w:hAnsi="Bookman Old Style" w:ascii="Bookman Old Style"/>
          <w:sz w:val="24"/>
          <w:szCs w:val="24"/>
          <w:lang w:val="pl-PL"/>
        </w:rPr>
      </w:pPr>
    </w:p>
    <w:p w:rsidRDefault="00AD3353" w:rsidP="00AD3353" w:rsidR="00AD3353" w:rsidRPr="008C7A84">
      <w:pPr>
        <w:jc w:val="center"/>
        <w:rPr>
          <w:rFonts w:hAnsi="Bookman Old Style" w:ascii="Bookman Old Style"/>
          <w:sz w:val="24"/>
          <w:szCs w:val="24"/>
          <w:lang w:val="pl-PL"/>
        </w:rPr>
      </w:pPr>
    </w:p>
    <w:p w:rsidRDefault="00AD3353" w:rsidP="00AD3353" w:rsidR="00AD3353" w:rsidRPr="008C7A84">
      <w:pPr>
        <w:rPr>
          <w:rFonts w:hAnsi="Bookman Old Style" w:ascii="Bookman Old Style"/>
          <w:sz w:val="24"/>
          <w:szCs w:val="24"/>
          <w:lang w:val="pl-PL"/>
        </w:rPr>
      </w:pPr>
      <w:r w:rsidRPr="001E558F">
        <w:rPr>
          <w:rFonts w:hAnsi="Bookman Old Style" w:ascii="Bookman Old Style"/>
          <w:b/>
          <w:sz w:val="24"/>
          <w:szCs w:val="24"/>
          <w:lang w:val="pl-PL"/>
        </w:rPr>
        <w:t>I.  TIJEK STEČAJNOGA POSTUPKA</w:t>
      </w:r>
      <w:r w:rsidRPr="008C7A84">
        <w:rPr>
          <w:rFonts w:hAnsi="Bookman Old Style" w:ascii="Bookman Old Style"/>
          <w:sz w:val="24"/>
          <w:szCs w:val="24"/>
          <w:lang w:val="pl-PL"/>
        </w:rPr>
        <w:t xml:space="preserve"> U RAZDOBLJU OD </w:t>
      </w:r>
      <w:r>
        <w:rPr>
          <w:rFonts w:hAnsi="Bookman Old Style" w:ascii="Bookman Old Style"/>
          <w:sz w:val="24"/>
          <w:szCs w:val="24"/>
          <w:lang w:val="pl-PL"/>
        </w:rPr>
        <w:t>26.04.</w:t>
      </w:r>
      <w:r w:rsidRPr="008C7A84">
        <w:rPr>
          <w:rFonts w:hAnsi="Bookman Old Style" w:ascii="Bookman Old Style"/>
          <w:sz w:val="24"/>
          <w:szCs w:val="24"/>
          <w:lang w:val="pl-PL"/>
        </w:rPr>
        <w:t>201</w:t>
      </w:r>
      <w:r>
        <w:rPr>
          <w:rFonts w:hAnsi="Bookman Old Style" w:ascii="Bookman Old Style"/>
          <w:sz w:val="24"/>
          <w:szCs w:val="24"/>
          <w:lang w:val="pl-PL"/>
        </w:rPr>
        <w:t>8</w:t>
      </w:r>
      <w:r w:rsidRPr="008C7A84">
        <w:rPr>
          <w:rFonts w:hAnsi="Bookman Old Style" w:ascii="Bookman Old Style"/>
          <w:sz w:val="24"/>
          <w:szCs w:val="24"/>
          <w:lang w:val="pl-PL"/>
        </w:rPr>
        <w:t xml:space="preserve">. DO </w:t>
      </w:r>
      <w:r>
        <w:rPr>
          <w:rFonts w:hAnsi="Bookman Old Style" w:ascii="Bookman Old Style"/>
          <w:sz w:val="24"/>
          <w:szCs w:val="24"/>
          <w:lang w:val="pl-PL"/>
        </w:rPr>
        <w:t>26</w:t>
      </w:r>
      <w:r w:rsidRPr="008C7A84">
        <w:rPr>
          <w:rFonts w:hAnsi="Bookman Old Style" w:ascii="Bookman Old Style"/>
          <w:sz w:val="24"/>
          <w:szCs w:val="24"/>
          <w:lang w:val="pl-PL"/>
        </w:rPr>
        <w:t>.0</w:t>
      </w:r>
      <w:r>
        <w:rPr>
          <w:rFonts w:hAnsi="Bookman Old Style" w:ascii="Bookman Old Style"/>
          <w:sz w:val="24"/>
          <w:szCs w:val="24"/>
          <w:lang w:val="pl-PL"/>
        </w:rPr>
        <w:t>7.2018. godine.</w:t>
      </w:r>
    </w:p>
    <w:p w:rsidRDefault="00AD3353" w:rsidP="00AD3353" w:rsidR="00AD3353" w:rsidRPr="008C7A84">
      <w:pPr>
        <w:spacing w:after="0"/>
        <w:rPr>
          <w:rFonts w:hAnsi="Bookman Old Style" w:ascii="Bookman Old Style"/>
          <w:sz w:val="24"/>
          <w:szCs w:val="24"/>
          <w:lang w:val="pl-PL"/>
        </w:rPr>
      </w:pPr>
    </w:p>
    <w:p w:rsidRDefault="00AD3353" w:rsidP="00E414E3" w:rsidR="00AD3353">
      <w:pPr>
        <w:pStyle w:val="Tijeloteksta"/>
      </w:pPr>
      <w:r>
        <w:t>- Razlučni vjerovnik je pokrenuo ovršne postupke za prodaju imovine stečajnog dužnika prije otvaranja stečajnog postupka. Izvješće o ovršnim postupcima dano je po glavom II. točkom 3.</w:t>
      </w:r>
    </w:p>
    <w:p w:rsidRDefault="00E414E3" w:rsidP="00E414E3" w:rsidR="00E414E3" w:rsidRPr="00E414E3">
      <w:pPr>
        <w:pStyle w:val="Tijeloteksta"/>
      </w:pPr>
    </w:p>
    <w:p w:rsidRDefault="00AD3353" w:rsidP="00AD3353" w:rsidR="00AD3353" w:rsidRPr="008C7A84">
      <w:pPr>
        <w:spacing w:after="0"/>
        <w:jc w:val="both"/>
        <w:rPr>
          <w:rFonts w:hAnsi="Bookman Old Style" w:ascii="Bookman Old Style"/>
          <w:sz w:val="24"/>
          <w:szCs w:val="24"/>
          <w:lang w:val="pl-PL"/>
        </w:rPr>
      </w:pPr>
    </w:p>
    <w:p w:rsidRDefault="00AD3353" w:rsidP="00AD3353" w:rsidR="00AD3353" w:rsidRPr="008C7A84">
      <w:pPr>
        <w:spacing w:after="0"/>
        <w:ind w:hanging="142" w:left="142"/>
        <w:rPr>
          <w:rFonts w:hAnsi="Bookman Old Style" w:ascii="Bookman Old Style"/>
          <w:sz w:val="24"/>
          <w:szCs w:val="24"/>
          <w:lang w:val="pl-PL"/>
        </w:rPr>
      </w:pPr>
      <w:r w:rsidRPr="008C7A84">
        <w:rPr>
          <w:rFonts w:hAnsi="Bookman Old Style" w:ascii="Bookman Old Style"/>
          <w:sz w:val="24"/>
          <w:szCs w:val="24"/>
          <w:lang w:val="pl-PL"/>
        </w:rPr>
        <w:t xml:space="preserve"> </w:t>
      </w:r>
    </w:p>
    <w:p w:rsidRDefault="00AD3353" w:rsidP="00AD3353" w:rsidR="00AD3353" w:rsidRPr="00CD20F2">
      <w:pPr>
        <w:rPr>
          <w:rFonts w:hAnsi="Bookman Old Style" w:ascii="Bookman Old Style"/>
          <w:b/>
          <w:sz w:val="24"/>
          <w:szCs w:val="24"/>
          <w:lang w:val="pl-PL"/>
        </w:rPr>
      </w:pPr>
      <w:r w:rsidRPr="00CD20F2">
        <w:rPr>
          <w:rFonts w:hAnsi="Bookman Old Style" w:ascii="Bookman Old Style"/>
          <w:b/>
          <w:sz w:val="24"/>
          <w:szCs w:val="24"/>
          <w:lang w:val="pl-PL"/>
        </w:rPr>
        <w:t>II. STANJE STEČAJNE MASE</w:t>
      </w:r>
    </w:p>
    <w:p w:rsidRDefault="00AD3353" w:rsidP="00AD3353" w:rsidR="00AD3353" w:rsidRPr="008C7A84">
      <w:pPr>
        <w:rPr>
          <w:rFonts w:hAnsi="Bookman Old Style" w:ascii="Bookman Old Style"/>
          <w:sz w:val="24"/>
          <w:szCs w:val="24"/>
          <w:lang w:val="pl-PL"/>
        </w:rPr>
      </w:pPr>
    </w:p>
    <w:p w:rsidRDefault="00AD3353" w:rsidP="00AD3353" w:rsidR="00AD3353" w:rsidRPr="00C2542B">
      <w:pPr>
        <w:spacing w:after="0"/>
        <w:jc w:val="both"/>
        <w:rPr>
          <w:rFonts w:eastAsia="Times New Roman" w:hAnsi="Bookman Old Style" w:ascii="Bookman Old Style"/>
          <w:sz w:val="24"/>
          <w:szCs w:val="20"/>
          <w:lang w:eastAsia="hr-HR" w:val="pl-PL"/>
        </w:rPr>
      </w:pPr>
      <w:r w:rsidRPr="00C2542B">
        <w:rPr>
          <w:rFonts w:eastAsia="Times New Roman" w:hAnsi="Bookman Old Style" w:ascii="Bookman Old Style"/>
          <w:sz w:val="24"/>
          <w:szCs w:val="20"/>
          <w:lang w:eastAsia="hr-HR" w:val="pl-PL"/>
        </w:rPr>
        <w:t>Stečajn</w:t>
      </w:r>
      <w:r>
        <w:rPr>
          <w:rFonts w:eastAsia="Times New Roman" w:hAnsi="Bookman Old Style" w:ascii="Bookman Old Style"/>
          <w:sz w:val="24"/>
          <w:szCs w:val="20"/>
          <w:lang w:eastAsia="hr-HR" w:val="pl-PL"/>
        </w:rPr>
        <w:t>u masu</w:t>
      </w:r>
      <w:r w:rsidRPr="00C2542B">
        <w:rPr>
          <w:rFonts w:eastAsia="Times New Roman" w:hAnsi="Bookman Old Style" w:ascii="Bookman Old Style"/>
          <w:sz w:val="24"/>
          <w:szCs w:val="20"/>
          <w:lang w:eastAsia="hr-HR" w:val="pl-PL"/>
        </w:rPr>
        <w:t xml:space="preserve"> čine sljedeće nekretnine:</w:t>
      </w:r>
    </w:p>
    <w:p w:rsidRDefault="00AD3353" w:rsidP="00AD3353" w:rsidR="00AD3353" w:rsidRPr="008C7A84">
      <w:pPr>
        <w:spacing w:after="0"/>
        <w:jc w:val="both"/>
        <w:rPr>
          <w:rFonts w:eastAsia="Times New Roman" w:hAnsi="Bookman Old Style" w:ascii="Bookman Old Style"/>
          <w:b/>
          <w:sz w:val="24"/>
          <w:szCs w:val="20"/>
          <w:lang w:eastAsia="hr-HR" w:val="pl-PL"/>
        </w:rPr>
      </w:pPr>
    </w:p>
    <w:p w:rsidRDefault="00AD3353" w:rsidP="00AD3353" w:rsidR="00AD3353" w:rsidRPr="00C2542B">
      <w:pPr>
        <w:numPr>
          <w:ilvl w:val="0"/>
          <w:numId w:val="1"/>
        </w:numPr>
        <w:spacing w:after="0"/>
        <w:jc w:val="both"/>
        <w:rPr>
          <w:rFonts w:eastAsia="Times New Roman" w:hAnsi="Bookman Old Style" w:ascii="Bookman Old Style"/>
          <w:b/>
          <w:sz w:val="24"/>
          <w:szCs w:val="20"/>
          <w:lang w:eastAsia="hr-HR" w:val="pl-PL"/>
        </w:rPr>
      </w:pPr>
      <w:r w:rsidRPr="00C2542B">
        <w:rPr>
          <w:rFonts w:eastAsia="Times New Roman" w:hAnsi="Bookman Old Style" w:ascii="Bookman Old Style"/>
          <w:b/>
          <w:sz w:val="24"/>
          <w:szCs w:val="20"/>
          <w:lang w:eastAsia="hr-HR" w:val="pl-PL"/>
        </w:rPr>
        <w:t xml:space="preserve">NEKRETNINE: </w:t>
      </w:r>
    </w:p>
    <w:p w:rsidRDefault="00AD3353" w:rsidP="00AD3353" w:rsidR="00AD3353" w:rsidRPr="00C2542B">
      <w:pPr>
        <w:widowControl w:val="false"/>
        <w:autoSpaceDE w:val="false"/>
        <w:autoSpaceDN w:val="false"/>
        <w:adjustRightInd w:val="false"/>
        <w:spacing w:after="0"/>
        <w:rPr>
          <w:rFonts w:eastAsia="Times New Roman" w:hAnsi="Bookman Old Style" w:ascii="Bookman Old Style"/>
          <w:color w:val="000000"/>
          <w:spacing w:val="5"/>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1. Nekretnina upisana u zemljišnu knjigu zemljišnoknjižnog odjela ZAGREB, Općinski građanski sud u Zagrebu, z.k.ul. 10769, k.o. 335606 VRAPČE i to ORANICA, SAVSKA OPATOVINA, površine 2218m2, sagrađena na kat. čest. 375/14 k.o. Vrapče, i to suvlasnički dio: 380/2218 </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solemniziranog Sporazuma radi osiguranja novčane tražbine zasnivanjem založnog prava na nekretninama od 23.04.2008. uknjiženo je založno pravo radi osiguranja tražbine u iznosu od HRK 142.570.096,50 odnosno protuvrijednosti 19.500,000,00 EUR po srednjem tečaju HNB na dan sastavljanja ugovora, uvećano za kamate u ukupnom iznosu od HRK 57.208.071,73 u protuvrijednosti EUR 7.824.624,00 po srednjem tečaju HNB na dan sastavljanja ugovora, i sve ostale troškove radi osiguranja novčane tražbine, za korist: ALPE ADRIA POSLOVODSTVO D.O.O., OIB:99488126785, SLAVONSKA AVENIJA BR. 6/A, ZAGREB</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2. Nekretnina upisana u zemljišnu knjigu zemljišnoknjižnog odjela ZAGREB, Općinski građanski sud u Zagrebu, z.k.ul. 17734, k.o.  GRAD ZAGREB i to </w:t>
      </w:r>
      <w:r w:rsidRPr="00B608F4">
        <w:rPr>
          <w:rFonts w:eastAsia="Times New Roman" w:hAnsi="Bookman Old Style" w:ascii="Bookman Old Style"/>
          <w:sz w:val="24"/>
          <w:szCs w:val="24"/>
          <w:lang w:eastAsia="hr-HR"/>
        </w:rPr>
        <w:lastRenderedPageBreak/>
        <w:t>ORANICA i PUT, SAVSKA OPATOVINA; ORANICA površine 2580m2 i PUT površine 43m2, sagrađena na kat. čest. 365 k.o. Vrapče i to: suvlasnički dio: 73/782</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sporazuma radi osiguranja novčane tražbine zasnivanjem založnog prava na nekretninama od 09. 04. 2010. godine, predbilježuje se založno pravo u iznosu od 4.500.000,50 EUR sa svim ugovorenim uvjetima i potraživanjima, za korist: ZVEZA BANK REGIONALNA ZADRUGA Z OMEJENIM JAMSTVOM, BANK UND REVISIONSVERBAND, OIB: 24250429800, GEN.M.B.H., PAULITSCHGASSE 5-7, A-9010 KLAGENFURT/CELOVEC</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Na temelju sporazuma radi osiguranja novčane tražbine zasnivanjem založnog prava na nekretninama od 12. ožujka 2012. godine (OV-4710/2012) i povijesnog izvatka iz sudskog registra Trgovačkog suda u Zagrebu od 15. ožujka 2012. godine, uknjižuje se založno pravo radi osiguranja novčane tražbine u iznosu od 142.570.096,50 HRK odnosno protuvrijednost 19.500.000,00 EUR-a po srednjem tečaju HNB-a na dan sastavljanja ugovora, uvećano za iznos ugovorene kamate, interkalarne kamate, eventualne zatezne kamate i sve eventualne ostale troškove, za korist: </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ALPE-ADRIA POSLOVODSTVO D.O.O., OIB:99488126785, SLAVONSKA AVENIJA BR. 6/A, ZAGREB</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3. Nekretnina upisana u zemljišnu knjigu zemljišnoknjižnog odjela ZAGREB, Općinski građanski sud u Zagrebu, z.k.ul. 17761, k.o. 335606 VRAPČE i to ORANICA površine 1077 čhv, sagrađena na kat. čest. 403 k.o. Vrapče i to: suvlasnički dio 1022/1077</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Na temelju Sporazuma radi osiguranja novčane tražbine zasnivanjem založnog prava na nekretnini od 23. travnja 2008. godine solemniziran pos posl. br. OV-9989/2008 dana 24. travnja 2008. godine, uknjižuje se založno pravo u iznosu od 142.570.096,50 HRK odnosno protuvrijednost 19.500.000,00 EUR-a po srednjem tečaju HNB-a na dan sastavljanja ugovora, uvećano za kamate u ukupnom iznosu od 57.208.071,73 HRK u protuvrijednosti EUR 7.824,624,00 EUR po srednjem tečaju HNB na dan sastavljanja ugovora, i sve ostale troškove, radi osiguranja novčane tražbine, za korist: </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ALPE-ADRIA POSLOVODSTVO D.O.O., OIB:99488126785, SLAVONSKA AVENIJA BR. 6/A, ZAGREB</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Na temelju sporazuma radi osiguranja novčane tražbine zasnivanjem založnog prava na nekretnini od 10. prosinca 2009. godine, uknjižuje se založno pravo radi osiguranja novčane tražbine, u iznosu od 142.570.096,50 HRK odnosno protuvrijednost 19.500.000,00 EUR-a po srednjem tečaju HNB-a na dan sastavljanja ugovora, uvećano za iznos ugovorene kamate te interkalarne kamate za period odgode plaćanja, kao i eventualne zatezne kamate i sve eventualne troškove, za korist: </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ALPE-ADRIA POSLOVODSTVO D.O.O., OIB:99488126785, SLAVONSKA AVENIJA BR. 6/A, ZAGREB</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Ugovora o međusobnom poslovnom odnosu, pristupu dugu i zasnivanju založnog prava od 25. svibnja 2012. godine, uknjižuje se založno pravo u iznosu od 46.900.000,00 kn s ugovorenim naknadama, troškovima i kamatama u visini od 9,50% za korist:</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DALEKOVOD D.D., OIB:4791124222, ZAGREB, ULICA MARIJANA ČAVIĆA 4</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4.</w:t>
      </w:r>
      <w:r w:rsidRPr="00B608F4">
        <w:rPr>
          <w:rFonts w:eastAsia="Times New Roman" w:hAnsi="Bookman Old Style" w:ascii="Bookman Old Style"/>
          <w:sz w:val="24"/>
          <w:szCs w:val="24"/>
          <w:lang w:eastAsia="hr-HR"/>
        </w:rPr>
        <w:tab/>
        <w:t>Nekretnina upisana u zemljišnu knjigu zemljišnoknjižnog odjela ZAGREB, Općinski građanski sud u Zagrebu, z.k.ul. 6713, k.o. 335606 VRAPČE i to ORANICA I PUT PETELIŠĆE U OPATOVINI, ukupno površine 500čhv, sagrađena na kat. čest. 401/2 k.o. Vrapče i to: suvlasnički dio: 87/100</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sporazuma radi soiguranja novčanih tražbina zasnivanjem založnog prava na nekretninama od 09.04.2010. godine, uknjižuje se založno pravo u iznosu od 4.500,000,00 EUR sa svim ugovorenim uvjetima i potraživanjima, za korist:</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ZVEZA BANK REGIONALNA ZADRUGA Z OMEJENIM JAMSTVOM, BANK UND REVISIONSVERBAND, OIB: 24250429800, GEN.M.B.H., PAULITSCHGASSE 5-7, A-9010 KLAGENFURT/CELOVEC</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Na temelju sporazuma radi osiguranja novčane tražbine zasnivanjem založnog prava na nekretninama od 12. ožujka 2012. godine (OV-4710/2012) i povijesnog izvatka iz sudskog registra Trgovačkog suda u Zagrebu od 15. ožujka 2012. godine, uknjižuje se založno pravo radi osiguranja novčane tražbine u iznosu od 142.570.096,50 HRK odnosno protuvrijednost 19.500.000,00 EUR-a po srednjem tečaju HNB-a na dan sastavljanja ugovora, uvećano za iznos ugovorene kamate, interkalarne kamate, eventualne zatezne kamate i sve eventualne ostale troškove, za korist: </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ALPE-ADRIA POSLOVODSTVO D.O.O., OIB:99488126785, SLAVONSKA AVENIJA BR. 6/A, ZAGREB</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5.</w:t>
      </w:r>
      <w:r w:rsidRPr="00B608F4">
        <w:rPr>
          <w:rFonts w:eastAsia="Times New Roman" w:hAnsi="Bookman Old Style" w:ascii="Bookman Old Style"/>
          <w:sz w:val="24"/>
          <w:szCs w:val="24"/>
          <w:lang w:eastAsia="hr-HR"/>
        </w:rPr>
        <w:tab/>
        <w:t>Nekretnina upisana u zemljišnu knjigu zemljišnoknjižnog odjela ZAGREB, Općinski građanski sud u Zagrebu, z.k.ul. 10340, k.o. 335606 VRAPČE i to ORANICA površine 171 čhv, sagrađena na kat. čest. 401/3 k.o. Vrapče i to: suvlasnički dio: 2/57</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Sporazuma radi osiguranja novčane tražbine zasnivanjem založnog prava na nekretnini od 28.12.2007. godine, uknjižuje se založno pravo u iznosu od 142.570.096,50 kuna s pripadajućim kamatama, naknadama i drugim troškovima, za korist:</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ALPE-ADRIA POSLOVODSTVO D.O.O., OIB:99488126785, SLAVONSKA AVENIJA BR. 6/A, ZAGREB</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Temeljem Ugovora o međusobnom poslovnom odnosu, pristupu dugu i zasnivanju založnog prava od 25. svibnja 2012. godine, uknjižuje se založno </w:t>
      </w:r>
      <w:r w:rsidRPr="00B608F4">
        <w:rPr>
          <w:rFonts w:eastAsia="Times New Roman" w:hAnsi="Bookman Old Style" w:ascii="Bookman Old Style"/>
          <w:sz w:val="24"/>
          <w:szCs w:val="24"/>
          <w:lang w:eastAsia="hr-HR"/>
        </w:rPr>
        <w:lastRenderedPageBreak/>
        <w:t>pravo u iznosu od 46.900.000,00 kn s ugovorenim naknadama, troškovima i kamatama u visini od 9,50% za korist:</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DALEKOVOD D.D., OIB:4791124222, ZAGREB, ULICA MARIJANA ČAVIĆA 4</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7A0A51">
      <w:pPr>
        <w:numPr>
          <w:ilvl w:val="0"/>
          <w:numId w:val="1"/>
        </w:numPr>
        <w:tabs>
          <w:tab w:pos="708" w:val="left"/>
          <w:tab w:pos="4153" w:val="center"/>
          <w:tab w:pos="8306" w:val="right"/>
        </w:tabs>
        <w:spacing w:after="0"/>
        <w:jc w:val="both"/>
        <w:rPr>
          <w:rFonts w:eastAsia="Times New Roman" w:hAnsi="Bookman Old Style" w:ascii="Bookman Old Style"/>
          <w:b/>
          <w:sz w:val="24"/>
          <w:szCs w:val="24"/>
          <w:lang w:eastAsia="hr-HR"/>
        </w:rPr>
      </w:pPr>
      <w:r w:rsidRPr="007A0A51">
        <w:rPr>
          <w:rFonts w:eastAsia="Times New Roman" w:hAnsi="Bookman Old Style" w:ascii="Bookman Old Style"/>
          <w:b/>
          <w:sz w:val="24"/>
          <w:szCs w:val="24"/>
          <w:lang w:eastAsia="hr-HR"/>
        </w:rPr>
        <w:t>POKRETNINE</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Stečajni dužnik nema evidentiranih pokretnina.</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7A0A51">
      <w:pPr>
        <w:numPr>
          <w:ilvl w:val="0"/>
          <w:numId w:val="1"/>
        </w:numPr>
        <w:tabs>
          <w:tab w:pos="708" w:val="left"/>
          <w:tab w:pos="4153" w:val="center"/>
          <w:tab w:pos="8306" w:val="right"/>
        </w:tabs>
        <w:spacing w:after="0"/>
        <w:jc w:val="both"/>
        <w:rPr>
          <w:rFonts w:eastAsia="Times New Roman" w:hAnsi="Bookman Old Style" w:ascii="Bookman Old Style"/>
          <w:b/>
          <w:sz w:val="24"/>
          <w:szCs w:val="24"/>
          <w:lang w:eastAsia="hr-HR"/>
        </w:rPr>
      </w:pPr>
      <w:r w:rsidRPr="007A0A51">
        <w:rPr>
          <w:rFonts w:eastAsia="Times New Roman" w:hAnsi="Bookman Old Style" w:ascii="Bookman Old Style"/>
          <w:b/>
          <w:sz w:val="24"/>
          <w:szCs w:val="24"/>
          <w:lang w:eastAsia="hr-HR"/>
        </w:rPr>
        <w:t>POSTUPCI U TIJEKU</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sidRPr="007A0A51">
        <w:rPr>
          <w:rFonts w:eastAsia="Times New Roman" w:hAnsi="Bookman Old Style" w:ascii="Bookman Old Style"/>
          <w:b/>
          <w:sz w:val="24"/>
          <w:szCs w:val="24"/>
          <w:lang w:eastAsia="hr-HR"/>
        </w:rPr>
        <w:t>1.Ovr-3095/17</w:t>
      </w:r>
      <w:r w:rsidRPr="007A0A51">
        <w:rPr>
          <w:rFonts w:eastAsia="Times New Roman" w:hAnsi="Bookman Old Style" w:ascii="Bookman Old Style"/>
          <w:sz w:val="24"/>
          <w:szCs w:val="24"/>
          <w:lang w:eastAsia="hr-HR"/>
        </w:rPr>
        <w:t xml:space="preserve">; ovrhovoditelj: Alpe Adria poslovodstvo d.o.o., Zagreb, Slavonska avenija 6, OIB:99488126785 protiv 1. ovršenika Opatovina projekt d.o.o., Sesvete, Primorska 5, OIB:75108231896, 2. ovršenika  Sigillum nekretnine d.o.o., Sesvete, Primorska 5, OIB:67754108755, 3. ovršenika Flammula Nekretnine d.o.o., Sesvete, Primorska 5, OIB:57849965874, 4. ovršenika Matara Nekretnine d.o.o., Sesvete, Primorska 5, OIB:40282800740, 5. ovršenika Expugnator Nekretnine d.o.o., Sesvete, Primorska 5, OIB:07150709785, 6. ovršenika Fames Nekretnine d.o.o., Sesvete, Primorska 5, OIB:62507984293, 7. ovršenika Aequus Nekretnine d.o.o., Sesvete, Primorska 5, OIB:06995717336, 8. ovršenika Moneris Nekretnine d.o.o., Sesvete, Primorska 5, OIB:14006247481, 9. ovršenika Finiens Nekretnine d.o.o., Sesvete, Primorska 5, OIB:90242947323, 10. ovršenika Curis Nekretnine d.o.o., Sesvete, Primorska 5, OIB:33643051325 i 11. ovršenika Danice Vrabec iz Zagreba, Savska Opatovina 1, odvojak broj 6, OIB:43113919060, radi ovrhe, </w:t>
      </w:r>
      <w:r w:rsidRPr="00AD3353">
        <w:rPr>
          <w:rFonts w:eastAsia="Times New Roman" w:hAnsi="Bookman Old Style" w:ascii="Bookman Old Style"/>
          <w:sz w:val="24"/>
          <w:szCs w:val="24"/>
          <w:u w:val="single"/>
          <w:lang w:eastAsia="hr-HR"/>
        </w:rPr>
        <w:t>od 19. travnja 2017. godine</w:t>
      </w:r>
      <w:r w:rsidRPr="007A0A51">
        <w:rPr>
          <w:rFonts w:eastAsia="Times New Roman" w:hAnsi="Bookman Old Style" w:ascii="Bookman Old Style"/>
          <w:sz w:val="24"/>
          <w:szCs w:val="24"/>
          <w:lang w:eastAsia="hr-HR"/>
        </w:rPr>
        <w:t>, kojim je Općinski građanski sud u Zagrebu utvrdio prekid postupka u ovoj pravnoj stvari budući da je nad 6. ovršenikom Fames nekretnine d.o.o. otvoren stečajni postupak, pozvao stečajnog upravitelja 6. ovršenika Pavao Grizelj iz Zagreba, Dragutina Golika 34, OIB:71007328639 da preuzme postupak u ovoj pravnoj stvari, te se nastavlja postupak u ovoj pravnoj stvari.</w:t>
      </w:r>
    </w:p>
    <w:p w:rsidRDefault="00AD3353" w:rsidP="00AD3353" w:rsidR="00AD3353" w:rsidRPr="007A0A5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E414E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b/>
          <w:sz w:val="24"/>
          <w:szCs w:val="24"/>
          <w:lang w:eastAsia="hr-HR"/>
        </w:rPr>
        <w:t>2</w:t>
      </w:r>
      <w:r w:rsidR="00AD3353" w:rsidRPr="007A0A51">
        <w:rPr>
          <w:rFonts w:eastAsia="Times New Roman" w:hAnsi="Bookman Old Style" w:ascii="Bookman Old Style"/>
          <w:b/>
          <w:sz w:val="24"/>
          <w:szCs w:val="24"/>
          <w:lang w:eastAsia="hr-HR"/>
        </w:rPr>
        <w:t>.Ovr-2507/13;</w:t>
      </w:r>
      <w:r w:rsidR="00AD3353" w:rsidRPr="007A0A51">
        <w:rPr>
          <w:rFonts w:eastAsia="Times New Roman" w:hAnsi="Bookman Old Style" w:ascii="Bookman Old Style"/>
          <w:sz w:val="24"/>
          <w:szCs w:val="24"/>
          <w:lang w:eastAsia="hr-HR"/>
        </w:rPr>
        <w:t xml:space="preserve"> ovrhovoditelj: Alpe Adria poslovodstvo d.o.o., Zagreb, Slavonska avenija 6, OIB:99488126785 protiv 1. ovršenika Opatovina projekt d.o.o., Sesvete, Primorska 5, OIB:75108231896, 2. ovršenika  Sigillum nekretnine d.o.o., Sesvete, Primorska 5, OIB:67754108755, 3. ovršenika Flammula Nekretnine d.o.o., Sesvete, Primorska 5, OIB:57849965874, 4. ovršenika Matara Nekretnine d.o.o., Sesvete, Primorska 5, OIB:40282800740, 5. ovršenika Expugnator Nekretnine d.o.o., Sesvete, Primorska 5, OIB:07150709785, 6. ovršenika Fames Nekretnine d.o.o., Sesvete, Primorska 5, OIB:62507984293, 7. ovršenika Aequus Nekretnine d.o.o., Sesvete, Primorska 5, OIB:06995717336, 8. ovršenika Moneris Nekretnine d.o.o., Sesvete, Primorska 5, OIB:14006247481, 9. ovršenika Finiens Nekretnine d.o.o., Sesvete, Primorska 5, OIB:90242947323, 10. ovršenika Curis Nekretnine d.o.o., Sesvete, </w:t>
      </w:r>
      <w:r w:rsidR="00AD3353" w:rsidRPr="007A0A51">
        <w:rPr>
          <w:rFonts w:eastAsia="Times New Roman" w:hAnsi="Bookman Old Style" w:ascii="Bookman Old Style"/>
          <w:sz w:val="24"/>
          <w:szCs w:val="24"/>
          <w:lang w:eastAsia="hr-HR"/>
        </w:rPr>
        <w:lastRenderedPageBreak/>
        <w:t xml:space="preserve">Primorska 5, OIB:33643051325 i 11. ovršenika Danice Vrabec iz Zagreba, Savska Opatovina 1, odvojak broj 6, OIB:43113919060, radi ovrhe na nekretninama ovršenika, </w:t>
      </w:r>
      <w:r w:rsidR="00AD3353" w:rsidRPr="00AD3353">
        <w:rPr>
          <w:rFonts w:eastAsia="Times New Roman" w:hAnsi="Bookman Old Style" w:ascii="Bookman Old Style"/>
          <w:sz w:val="24"/>
          <w:szCs w:val="24"/>
          <w:u w:val="single"/>
          <w:lang w:eastAsia="hr-HR"/>
        </w:rPr>
        <w:t>od 30. ožujka 2017. godine</w:t>
      </w:r>
      <w:r w:rsidR="00AD3353" w:rsidRPr="007A0A51">
        <w:rPr>
          <w:rFonts w:eastAsia="Times New Roman" w:hAnsi="Bookman Old Style" w:ascii="Bookman Old Style"/>
          <w:sz w:val="24"/>
          <w:szCs w:val="24"/>
          <w:lang w:eastAsia="hr-HR"/>
        </w:rPr>
        <w:t>, kojim je Općinski sud u Zagrebu odredio spajanje spisa; poslovni broj Ovr-2131/14 na spis Ovr-2507/13.</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9F5AB7">
      <w:pPr>
        <w:tabs>
          <w:tab w:pos="708" w:val="left"/>
          <w:tab w:pos="4153" w:val="center"/>
          <w:tab w:pos="8306" w:val="right"/>
        </w:tabs>
        <w:spacing w:after="0"/>
        <w:jc w:val="both"/>
        <w:rPr>
          <w:rFonts w:eastAsia="Times New Roman" w:hAnsi="Bookman Old Style" w:ascii="Bookman Old Style"/>
          <w:b/>
          <w:sz w:val="24"/>
          <w:szCs w:val="24"/>
          <w:lang w:eastAsia="hr-HR"/>
        </w:rPr>
      </w:pPr>
      <w:r w:rsidRPr="009F5AB7">
        <w:rPr>
          <w:rFonts w:eastAsia="Times New Roman" w:hAnsi="Bookman Old Style" w:ascii="Bookman Old Style"/>
          <w:sz w:val="24"/>
          <w:szCs w:val="24"/>
          <w:lang w:eastAsia="hr-HR"/>
        </w:rPr>
        <w:t xml:space="preserve">Dana </w:t>
      </w:r>
      <w:r w:rsidR="009F5AB7" w:rsidRPr="009F5AB7">
        <w:rPr>
          <w:rFonts w:eastAsia="Times New Roman" w:hAnsi="Bookman Old Style" w:ascii="Bookman Old Style"/>
          <w:sz w:val="24"/>
          <w:szCs w:val="24"/>
          <w:lang w:eastAsia="hr-HR"/>
        </w:rPr>
        <w:t xml:space="preserve">10. svibnja </w:t>
      </w:r>
      <w:r w:rsidRPr="009F5AB7">
        <w:rPr>
          <w:rFonts w:eastAsia="Times New Roman" w:hAnsi="Bookman Old Style" w:ascii="Bookman Old Style"/>
          <w:sz w:val="24"/>
          <w:szCs w:val="24"/>
          <w:lang w:eastAsia="hr-HR"/>
        </w:rPr>
        <w:t>2018. godine uvidom u spis, utvrdili smo da je izvršen priklop spi</w:t>
      </w:r>
      <w:r w:rsidR="00E414E3">
        <w:rPr>
          <w:rFonts w:eastAsia="Times New Roman" w:hAnsi="Bookman Old Style" w:ascii="Bookman Old Style"/>
          <w:sz w:val="24"/>
          <w:szCs w:val="24"/>
          <w:lang w:eastAsia="hr-HR"/>
        </w:rPr>
        <w:t>sa ovršnog predmeta pod točkom 2. na predmet pod točkom 1</w:t>
      </w:r>
      <w:r w:rsidRPr="009F5AB7">
        <w:rPr>
          <w:rFonts w:eastAsia="Times New Roman" w:hAnsi="Bookman Old Style" w:ascii="Bookman Old Style"/>
          <w:sz w:val="24"/>
          <w:szCs w:val="24"/>
          <w:lang w:eastAsia="hr-HR"/>
        </w:rPr>
        <w:t xml:space="preserve">., te je formiran novi broj spisa za ta dva predmeta pod poslovnim brojem </w:t>
      </w:r>
      <w:r w:rsidR="009F5AB7">
        <w:rPr>
          <w:rFonts w:eastAsia="Times New Roman" w:hAnsi="Bookman Old Style" w:ascii="Bookman Old Style"/>
          <w:b/>
          <w:sz w:val="24"/>
          <w:szCs w:val="24"/>
          <w:lang w:eastAsia="hr-HR"/>
        </w:rPr>
        <w:t>Ovr-</w:t>
      </w:r>
      <w:r w:rsidRPr="009F5AB7">
        <w:rPr>
          <w:rFonts w:eastAsia="Times New Roman" w:hAnsi="Bookman Old Style" w:ascii="Bookman Old Style"/>
          <w:b/>
          <w:sz w:val="24"/>
          <w:szCs w:val="24"/>
          <w:lang w:eastAsia="hr-HR"/>
        </w:rPr>
        <w:t>4790/17.</w:t>
      </w:r>
    </w:p>
    <w:p w:rsidRDefault="00AD3353" w:rsidP="00AD3353" w:rsidR="00AD3353">
      <w:pPr>
        <w:tabs>
          <w:tab w:pos="708" w:val="left"/>
          <w:tab w:pos="4153" w:val="center"/>
          <w:tab w:pos="8306" w:val="right"/>
        </w:tabs>
        <w:spacing w:after="0"/>
        <w:jc w:val="both"/>
        <w:rPr>
          <w:rFonts w:eastAsia="Times New Roman" w:hAnsi="Bookman Old Style" w:ascii="Bookman Old Style"/>
          <w:b/>
          <w:sz w:val="24"/>
          <w:szCs w:val="24"/>
          <w:u w:val="single"/>
          <w:lang w:eastAsia="hr-HR"/>
        </w:rPr>
      </w:pPr>
    </w:p>
    <w:p w:rsidRDefault="00AD3353" w:rsidP="00AD3353" w:rsidR="00AD3353" w:rsidRPr="0054536C">
      <w:pPr>
        <w:tabs>
          <w:tab w:pos="708" w:val="left"/>
          <w:tab w:pos="4153" w:val="center"/>
          <w:tab w:pos="8306" w:val="right"/>
        </w:tabs>
        <w:spacing w:after="0"/>
        <w:jc w:val="both"/>
        <w:rPr>
          <w:rFonts w:eastAsia="Times New Roman" w:hAnsi="Bookman Old Style" w:ascii="Bookman Old Style"/>
          <w:sz w:val="24"/>
          <w:szCs w:val="24"/>
          <w:u w:val="single"/>
          <w:lang w:eastAsia="hr-HR"/>
        </w:rPr>
      </w:pPr>
      <w:r w:rsidRPr="0054536C">
        <w:rPr>
          <w:rFonts w:eastAsia="Times New Roman" w:hAnsi="Bookman Old Style" w:ascii="Bookman Old Style"/>
          <w:sz w:val="24"/>
          <w:szCs w:val="24"/>
          <w:u w:val="single"/>
          <w:lang w:eastAsia="hr-HR"/>
        </w:rPr>
        <w:t>Radnje:</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r w:rsidRPr="00C61DFB">
        <w:rPr>
          <w:rFonts w:eastAsia="Times New Roman" w:hAnsi="Bookman Old Style" w:ascii="Bookman Old Style"/>
          <w:sz w:val="24"/>
          <w:szCs w:val="24"/>
          <w:u w:val="single"/>
          <w:lang w:eastAsia="hr-HR"/>
        </w:rPr>
        <w:t>18. rujna 2013</w:t>
      </w:r>
      <w:r>
        <w:rPr>
          <w:rFonts w:eastAsia="Times New Roman" w:hAnsi="Bookman Old Style" w:ascii="Bookman Old Style"/>
          <w:sz w:val="24"/>
          <w:szCs w:val="24"/>
          <w:lang w:eastAsia="hr-HR"/>
        </w:rPr>
        <w:t xml:space="preserve">. godine ovrhovoditelj je podnio </w:t>
      </w:r>
      <w:r w:rsidRPr="00C61DFB">
        <w:rPr>
          <w:rFonts w:eastAsia="Times New Roman" w:hAnsi="Bookman Old Style" w:ascii="Bookman Old Style"/>
          <w:sz w:val="24"/>
          <w:szCs w:val="24"/>
          <w:u w:val="single"/>
          <w:lang w:eastAsia="hr-HR"/>
        </w:rPr>
        <w:t>Prijedlog za ovrhu</w:t>
      </w:r>
      <w:r>
        <w:rPr>
          <w:rFonts w:eastAsia="Times New Roman" w:hAnsi="Bookman Old Style" w:ascii="Bookman Old Style"/>
          <w:sz w:val="24"/>
          <w:szCs w:val="24"/>
          <w:lang w:eastAsia="hr-HR"/>
        </w:rPr>
        <w:t xml:space="preserve"> na temelju ovršne isprave na nekretnini protiv gore navedenih ovršenika sa zahtjevom određivanja ovrhe na nekretninama u vlasništvu predmetnih društva, na temelju običnih zadužnica izdanih od strane svakog od ovršenika, i to zabilježbom ovrhe u zemljišnim knjigama, utvrđenjem vrijednosti nekretnine i namirenjem ovrhovoditelja iz iznosa dobivenog prodajom.</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r w:rsidRPr="00C61DFB">
        <w:rPr>
          <w:rFonts w:eastAsia="Times New Roman" w:hAnsi="Bookman Old Style" w:ascii="Bookman Old Style"/>
          <w:sz w:val="24"/>
          <w:szCs w:val="24"/>
          <w:u w:val="single"/>
          <w:lang w:eastAsia="hr-HR"/>
        </w:rPr>
        <w:t>07. lipnja 2017</w:t>
      </w:r>
      <w:r>
        <w:rPr>
          <w:rFonts w:eastAsia="Times New Roman" w:hAnsi="Bookman Old Style" w:ascii="Bookman Old Style"/>
          <w:sz w:val="24"/>
          <w:szCs w:val="24"/>
          <w:lang w:eastAsia="hr-HR"/>
        </w:rPr>
        <w:t>. godine održano je ročište na Općinskom građanskom sudu u Zagrebu, na kojem je ovrhovoditelj priložio sudu Nalaz i mišljenje ZANE nekretnine o tržišnoj vrijednosti predmetnih nekretnina i obvezao se dostaviti po jedan primjerak svakom od ovršenika.</w:t>
      </w:r>
    </w:p>
    <w:p w:rsidRDefault="00AD3353" w:rsidP="00AD3353" w:rsidR="00AD3353" w:rsidRP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r w:rsidRPr="00DF0AE5">
        <w:rPr>
          <w:rFonts w:eastAsia="Times New Roman" w:hAnsi="Bookman Old Style" w:ascii="Bookman Old Style"/>
          <w:sz w:val="24"/>
          <w:szCs w:val="24"/>
          <w:u w:val="single"/>
          <w:lang w:eastAsia="hr-HR"/>
        </w:rPr>
        <w:t>19. srpnja 2017</w:t>
      </w:r>
      <w:r>
        <w:rPr>
          <w:rFonts w:eastAsia="Times New Roman" w:hAnsi="Bookman Old Style" w:ascii="Bookman Old Style"/>
          <w:sz w:val="24"/>
          <w:szCs w:val="24"/>
          <w:lang w:eastAsia="hr-HR"/>
        </w:rPr>
        <w:t xml:space="preserve">. godine ovrhovoditelj je Podneskom sudu dostavio na spis procjembeni elaborat za nekretnine koje su predmet ovrhe u 12 primjeraka, jedan za sud i po jedan za svakog od ovršenika. </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r w:rsidRPr="00901DDF">
        <w:rPr>
          <w:rFonts w:eastAsia="Times New Roman" w:hAnsi="Bookman Old Style" w:ascii="Bookman Old Style"/>
          <w:sz w:val="24"/>
          <w:szCs w:val="24"/>
          <w:u w:val="single"/>
          <w:lang w:eastAsia="hr-HR"/>
        </w:rPr>
        <w:t>24. srpnja 2017</w:t>
      </w:r>
      <w:r>
        <w:rPr>
          <w:rFonts w:eastAsia="Times New Roman" w:hAnsi="Bookman Old Style" w:ascii="Bookman Old Style"/>
          <w:sz w:val="24"/>
          <w:szCs w:val="24"/>
          <w:lang w:eastAsia="hr-HR"/>
        </w:rPr>
        <w:t>. godine Općinski građanski sud u Zagrebu donio je rješenje kojim je utvrdio prekid postupka u ovoj pravnoj stvari budući da je nad 8.-ovršenikom MONERIS NEKRETNINE d.o.o. otvoren stečajni postupak; pozvao stečajnog upravitelja Davorku Huljev da preuzme postupak u ovoj pravnoj stvari; i nastavio postupak u ovoj pravnoj stvari.</w:t>
      </w:r>
    </w:p>
    <w:p w:rsidRDefault="00AD3353" w:rsidP="00AD3353" w:rsidR="00AD3353" w:rsidRPr="0054536C">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r w:rsidRPr="00C61DFB">
        <w:rPr>
          <w:rFonts w:eastAsia="Times New Roman" w:hAnsi="Bookman Old Style" w:ascii="Bookman Old Style"/>
          <w:sz w:val="24"/>
          <w:szCs w:val="24"/>
          <w:u w:val="single"/>
          <w:lang w:eastAsia="hr-HR"/>
        </w:rPr>
        <w:t xml:space="preserve">18. </w:t>
      </w:r>
      <w:r>
        <w:rPr>
          <w:rFonts w:eastAsia="Times New Roman" w:hAnsi="Bookman Old Style" w:ascii="Bookman Old Style"/>
          <w:sz w:val="24"/>
          <w:szCs w:val="24"/>
          <w:u w:val="single"/>
          <w:lang w:eastAsia="hr-HR"/>
        </w:rPr>
        <w:t>prosinc</w:t>
      </w:r>
      <w:r w:rsidRPr="00C61DFB">
        <w:rPr>
          <w:rFonts w:eastAsia="Times New Roman" w:hAnsi="Bookman Old Style" w:ascii="Bookman Old Style"/>
          <w:sz w:val="24"/>
          <w:szCs w:val="24"/>
          <w:u w:val="single"/>
          <w:lang w:eastAsia="hr-HR"/>
        </w:rPr>
        <w:t>a 201</w:t>
      </w:r>
      <w:r>
        <w:rPr>
          <w:rFonts w:eastAsia="Times New Roman" w:hAnsi="Bookman Old Style" w:ascii="Bookman Old Style"/>
          <w:sz w:val="24"/>
          <w:szCs w:val="24"/>
          <w:u w:val="single"/>
          <w:lang w:eastAsia="hr-HR"/>
        </w:rPr>
        <w:t>7</w:t>
      </w:r>
      <w:r>
        <w:rPr>
          <w:rFonts w:eastAsia="Times New Roman" w:hAnsi="Bookman Old Style" w:ascii="Bookman Old Style"/>
          <w:sz w:val="24"/>
          <w:szCs w:val="24"/>
          <w:lang w:eastAsia="hr-HR"/>
        </w:rPr>
        <w:t xml:space="preserve">. godine ovrhovoditelj je podnio </w:t>
      </w:r>
      <w:r w:rsidRPr="00901DDF">
        <w:rPr>
          <w:rFonts w:eastAsia="Times New Roman" w:hAnsi="Bookman Old Style" w:ascii="Bookman Old Style"/>
          <w:sz w:val="24"/>
          <w:szCs w:val="24"/>
          <w:u w:val="single"/>
          <w:lang w:eastAsia="hr-HR"/>
        </w:rPr>
        <w:t>Podnesak</w:t>
      </w:r>
      <w:r>
        <w:rPr>
          <w:rFonts w:eastAsia="Times New Roman" w:hAnsi="Bookman Old Style" w:ascii="Bookman Old Style"/>
          <w:sz w:val="24"/>
          <w:szCs w:val="24"/>
          <w:lang w:eastAsia="hr-HR"/>
        </w:rPr>
        <w:t xml:space="preserve"> sudu kojim požuruje postupanje suda te predlaže nastavak ovog postupka utvrđivanjem vrijednosti nekretnina koje su predmet ovrhe, sve sukladno podacima koji su dostavljeni na spis predmeta, uz zahtjev za zakazivanjem dražbenog ročišta.</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7A0A5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E414E3" w:rsidP="00AD3353" w:rsidR="00AD3353" w:rsidRPr="007A0A51">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b/>
          <w:sz w:val="24"/>
          <w:szCs w:val="24"/>
          <w:lang w:eastAsia="hr-HR"/>
        </w:rPr>
        <w:t>3</w:t>
      </w:r>
      <w:r w:rsidR="00AD3353" w:rsidRPr="007A0A51">
        <w:rPr>
          <w:rFonts w:eastAsia="Times New Roman" w:hAnsi="Bookman Old Style" w:ascii="Bookman Old Style"/>
          <w:b/>
          <w:sz w:val="24"/>
          <w:szCs w:val="24"/>
          <w:lang w:eastAsia="hr-HR"/>
        </w:rPr>
        <w:t>.Ovr-2508/13</w:t>
      </w:r>
      <w:r w:rsidR="00AD3353" w:rsidRPr="007A0A51">
        <w:rPr>
          <w:rFonts w:eastAsia="Times New Roman" w:hAnsi="Bookman Old Style" w:ascii="Bookman Old Style"/>
          <w:sz w:val="24"/>
          <w:szCs w:val="24"/>
          <w:lang w:eastAsia="hr-HR"/>
        </w:rPr>
        <w:t>; ovrhovoditelj: Alpe Adria poslovodstvo d.o.o., protiv 1. ovršenika Opatovina projekt, 2. ovršenikaMatara Nekretnine d.o.o., 3. ovršenika Expugnator Nekretnine d.o.o., 4. ovršenika Fames Nekretnine d.o.o., 5. ovršenika Aequus Nekretnine d.o.o., 6. ovršenikaMoneris Nekretnine d.o.o., 7. ovršenikaFiniens Nekretnine d.o.o., 8. ovršenika Curis Nekretnine d.o.o., radi ovrhe, od 30. ožujka 2016. godine, kojim je Općinski građanski sud u Zagrebu utvrdio prekid postupka u ovoj pravnoj stvari u odnosu na 4. ovršenika, oglasio se stvarno nenadležnim za postupanje u ovoj pravnoj stvari u odnosu na 4. ovršenika, te predmet ustupa Trgovačkom sudu u Zagrebu kao stvarno nadležnom sudu.</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sidRPr="007A0A51">
        <w:rPr>
          <w:rFonts w:eastAsia="Times New Roman" w:hAnsi="Bookman Old Style" w:ascii="Bookman Old Style"/>
          <w:sz w:val="24"/>
          <w:szCs w:val="24"/>
          <w:lang w:eastAsia="hr-HR"/>
        </w:rPr>
        <w:lastRenderedPageBreak/>
        <w:t>-Ovr-2508/13; ovrhovoditelj: Alpe Adria poslovodstvo d.o.o., protiv 1. ovršenika Opatovina projekt, 2. ovršenikaMatara Nekretnine d.o.o., 3. ovršenika Expugnator Nekretnine d.o.o., 4. ovršenika Fames Nekretnine d.o.o., 5. ovršenika Aequus Nekretnine d.o.o., 6. ovršenikaMoneris Nekretnine d.o.o., 7. ovršenikaFiniens Nekretnine d.o.o., 8. ovršenika Curis Nekretnine d.o.o., radi ovrhe, od 29. rujna 2016. godine, kojim je Općinski građanski sud u Zagrebu pozvao stečajnog upravitelja 4. ovršenika Zdravka Krznara iz Zagreba, Sveti duh 123, OIB:50405381305, da preuzme postupak, te da se postupak nastavlja.</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U ovom postupku e</w:t>
      </w:r>
      <w:r w:rsidRPr="00F7283A">
        <w:rPr>
          <w:rFonts w:eastAsia="Times New Roman" w:hAnsi="Bookman Old Style" w:ascii="Bookman Old Style"/>
          <w:sz w:val="24"/>
          <w:szCs w:val="24"/>
          <w:lang w:eastAsia="hr-HR"/>
        </w:rPr>
        <w:t>laboratom o procijeni tržišne vrijednosti nekretnina, od lipnja 2016. godine, kojeg je izradio Andrej Babić, dipl.ing.građ., Jadranovo d.o.o., ukupna vrijednost udjela zemljišta u kunama iznosi:</w:t>
      </w: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ab/>
        <w:t xml:space="preserve">-za nekretninu upisanu u zemljišnu knjigu zemljišnoknjižnog odjela ZAGREB, Općinski građanski sud u Zagrebu, </w:t>
      </w:r>
      <w:r w:rsidRPr="009F5AB7">
        <w:rPr>
          <w:rFonts w:eastAsia="Times New Roman" w:hAnsi="Bookman Old Style" w:ascii="Bookman Old Style"/>
          <w:sz w:val="24"/>
          <w:szCs w:val="24"/>
          <w:lang w:eastAsia="hr-HR"/>
        </w:rPr>
        <w:t>z.k.ul. 17734, k.o.</w:t>
      </w:r>
      <w:r w:rsidRPr="00F7283A">
        <w:rPr>
          <w:rFonts w:eastAsia="Times New Roman" w:hAnsi="Bookman Old Style" w:ascii="Bookman Old Style"/>
          <w:sz w:val="24"/>
          <w:szCs w:val="24"/>
          <w:lang w:eastAsia="hr-HR"/>
        </w:rPr>
        <w:t xml:space="preserve">  GRAD ZAGREB i to ORANICA i PUT, SAVSKA OPATOVINA; ORANICA površine 2580m2 i PUT površine 43m2, sagrađena na kat. čest. 365 k.o. Vrapče – 2.094,317,00kn</w:t>
      </w: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MONERIS NEKRETNINE d.o.o.: suvlasnički dio: 73/782</w:t>
      </w: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ab/>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 xml:space="preserve">-za nekretninu upisanu u zemljišnu knjigu zemljišnoknjižnog odjela ZAGREB, Općinski građanski sud u Zagrebu, </w:t>
      </w:r>
      <w:r w:rsidRPr="009F5AB7">
        <w:rPr>
          <w:rFonts w:eastAsia="Times New Roman" w:hAnsi="Bookman Old Style" w:ascii="Bookman Old Style"/>
          <w:sz w:val="24"/>
          <w:szCs w:val="24"/>
          <w:lang w:eastAsia="hr-HR"/>
        </w:rPr>
        <w:t>z.k.ul. 6713</w:t>
      </w:r>
      <w:r w:rsidRPr="00F7283A">
        <w:rPr>
          <w:rFonts w:eastAsia="Times New Roman" w:hAnsi="Bookman Old Style" w:ascii="Bookman Old Style"/>
          <w:sz w:val="24"/>
          <w:szCs w:val="24"/>
          <w:lang w:eastAsia="hr-HR"/>
        </w:rPr>
        <w:t>, k.o. 335606 VRAPČE i to ORANICA I PUT PETELIŠĆE U OPATOVINI, ukupno površine 500 čhv, sagrađena na kat. čest. 401</w:t>
      </w:r>
      <w:r>
        <w:rPr>
          <w:rFonts w:eastAsia="Times New Roman" w:hAnsi="Bookman Old Style" w:ascii="Bookman Old Style"/>
          <w:sz w:val="24"/>
          <w:szCs w:val="24"/>
          <w:lang w:eastAsia="hr-HR"/>
        </w:rPr>
        <w:t>/2 k.o. Vrapče – 2.235,120,00kn</w:t>
      </w: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MONERIS NEKRETNINE: d.o.o.:suvlasnički dio: 87/100</w:t>
      </w: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 xml:space="preserve">-Očitovanjem ovršenika Opatovina projekt d.o.o, Matara Nekretnine d.o.o., Expugnator Nekretnine d.o.o.,Fames Nekretnine d.o.o., Aequus Nekretnine d.o.o., Moneris Nekretnine d.o.o., Finiens Nekretnine d.o.o.,Curis Nekretnine d.o.o., </w:t>
      </w:r>
      <w:r w:rsidRPr="009F5AB7">
        <w:rPr>
          <w:rFonts w:eastAsia="Times New Roman" w:hAnsi="Bookman Old Style" w:ascii="Bookman Old Style"/>
          <w:sz w:val="24"/>
          <w:szCs w:val="24"/>
          <w:u w:val="single"/>
          <w:lang w:eastAsia="hr-HR"/>
        </w:rPr>
        <w:t>od 14. srpnja 2016. godine</w:t>
      </w:r>
      <w:r>
        <w:rPr>
          <w:rFonts w:eastAsia="Times New Roman" w:hAnsi="Bookman Old Style" w:ascii="Bookman Old Style"/>
          <w:sz w:val="24"/>
          <w:szCs w:val="24"/>
          <w:lang w:eastAsia="hr-HR"/>
        </w:rPr>
        <w:t xml:space="preserve">, ovršenici su predložili </w:t>
      </w:r>
      <w:r w:rsidRPr="00F7283A">
        <w:rPr>
          <w:rFonts w:eastAsia="Times New Roman" w:hAnsi="Bookman Old Style" w:ascii="Bookman Old Style"/>
          <w:sz w:val="24"/>
          <w:szCs w:val="24"/>
          <w:lang w:eastAsia="hr-HR"/>
        </w:rPr>
        <w:t>da se predmetni Nalaz i mišljenje o procjeni tržišne vrijednosti nekretnina od lipnja 2016. godine u cijelosti odbaci.</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 xml:space="preserve">-Odgovorom na podnesak osam ovršenika, </w:t>
      </w:r>
      <w:r w:rsidRPr="009F5AB7">
        <w:rPr>
          <w:rFonts w:eastAsia="Times New Roman" w:hAnsi="Bookman Old Style" w:ascii="Bookman Old Style"/>
          <w:sz w:val="24"/>
          <w:szCs w:val="24"/>
          <w:u w:val="single"/>
          <w:lang w:eastAsia="hr-HR"/>
        </w:rPr>
        <w:t>od 16. rujna 2016. godine</w:t>
      </w:r>
      <w:r w:rsidRPr="00F7283A">
        <w:rPr>
          <w:rFonts w:eastAsia="Times New Roman" w:hAnsi="Bookman Old Style" w:ascii="Bookman Old Style"/>
          <w:sz w:val="24"/>
          <w:szCs w:val="24"/>
          <w:lang w:eastAsia="hr-HR"/>
        </w:rPr>
        <w:t>, stalni sudski vještak Andrej Babić, dipl.ing.građ., a vezano za izrađeni Nalaz i mišljenje o procjeni tržišne vrijednosti nekretnina od lipnja 2016. godine, u c</w:t>
      </w:r>
      <w:r w:rsidR="009F5AB7">
        <w:rPr>
          <w:rFonts w:eastAsia="Times New Roman" w:hAnsi="Bookman Old Style" w:ascii="Bookman Old Style"/>
          <w:sz w:val="24"/>
          <w:szCs w:val="24"/>
          <w:lang w:eastAsia="hr-HR"/>
        </w:rPr>
        <w:t>i</w:t>
      </w:r>
      <w:r w:rsidRPr="00F7283A">
        <w:rPr>
          <w:rFonts w:eastAsia="Times New Roman" w:hAnsi="Bookman Old Style" w:ascii="Bookman Old Style"/>
          <w:sz w:val="24"/>
          <w:szCs w:val="24"/>
          <w:lang w:eastAsia="hr-HR"/>
        </w:rPr>
        <w:t>jelosti ostaje pri izrađenom Nalazu i mišljenju.</w:t>
      </w:r>
    </w:p>
    <w:p w:rsidRDefault="009F5AB7" w:rsidP="00AD3353" w:rsidR="009F5AB7">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r w:rsidRPr="009F5AB7">
        <w:rPr>
          <w:rFonts w:eastAsia="Times New Roman" w:hAnsi="Bookman Old Style" w:ascii="Bookman Old Style"/>
          <w:sz w:val="24"/>
          <w:szCs w:val="24"/>
          <w:u w:val="single"/>
          <w:lang w:eastAsia="hr-HR"/>
        </w:rPr>
        <w:t>15. svibnja 2018. godine</w:t>
      </w:r>
      <w:r>
        <w:rPr>
          <w:rFonts w:eastAsia="Times New Roman" w:hAnsi="Bookman Old Style" w:ascii="Bookman Old Style"/>
          <w:sz w:val="24"/>
          <w:szCs w:val="24"/>
          <w:lang w:eastAsia="hr-HR"/>
        </w:rPr>
        <w:t xml:space="preserve"> Općinski građanski sud u Zagrebu, donio je rješenje pod poslovnim brojem Ovr-2508/13 kojim je utvrdio prekid postupka u odnosu na šestoovršenika Moneris nekretnine d.o.o. – u stečaju, oglasio se stvarno nenadležnim za postupanje u ovoj pravnoj stvari te predmet ustupio Trgovačkom sudu u Zagrebu kao stvarno nadležnom sudu.</w:t>
      </w:r>
    </w:p>
    <w:p w:rsidRDefault="009F5AB7" w:rsidP="00AD3353" w:rsidR="009F5AB7">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9F5AB7" w:rsidP="00AD3353" w:rsidR="009F5AB7">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9F5AB7" w:rsidP="00AD3353" w:rsidR="009F5AB7">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9F5AB7" w:rsidP="00AD3353" w:rsidR="009F5AB7">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9F5AB7" w:rsidP="00AD3353" w:rsidR="009F5AB7">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spacing w:after="0"/>
        <w:jc w:val="both"/>
        <w:rPr>
          <w:rFonts w:eastAsia="Times New Roman" w:hAnsi="Bookman Old Style" w:ascii="Bookman Old Style"/>
          <w:sz w:val="24"/>
          <w:szCs w:val="24"/>
          <w:lang w:eastAsia="hr-HR"/>
        </w:rPr>
      </w:pPr>
    </w:p>
    <w:p w:rsidRDefault="00E414E3" w:rsidP="00AD3353" w:rsidR="00E414E3">
      <w:pPr>
        <w:spacing w:after="0"/>
        <w:jc w:val="both"/>
        <w:rPr>
          <w:rFonts w:hAnsi="Bookman Old Style" w:ascii="Bookman Old Style"/>
          <w:szCs w:val="24"/>
          <w:lang w:val="pl-PL"/>
        </w:rPr>
      </w:pPr>
    </w:p>
    <w:tbl>
      <w:tblPr>
        <w:tblW w:type="dxa" w:w="9102"/>
        <w:tblInd w:type="dxa" w:w="93"/>
        <w:tblLook w:val="04A0" w:noVBand="1" w:noHBand="0" w:lastColumn="0" w:firstColumn="1" w:lastRow="0" w:firstRow="1"/>
      </w:tblPr>
      <w:tblGrid>
        <w:gridCol w:w="1916"/>
        <w:gridCol w:w="790"/>
        <w:gridCol w:w="789"/>
        <w:gridCol w:w="789"/>
        <w:gridCol w:w="789"/>
        <w:gridCol w:w="222"/>
        <w:gridCol w:w="3899"/>
      </w:tblGrid>
      <w:tr w:rsidTr="00A23C96" w:rsidR="00A23C96" w:rsidRPr="00A23C96">
        <w:trPr>
          <w:trHeight w:val="255"/>
        </w:trPr>
        <w:tc>
          <w:tcPr>
            <w:tcW w:type="dxa" w:w="9102"/>
            <w:gridSpan w:val="7"/>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lastRenderedPageBreak/>
              <w:t>Nastavno tome dajemo pregled priljeva i odljeva sredstava sa žiro-računa stečajnog dužnika</w:t>
            </w:r>
          </w:p>
        </w:tc>
      </w:tr>
      <w:tr w:rsidTr="00A23C96" w:rsidR="00A23C96" w:rsidRPr="00A23C96">
        <w:trPr>
          <w:trHeight w:val="255"/>
        </w:trPr>
        <w:tc>
          <w:tcPr>
            <w:tcW w:type="dxa" w:w="5077"/>
            <w:gridSpan w:val="5"/>
            <w:tcBorders>
              <w:top w:val="nil"/>
              <w:left w:val="nil"/>
              <w:bottom w:val="nil"/>
              <w:right w:val="nil"/>
            </w:tcBorders>
            <w:shd w:fill="auto" w:color="auto" w:val="clear"/>
            <w:noWrap/>
            <w:vAlign w:val="bottom"/>
            <w:hideMark/>
          </w:tcPr>
          <w:p w:rsidRDefault="00A23C96" w:rsidP="00A23C96" w:rsid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u razdoblju od  25.04.2018.godine do 25.07.2018. godine.</w:t>
            </w:r>
          </w:p>
          <w:p w:rsidRDefault="00A23C96" w:rsidP="00A23C96" w:rsidR="00A23C96">
            <w:pPr>
              <w:spacing w:after="0"/>
              <w:rPr>
                <w:rFonts w:cs="Arial" w:eastAsia="Times New Roman" w:hAnsi="Arial" w:ascii="Arial"/>
                <w:sz w:val="20"/>
                <w:szCs w:val="20"/>
                <w:lang w:eastAsia="hr-HR"/>
              </w:rPr>
            </w:pPr>
          </w:p>
          <w:p w:rsidRDefault="00A23C96" w:rsidP="00A23C96" w:rsidR="00A23C96">
            <w:pPr>
              <w:spacing w:after="0"/>
              <w:rPr>
                <w:rFonts w:cs="Arial" w:eastAsia="Times New Roman" w:hAnsi="Arial" w:ascii="Arial"/>
                <w:sz w:val="20"/>
                <w:szCs w:val="20"/>
                <w:lang w:eastAsia="hr-HR"/>
              </w:rPr>
            </w:pPr>
          </w:p>
          <w:p w:rsidRDefault="00A23C96" w:rsidP="00A23C96" w:rsidR="00A23C96">
            <w:pPr>
              <w:spacing w:after="0"/>
              <w:rPr>
                <w:rFonts w:cs="Arial" w:eastAsia="Times New Roman" w:hAnsi="Arial" w:ascii="Arial"/>
                <w:sz w:val="20"/>
                <w:szCs w:val="20"/>
                <w:lang w:eastAsia="hr-HR"/>
              </w:rPr>
            </w:pPr>
          </w:p>
          <w:p w:rsidRDefault="00A23C96" w:rsidP="00A23C96" w:rsidR="00A23C96" w:rsidRPr="00A23C96">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18"/>
                <w:szCs w:val="18"/>
                <w:lang w:eastAsia="hr-HR"/>
              </w:rPr>
            </w:pPr>
            <w:r w:rsidRPr="00A23C96">
              <w:rPr>
                <w:rFonts w:cs="Arial" w:eastAsia="Times New Roman" w:hAnsi="Arial" w:ascii="Arial"/>
                <w:sz w:val="18"/>
                <w:szCs w:val="18"/>
                <w:lang w:eastAsia="hr-HR"/>
              </w:rPr>
              <w:t>Red. žiro račun</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b/>
                <w:bCs/>
                <w:sz w:val="20"/>
                <w:szCs w:val="20"/>
                <w:lang w:eastAsia="hr-HR"/>
              </w:rPr>
            </w:pPr>
            <w:r w:rsidRPr="00A23C96">
              <w:rPr>
                <w:rFonts w:cs="Arial" w:eastAsia="Times New Roman" w:hAnsi="Arial" w:ascii="Arial"/>
                <w:b/>
                <w:bCs/>
                <w:sz w:val="20"/>
                <w:szCs w:val="20"/>
                <w:lang w:eastAsia="hr-HR"/>
              </w:rPr>
              <w:t>1.</w:t>
            </w:r>
          </w:p>
        </w:tc>
        <w:tc>
          <w:tcPr>
            <w:tcW w:type="dxa" w:w="3160"/>
            <w:gridSpan w:val="4"/>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r w:rsidRPr="00A23C96">
              <w:rPr>
                <w:rFonts w:cs="Arial" w:eastAsia="Times New Roman" w:hAnsi="Arial" w:ascii="Arial"/>
                <w:b/>
                <w:bCs/>
                <w:sz w:val="20"/>
                <w:szCs w:val="20"/>
                <w:lang w:eastAsia="hr-HR"/>
              </w:rPr>
              <w:t>STANJE NA RAČUNU NA DAN 25.04.2018. GODINE</w:t>
            </w: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b/>
                <w:bCs/>
                <w:sz w:val="20"/>
                <w:szCs w:val="20"/>
                <w:lang w:eastAsia="hr-HR"/>
              </w:rPr>
            </w:pPr>
            <w:r w:rsidRPr="00A23C96">
              <w:rPr>
                <w:rFonts w:cs="Arial" w:eastAsia="Times New Roman" w:hAnsi="Arial" w:ascii="Arial"/>
                <w:b/>
                <w:bCs/>
                <w:sz w:val="20"/>
                <w:szCs w:val="20"/>
                <w:lang w:eastAsia="hr-HR"/>
              </w:rPr>
              <w:t>758,83</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b/>
                <w:bCs/>
                <w:sz w:val="20"/>
                <w:szCs w:val="20"/>
                <w:lang w:eastAsia="hr-HR"/>
              </w:rPr>
            </w:pPr>
          </w:p>
        </w:tc>
        <w:tc>
          <w:tcPr>
            <w:tcW w:type="dxa" w:w="1580"/>
            <w:gridSpan w:val="2"/>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žiro račun</w:t>
            </w: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sz w:val="20"/>
                <w:szCs w:val="20"/>
                <w:lang w:eastAsia="hr-HR"/>
              </w:rPr>
            </w:pPr>
            <w:r w:rsidRPr="00A23C96">
              <w:rPr>
                <w:rFonts w:cs="Arial" w:eastAsia="Times New Roman" w:hAnsi="Arial" w:ascii="Arial"/>
                <w:sz w:val="20"/>
                <w:szCs w:val="20"/>
                <w:lang w:eastAsia="hr-HR"/>
              </w:rPr>
              <w:t>590,33</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b/>
                <w:bCs/>
                <w:sz w:val="20"/>
                <w:szCs w:val="20"/>
                <w:lang w:eastAsia="hr-HR"/>
              </w:rPr>
            </w:pPr>
          </w:p>
        </w:tc>
        <w:tc>
          <w:tcPr>
            <w:tcW w:type="dxa" w:w="1580"/>
            <w:gridSpan w:val="2"/>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 xml:space="preserve">blagajna </w:t>
            </w: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sz w:val="20"/>
                <w:szCs w:val="20"/>
                <w:lang w:eastAsia="hr-HR"/>
              </w:rPr>
            </w:pPr>
            <w:r w:rsidRPr="00A23C96">
              <w:rPr>
                <w:rFonts w:cs="Arial" w:eastAsia="Times New Roman" w:hAnsi="Arial" w:ascii="Arial"/>
                <w:sz w:val="20"/>
                <w:szCs w:val="20"/>
                <w:lang w:eastAsia="hr-HR"/>
              </w:rPr>
              <w:t>168,50</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b/>
                <w:bCs/>
                <w:sz w:val="20"/>
                <w:szCs w:val="20"/>
                <w:lang w:eastAsia="hr-HR"/>
              </w:rPr>
            </w:pPr>
            <w:r w:rsidRPr="00A23C96">
              <w:rPr>
                <w:rFonts w:cs="Arial" w:eastAsia="Times New Roman" w:hAnsi="Arial" w:ascii="Arial"/>
                <w:b/>
                <w:bCs/>
                <w:sz w:val="20"/>
                <w:szCs w:val="20"/>
                <w:lang w:eastAsia="hr-HR"/>
              </w:rPr>
              <w:t>2.</w:t>
            </w:r>
          </w:p>
        </w:tc>
        <w:tc>
          <w:tcPr>
            <w:tcW w:type="dxa" w:w="2370"/>
            <w:gridSpan w:val="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r w:rsidRPr="00A23C96">
              <w:rPr>
                <w:rFonts w:cs="Arial" w:eastAsia="Times New Roman" w:hAnsi="Arial" w:ascii="Arial"/>
                <w:b/>
                <w:bCs/>
                <w:sz w:val="20"/>
                <w:szCs w:val="20"/>
                <w:lang w:eastAsia="hr-HR"/>
              </w:rPr>
              <w:t xml:space="preserve">PRILJEV SREDSTAVA </w:t>
            </w: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b/>
                <w:bCs/>
                <w:sz w:val="20"/>
                <w:szCs w:val="20"/>
                <w:lang w:eastAsia="hr-HR"/>
              </w:rPr>
            </w:pPr>
            <w:r w:rsidRPr="00A23C96">
              <w:rPr>
                <w:rFonts w:cs="Arial" w:eastAsia="Times New Roman" w:hAnsi="Arial" w:ascii="Arial"/>
                <w:b/>
                <w:bCs/>
                <w:sz w:val="20"/>
                <w:szCs w:val="20"/>
                <w:lang w:eastAsia="hr-HR"/>
              </w:rPr>
              <w:t>0,04</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b/>
                <w:bCs/>
                <w:sz w:val="20"/>
                <w:szCs w:val="20"/>
                <w:lang w:eastAsia="hr-HR"/>
              </w:rPr>
            </w:pPr>
          </w:p>
        </w:tc>
        <w:tc>
          <w:tcPr>
            <w:tcW w:type="dxa" w:w="1580"/>
            <w:gridSpan w:val="2"/>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HPB-kamate</w:t>
            </w: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sz w:val="20"/>
                <w:szCs w:val="20"/>
                <w:lang w:eastAsia="hr-HR"/>
              </w:rPr>
            </w:pPr>
            <w:r w:rsidRPr="00A23C96">
              <w:rPr>
                <w:rFonts w:cs="Arial" w:eastAsia="Times New Roman" w:hAnsi="Arial" w:ascii="Arial"/>
                <w:sz w:val="20"/>
                <w:szCs w:val="20"/>
                <w:lang w:eastAsia="hr-HR"/>
              </w:rPr>
              <w:t>0,04</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b/>
                <w:bCs/>
                <w:sz w:val="20"/>
                <w:szCs w:val="20"/>
                <w:lang w:eastAsia="hr-HR"/>
              </w:rPr>
            </w:pPr>
          </w:p>
        </w:tc>
        <w:tc>
          <w:tcPr>
            <w:tcW w:type="dxa" w:w="2370"/>
            <w:gridSpan w:val="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Priliv s drugih računa</w:t>
            </w: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sz w:val="20"/>
                <w:szCs w:val="20"/>
                <w:lang w:eastAsia="hr-HR"/>
              </w:rPr>
            </w:pPr>
            <w:r w:rsidRPr="00A23C96">
              <w:rPr>
                <w:rFonts w:cs="Arial" w:eastAsia="Times New Roman" w:hAnsi="Arial" w:ascii="Arial"/>
                <w:sz w:val="20"/>
                <w:szCs w:val="20"/>
                <w:lang w:eastAsia="hr-HR"/>
              </w:rPr>
              <w:t>0,00</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b/>
                <w:bCs/>
                <w:sz w:val="20"/>
                <w:szCs w:val="20"/>
                <w:lang w:eastAsia="hr-HR"/>
              </w:rPr>
            </w:pPr>
          </w:p>
        </w:tc>
        <w:tc>
          <w:tcPr>
            <w:tcW w:type="dxa" w:w="2370"/>
            <w:gridSpan w:val="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Priliv od prodaje imovine</w:t>
            </w: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sz w:val="20"/>
                <w:szCs w:val="20"/>
                <w:lang w:eastAsia="hr-HR"/>
              </w:rPr>
            </w:pPr>
            <w:r w:rsidRPr="00A23C96">
              <w:rPr>
                <w:rFonts w:cs="Arial" w:eastAsia="Times New Roman" w:hAnsi="Arial" w:ascii="Arial"/>
                <w:sz w:val="20"/>
                <w:szCs w:val="20"/>
                <w:lang w:eastAsia="hr-HR"/>
              </w:rPr>
              <w:t>0,00</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b/>
                <w:bCs/>
                <w:sz w:val="20"/>
                <w:szCs w:val="20"/>
                <w:lang w:eastAsia="hr-HR"/>
              </w:rPr>
            </w:pPr>
          </w:p>
        </w:tc>
        <w:tc>
          <w:tcPr>
            <w:tcW w:type="dxa" w:w="2370"/>
            <w:gridSpan w:val="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Prilov od  od pozajmica</w:t>
            </w: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sz w:val="20"/>
                <w:szCs w:val="20"/>
                <w:lang w:eastAsia="hr-HR"/>
              </w:rPr>
            </w:pPr>
            <w:r w:rsidRPr="00A23C96">
              <w:rPr>
                <w:rFonts w:cs="Arial" w:eastAsia="Times New Roman" w:hAnsi="Arial" w:ascii="Arial"/>
                <w:sz w:val="20"/>
                <w:szCs w:val="20"/>
                <w:lang w:eastAsia="hr-HR"/>
              </w:rPr>
              <w:t>0,00</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b/>
                <w:bCs/>
                <w:sz w:val="20"/>
                <w:szCs w:val="20"/>
                <w:lang w:eastAsia="hr-HR"/>
              </w:rPr>
            </w:pPr>
            <w:r w:rsidRPr="00A23C96">
              <w:rPr>
                <w:rFonts w:cs="Arial" w:eastAsia="Times New Roman" w:hAnsi="Arial" w:ascii="Arial"/>
                <w:b/>
                <w:bCs/>
                <w:sz w:val="20"/>
                <w:szCs w:val="20"/>
                <w:lang w:eastAsia="hr-HR"/>
              </w:rPr>
              <w:t>3.</w:t>
            </w:r>
          </w:p>
        </w:tc>
        <w:tc>
          <w:tcPr>
            <w:tcW w:type="dxa" w:w="2370"/>
            <w:gridSpan w:val="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r w:rsidRPr="00A23C96">
              <w:rPr>
                <w:rFonts w:cs="Arial" w:eastAsia="Times New Roman" w:hAnsi="Arial" w:ascii="Arial"/>
                <w:b/>
                <w:bCs/>
                <w:sz w:val="20"/>
                <w:szCs w:val="20"/>
                <w:lang w:eastAsia="hr-HR"/>
              </w:rPr>
              <w:t>KONTROLNI ZBROJ (1+2)</w:t>
            </w: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b/>
                <w:bCs/>
                <w:sz w:val="20"/>
                <w:szCs w:val="20"/>
                <w:lang w:eastAsia="hr-HR"/>
              </w:rPr>
            </w:pPr>
            <w:r w:rsidRPr="00A23C96">
              <w:rPr>
                <w:rFonts w:cs="Arial" w:eastAsia="Times New Roman" w:hAnsi="Arial" w:ascii="Arial"/>
                <w:b/>
                <w:bCs/>
                <w:sz w:val="20"/>
                <w:szCs w:val="20"/>
                <w:lang w:eastAsia="hr-HR"/>
              </w:rPr>
              <w:t>758,87</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b/>
                <w:bCs/>
                <w:sz w:val="20"/>
                <w:szCs w:val="20"/>
                <w:lang w:eastAsia="hr-HR"/>
              </w:rPr>
            </w:pP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b/>
                <w:bCs/>
                <w:sz w:val="20"/>
                <w:szCs w:val="20"/>
                <w:lang w:eastAsia="hr-HR"/>
              </w:rPr>
            </w:pPr>
            <w:r w:rsidRPr="00A23C96">
              <w:rPr>
                <w:rFonts w:cs="Arial" w:eastAsia="Times New Roman" w:hAnsi="Arial" w:ascii="Arial"/>
                <w:b/>
                <w:bCs/>
                <w:sz w:val="20"/>
                <w:szCs w:val="20"/>
                <w:lang w:eastAsia="hr-HR"/>
              </w:rPr>
              <w:t>4.</w:t>
            </w:r>
          </w:p>
        </w:tc>
        <w:tc>
          <w:tcPr>
            <w:tcW w:type="dxa" w:w="2370"/>
            <w:gridSpan w:val="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r w:rsidRPr="00A23C96">
              <w:rPr>
                <w:rFonts w:cs="Arial" w:eastAsia="Times New Roman" w:hAnsi="Arial" w:ascii="Arial"/>
                <w:b/>
                <w:bCs/>
                <w:sz w:val="20"/>
                <w:szCs w:val="20"/>
                <w:lang w:eastAsia="hr-HR"/>
              </w:rPr>
              <w:t>ODLJEV SREDSTAVA</w:t>
            </w: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b/>
                <w:bCs/>
                <w:sz w:val="20"/>
                <w:szCs w:val="20"/>
                <w:lang w:eastAsia="hr-HR"/>
              </w:rPr>
            </w:pPr>
            <w:r w:rsidRPr="00A23C96">
              <w:rPr>
                <w:rFonts w:cs="Arial" w:eastAsia="Times New Roman" w:hAnsi="Arial" w:ascii="Arial"/>
                <w:b/>
                <w:bCs/>
                <w:sz w:val="20"/>
                <w:szCs w:val="20"/>
                <w:lang w:eastAsia="hr-HR"/>
              </w:rPr>
              <w:t>553,40</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3160"/>
            <w:gridSpan w:val="4"/>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Troškovi oglasa za prodaju imovine</w:t>
            </w: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sz w:val="20"/>
                <w:szCs w:val="20"/>
                <w:lang w:eastAsia="hr-HR"/>
              </w:rPr>
            </w:pPr>
            <w:r w:rsidRPr="00A23C96">
              <w:rPr>
                <w:rFonts w:cs="Arial" w:eastAsia="Times New Roman" w:hAnsi="Arial" w:ascii="Arial"/>
                <w:sz w:val="20"/>
                <w:szCs w:val="20"/>
                <w:lang w:eastAsia="hr-HR"/>
              </w:rPr>
              <w:t>0,00</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2370"/>
            <w:gridSpan w:val="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 xml:space="preserve">Troškovi poštarine </w:t>
            </w: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sz w:val="20"/>
                <w:szCs w:val="20"/>
                <w:lang w:eastAsia="hr-HR"/>
              </w:rPr>
            </w:pPr>
            <w:r w:rsidRPr="00A23C96">
              <w:rPr>
                <w:rFonts w:cs="Arial" w:eastAsia="Times New Roman" w:hAnsi="Arial" w:ascii="Arial"/>
                <w:sz w:val="20"/>
                <w:szCs w:val="20"/>
                <w:lang w:eastAsia="hr-HR"/>
              </w:rPr>
              <w:t>230,70</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2370"/>
            <w:gridSpan w:val="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Materijalni troškovi</w:t>
            </w: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sz w:val="20"/>
                <w:szCs w:val="20"/>
                <w:lang w:eastAsia="hr-HR"/>
              </w:rPr>
            </w:pPr>
            <w:r w:rsidRPr="00A23C96">
              <w:rPr>
                <w:rFonts w:cs="Arial" w:eastAsia="Times New Roman" w:hAnsi="Arial" w:ascii="Arial"/>
                <w:sz w:val="20"/>
                <w:szCs w:val="20"/>
                <w:lang w:eastAsia="hr-HR"/>
              </w:rPr>
              <w:t>0,00</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2370"/>
            <w:gridSpan w:val="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Administrativni troškovi</w:t>
            </w: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sz w:val="20"/>
                <w:szCs w:val="20"/>
                <w:lang w:eastAsia="hr-HR"/>
              </w:rPr>
            </w:pPr>
            <w:r w:rsidRPr="00A23C96">
              <w:rPr>
                <w:rFonts w:cs="Arial" w:eastAsia="Times New Roman" w:hAnsi="Arial" w:ascii="Arial"/>
                <w:sz w:val="20"/>
                <w:szCs w:val="20"/>
                <w:lang w:eastAsia="hr-HR"/>
              </w:rPr>
              <w:t>0,00</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2370"/>
            <w:gridSpan w:val="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Troškovi FINE i statistike</w:t>
            </w: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sz w:val="20"/>
                <w:szCs w:val="20"/>
                <w:lang w:eastAsia="hr-HR"/>
              </w:rPr>
            </w:pPr>
            <w:r w:rsidRPr="00A23C96">
              <w:rPr>
                <w:rFonts w:cs="Arial" w:eastAsia="Times New Roman" w:hAnsi="Arial" w:ascii="Arial"/>
                <w:sz w:val="20"/>
                <w:szCs w:val="20"/>
                <w:lang w:eastAsia="hr-HR"/>
              </w:rPr>
              <w:t>322,70</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sz w:val="20"/>
                <w:szCs w:val="20"/>
                <w:lang w:eastAsia="hr-HR"/>
              </w:rPr>
            </w:pPr>
          </w:p>
        </w:tc>
        <w:tc>
          <w:tcPr>
            <w:tcW w:type="dxa" w:w="3160"/>
            <w:gridSpan w:val="4"/>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Troškovi vođenja knjigovodstva</w:t>
            </w: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sz w:val="20"/>
                <w:szCs w:val="20"/>
                <w:lang w:eastAsia="hr-HR"/>
              </w:rPr>
            </w:pPr>
            <w:r w:rsidRPr="00A23C96">
              <w:rPr>
                <w:rFonts w:cs="Arial" w:eastAsia="Times New Roman" w:hAnsi="Arial" w:ascii="Arial"/>
                <w:sz w:val="20"/>
                <w:szCs w:val="20"/>
                <w:lang w:eastAsia="hr-HR"/>
              </w:rPr>
              <w:t>0,00</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sz w:val="20"/>
                <w:szCs w:val="20"/>
                <w:lang w:eastAsia="hr-HR"/>
              </w:rPr>
            </w:pPr>
          </w:p>
        </w:tc>
        <w:tc>
          <w:tcPr>
            <w:tcW w:type="dxa" w:w="3160"/>
            <w:gridSpan w:val="4"/>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Sudske pristojbe u predmetu P-2849/2016</w:t>
            </w: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sz w:val="20"/>
                <w:szCs w:val="20"/>
                <w:lang w:eastAsia="hr-HR"/>
              </w:rPr>
            </w:pPr>
            <w:r w:rsidRPr="00A23C96">
              <w:rPr>
                <w:rFonts w:cs="Arial" w:eastAsia="Times New Roman" w:hAnsi="Arial" w:ascii="Arial"/>
                <w:sz w:val="20"/>
                <w:szCs w:val="20"/>
                <w:lang w:eastAsia="hr-HR"/>
              </w:rPr>
              <w:t>0,00</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sz w:val="20"/>
                <w:szCs w:val="20"/>
                <w:lang w:eastAsia="hr-HR"/>
              </w:rPr>
            </w:pPr>
          </w:p>
        </w:tc>
        <w:tc>
          <w:tcPr>
            <w:tcW w:type="dxa" w:w="2370"/>
            <w:gridSpan w:val="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Troškovi odvjetnika</w:t>
            </w: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sz w:val="20"/>
                <w:szCs w:val="20"/>
                <w:lang w:eastAsia="hr-HR"/>
              </w:rPr>
            </w:pPr>
            <w:r w:rsidRPr="00A23C96">
              <w:rPr>
                <w:rFonts w:cs="Arial" w:eastAsia="Times New Roman" w:hAnsi="Arial" w:ascii="Arial"/>
                <w:sz w:val="20"/>
                <w:szCs w:val="20"/>
                <w:lang w:eastAsia="hr-HR"/>
              </w:rPr>
              <w:t>0,00</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sz w:val="20"/>
                <w:szCs w:val="20"/>
                <w:lang w:eastAsia="hr-HR"/>
              </w:rPr>
            </w:pPr>
          </w:p>
        </w:tc>
        <w:tc>
          <w:tcPr>
            <w:tcW w:type="dxa" w:w="1580"/>
            <w:gridSpan w:val="2"/>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Povrat pozajmica</w:t>
            </w: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sz w:val="20"/>
                <w:szCs w:val="20"/>
                <w:lang w:eastAsia="hr-HR"/>
              </w:rPr>
            </w:pPr>
            <w:r w:rsidRPr="00A23C96">
              <w:rPr>
                <w:rFonts w:cs="Arial" w:eastAsia="Times New Roman" w:hAnsi="Arial" w:ascii="Arial"/>
                <w:sz w:val="20"/>
                <w:szCs w:val="20"/>
                <w:lang w:eastAsia="hr-HR"/>
              </w:rPr>
              <w:t>0,00</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sz w:val="20"/>
                <w:szCs w:val="20"/>
                <w:lang w:eastAsia="hr-HR"/>
              </w:rPr>
            </w:pPr>
          </w:p>
        </w:tc>
        <w:tc>
          <w:tcPr>
            <w:tcW w:type="dxa" w:w="3160"/>
            <w:gridSpan w:val="4"/>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Ostali troškovi (biljezi, kopiranje i sl.)</w:t>
            </w: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sz w:val="20"/>
                <w:szCs w:val="20"/>
                <w:lang w:eastAsia="hr-HR"/>
              </w:rPr>
            </w:pPr>
            <w:r w:rsidRPr="00A23C96">
              <w:rPr>
                <w:rFonts w:cs="Arial" w:eastAsia="Times New Roman" w:hAnsi="Arial" w:ascii="Arial"/>
                <w:sz w:val="20"/>
                <w:szCs w:val="20"/>
                <w:lang w:eastAsia="hr-HR"/>
              </w:rPr>
              <w:t>0,00</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sz w:val="20"/>
                <w:szCs w:val="20"/>
                <w:lang w:eastAsia="hr-HR"/>
              </w:rPr>
            </w:pPr>
          </w:p>
        </w:tc>
        <w:tc>
          <w:tcPr>
            <w:tcW w:type="dxa" w:w="2370"/>
            <w:gridSpan w:val="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Troškovi procjene imovine</w:t>
            </w: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sz w:val="20"/>
                <w:szCs w:val="20"/>
                <w:lang w:eastAsia="hr-HR"/>
              </w:rPr>
            </w:pPr>
            <w:r w:rsidRPr="00A23C96">
              <w:rPr>
                <w:rFonts w:cs="Arial" w:eastAsia="Times New Roman" w:hAnsi="Arial" w:ascii="Arial"/>
                <w:sz w:val="20"/>
                <w:szCs w:val="20"/>
                <w:lang w:eastAsia="hr-HR"/>
              </w:rPr>
              <w:t>0,00</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sz w:val="20"/>
                <w:szCs w:val="20"/>
                <w:lang w:eastAsia="hr-HR"/>
              </w:rPr>
            </w:pPr>
          </w:p>
        </w:tc>
        <w:tc>
          <w:tcPr>
            <w:tcW w:type="dxa" w:w="3160"/>
            <w:gridSpan w:val="4"/>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Komunalna i vodna naknada, pričuva</w:t>
            </w: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sz w:val="20"/>
                <w:szCs w:val="20"/>
                <w:lang w:eastAsia="hr-HR"/>
              </w:rPr>
            </w:pPr>
            <w:r w:rsidRPr="00A23C96">
              <w:rPr>
                <w:rFonts w:cs="Arial" w:eastAsia="Times New Roman" w:hAnsi="Arial" w:ascii="Arial"/>
                <w:sz w:val="20"/>
                <w:szCs w:val="20"/>
                <w:lang w:eastAsia="hr-HR"/>
              </w:rPr>
              <w:t>0,00</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b/>
                <w:bCs/>
                <w:sz w:val="20"/>
                <w:szCs w:val="20"/>
                <w:lang w:eastAsia="hr-HR"/>
              </w:rPr>
            </w:pPr>
            <w:r w:rsidRPr="00A23C96">
              <w:rPr>
                <w:rFonts w:cs="Arial" w:eastAsia="Times New Roman" w:hAnsi="Arial" w:ascii="Arial"/>
                <w:b/>
                <w:bCs/>
                <w:sz w:val="20"/>
                <w:szCs w:val="20"/>
                <w:lang w:eastAsia="hr-HR"/>
              </w:rPr>
              <w:t>5.</w:t>
            </w:r>
          </w:p>
        </w:tc>
        <w:tc>
          <w:tcPr>
            <w:tcW w:type="dxa" w:w="3160"/>
            <w:gridSpan w:val="4"/>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r w:rsidRPr="00A23C96">
              <w:rPr>
                <w:rFonts w:cs="Arial" w:eastAsia="Times New Roman" w:hAnsi="Arial" w:ascii="Arial"/>
                <w:b/>
                <w:bCs/>
                <w:sz w:val="20"/>
                <w:szCs w:val="20"/>
                <w:lang w:eastAsia="hr-HR"/>
              </w:rPr>
              <w:t>STANJE NA RAČUNU NA DAN 25.07.2018.GODINE</w:t>
            </w: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b/>
                <w:bCs/>
                <w:sz w:val="20"/>
                <w:szCs w:val="20"/>
                <w:lang w:eastAsia="hr-HR"/>
              </w:rPr>
            </w:pPr>
            <w:r w:rsidRPr="00A23C96">
              <w:rPr>
                <w:rFonts w:cs="Arial" w:eastAsia="Times New Roman" w:hAnsi="Arial" w:ascii="Arial"/>
                <w:b/>
                <w:bCs/>
                <w:sz w:val="20"/>
                <w:szCs w:val="20"/>
                <w:lang w:eastAsia="hr-HR"/>
              </w:rPr>
              <w:t>205,47</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sz w:val="20"/>
                <w:szCs w:val="20"/>
                <w:lang w:eastAsia="hr-HR"/>
              </w:rPr>
            </w:pPr>
          </w:p>
        </w:tc>
        <w:tc>
          <w:tcPr>
            <w:tcW w:type="dxa" w:w="1580"/>
            <w:gridSpan w:val="2"/>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žiro račun</w:t>
            </w: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sz w:val="20"/>
                <w:szCs w:val="20"/>
                <w:lang w:eastAsia="hr-HR"/>
              </w:rPr>
            </w:pPr>
            <w:r w:rsidRPr="00A23C96">
              <w:rPr>
                <w:rFonts w:cs="Arial" w:eastAsia="Times New Roman" w:hAnsi="Arial" w:ascii="Arial"/>
                <w:sz w:val="20"/>
                <w:szCs w:val="20"/>
                <w:lang w:eastAsia="hr-HR"/>
              </w:rPr>
              <w:t>117,67</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sz w:val="20"/>
                <w:szCs w:val="20"/>
                <w:lang w:eastAsia="hr-HR"/>
              </w:rPr>
            </w:pPr>
          </w:p>
        </w:tc>
        <w:tc>
          <w:tcPr>
            <w:tcW w:type="dxa" w:w="1580"/>
            <w:gridSpan w:val="2"/>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r w:rsidRPr="00A23C96">
              <w:rPr>
                <w:rFonts w:cs="Arial" w:eastAsia="Times New Roman" w:hAnsi="Arial" w:ascii="Arial"/>
                <w:sz w:val="20"/>
                <w:szCs w:val="20"/>
                <w:lang w:eastAsia="hr-HR"/>
              </w:rPr>
              <w:t>blagajna</w:t>
            </w: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sz w:val="20"/>
                <w:szCs w:val="20"/>
                <w:lang w:eastAsia="hr-HR"/>
              </w:rPr>
            </w:pPr>
            <w:r w:rsidRPr="00A23C96">
              <w:rPr>
                <w:rFonts w:cs="Arial" w:eastAsia="Times New Roman" w:hAnsi="Arial" w:ascii="Arial"/>
                <w:sz w:val="20"/>
                <w:szCs w:val="20"/>
                <w:lang w:eastAsia="hr-HR"/>
              </w:rPr>
              <w:t>87,80</w:t>
            </w:r>
          </w:p>
        </w:tc>
      </w:tr>
      <w:tr w:rsidTr="00A23C96" w:rsidR="00A23C96" w:rsidRPr="00A23C96">
        <w:trPr>
          <w:trHeight w:val="255"/>
        </w:trPr>
        <w:tc>
          <w:tcPr>
            <w:tcW w:type="dxa" w:w="1917"/>
            <w:tcBorders>
              <w:top w:val="nil"/>
              <w:left w:val="nil"/>
              <w:bottom w:val="nil"/>
              <w:right w:val="nil"/>
            </w:tcBorders>
            <w:shd w:fill="auto" w:color="auto" w:val="clear"/>
            <w:noWrap/>
            <w:vAlign w:val="bottom"/>
            <w:hideMark/>
          </w:tcPr>
          <w:p w:rsidRDefault="00A23C96" w:rsidP="00A23C96" w:rsidR="00A23C96" w:rsidRPr="00A23C96">
            <w:pPr>
              <w:spacing w:after="0"/>
              <w:jc w:val="center"/>
              <w:rPr>
                <w:rFonts w:cs="Arial" w:eastAsia="Times New Roman" w:hAnsi="Arial" w:ascii="Arial"/>
                <w:b/>
                <w:bCs/>
                <w:sz w:val="20"/>
                <w:szCs w:val="20"/>
                <w:lang w:eastAsia="hr-HR"/>
              </w:rPr>
            </w:pPr>
            <w:r w:rsidRPr="00A23C96">
              <w:rPr>
                <w:rFonts w:cs="Arial" w:eastAsia="Times New Roman" w:hAnsi="Arial" w:ascii="Arial"/>
                <w:b/>
                <w:bCs/>
                <w:sz w:val="20"/>
                <w:szCs w:val="20"/>
                <w:lang w:eastAsia="hr-HR"/>
              </w:rPr>
              <w:t>6.</w:t>
            </w:r>
          </w:p>
        </w:tc>
        <w:tc>
          <w:tcPr>
            <w:tcW w:type="dxa" w:w="2370"/>
            <w:gridSpan w:val="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r w:rsidRPr="00A23C96">
              <w:rPr>
                <w:rFonts w:cs="Arial" w:eastAsia="Times New Roman" w:hAnsi="Arial" w:ascii="Arial"/>
                <w:b/>
                <w:bCs/>
                <w:sz w:val="20"/>
                <w:szCs w:val="20"/>
                <w:lang w:eastAsia="hr-HR"/>
              </w:rPr>
              <w:t>KONTROLNI ZBROJ (4+5)</w:t>
            </w:r>
          </w:p>
        </w:tc>
        <w:tc>
          <w:tcPr>
            <w:tcW w:type="dxa" w:w="790"/>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123"/>
            <w:tcBorders>
              <w:top w:val="nil"/>
              <w:left w:val="nil"/>
              <w:bottom w:val="nil"/>
              <w:right w:val="nil"/>
            </w:tcBorders>
            <w:shd w:fill="auto" w:color="auto" w:val="clear"/>
            <w:noWrap/>
            <w:vAlign w:val="bottom"/>
            <w:hideMark/>
          </w:tcPr>
          <w:p w:rsidRDefault="00A23C96" w:rsidP="00A23C96" w:rsidR="00A23C96" w:rsidRPr="00A23C96">
            <w:pPr>
              <w:spacing w:after="0"/>
              <w:rPr>
                <w:rFonts w:cs="Arial" w:eastAsia="Times New Roman" w:hAnsi="Arial" w:ascii="Arial"/>
                <w:b/>
                <w:bCs/>
                <w:sz w:val="20"/>
                <w:szCs w:val="20"/>
                <w:lang w:eastAsia="hr-HR"/>
              </w:rPr>
            </w:pPr>
          </w:p>
        </w:tc>
        <w:tc>
          <w:tcPr>
            <w:tcW w:type="dxa" w:w="3902"/>
            <w:tcBorders>
              <w:top w:val="nil"/>
              <w:left w:val="nil"/>
              <w:bottom w:val="nil"/>
              <w:right w:val="nil"/>
            </w:tcBorders>
            <w:shd w:fill="auto" w:color="auto" w:val="clear"/>
            <w:noWrap/>
            <w:vAlign w:val="bottom"/>
            <w:hideMark/>
          </w:tcPr>
          <w:p w:rsidRDefault="00A23C96" w:rsidP="00A23C96" w:rsidR="00A23C96" w:rsidRPr="00A23C96">
            <w:pPr>
              <w:spacing w:after="0"/>
              <w:jc w:val="right"/>
              <w:rPr>
                <w:rFonts w:cs="Arial" w:eastAsia="Times New Roman" w:hAnsi="Arial" w:ascii="Arial"/>
                <w:b/>
                <w:bCs/>
                <w:sz w:val="20"/>
                <w:szCs w:val="20"/>
                <w:lang w:eastAsia="hr-HR"/>
              </w:rPr>
            </w:pPr>
            <w:r w:rsidRPr="00A23C96">
              <w:rPr>
                <w:rFonts w:cs="Arial" w:eastAsia="Times New Roman" w:hAnsi="Arial" w:ascii="Arial"/>
                <w:b/>
                <w:bCs/>
                <w:sz w:val="20"/>
                <w:szCs w:val="20"/>
                <w:lang w:eastAsia="hr-HR"/>
              </w:rPr>
              <w:t>758,87</w:t>
            </w:r>
          </w:p>
        </w:tc>
      </w:tr>
    </w:tbl>
    <w:p w:rsidRDefault="009F5AB7" w:rsidP="00AD3353" w:rsidR="009F5AB7">
      <w:pPr>
        <w:spacing w:after="0"/>
        <w:jc w:val="both"/>
        <w:rPr>
          <w:rFonts w:hAnsi="Bookman Old Style" w:ascii="Bookman Old Style"/>
          <w:sz w:val="24"/>
          <w:szCs w:val="24"/>
          <w:lang w:val="pl-PL"/>
        </w:rPr>
      </w:pPr>
    </w:p>
    <w:p w:rsidRDefault="009F5AB7" w:rsidP="00AD3353" w:rsidR="009F5AB7">
      <w:pPr>
        <w:spacing w:after="0"/>
        <w:jc w:val="both"/>
        <w:rPr>
          <w:rFonts w:hAnsi="Bookman Old Style" w:ascii="Bookman Old Style"/>
          <w:sz w:val="24"/>
          <w:szCs w:val="24"/>
          <w:lang w:val="pl-PL"/>
        </w:rPr>
      </w:pPr>
    </w:p>
    <w:p w:rsidRDefault="009F5AB7" w:rsidP="00AD3353" w:rsidR="009F5AB7">
      <w:pPr>
        <w:spacing w:after="0"/>
        <w:jc w:val="both"/>
        <w:rPr>
          <w:rFonts w:hAnsi="Bookman Old Style" w:ascii="Bookman Old Style"/>
          <w:sz w:val="24"/>
          <w:szCs w:val="24"/>
          <w:lang w:val="pl-PL"/>
        </w:rPr>
      </w:pPr>
    </w:p>
    <w:p w:rsidRDefault="009F5AB7" w:rsidP="00AD3353" w:rsidR="009F5AB7">
      <w:pPr>
        <w:spacing w:after="0"/>
        <w:jc w:val="both"/>
        <w:rPr>
          <w:rFonts w:hAnsi="Bookman Old Style" w:ascii="Bookman Old Style"/>
          <w:sz w:val="24"/>
          <w:szCs w:val="24"/>
          <w:lang w:val="pl-PL"/>
        </w:rPr>
      </w:pPr>
    </w:p>
    <w:p w:rsidRDefault="009F5AB7" w:rsidP="00AD3353" w:rsidR="009F5AB7">
      <w:pPr>
        <w:spacing w:after="0"/>
        <w:jc w:val="both"/>
        <w:rPr>
          <w:rFonts w:hAnsi="Bookman Old Style" w:ascii="Bookman Old Style"/>
          <w:sz w:val="24"/>
          <w:szCs w:val="24"/>
          <w:lang w:val="pl-PL"/>
        </w:rPr>
      </w:pPr>
    </w:p>
    <w:p w:rsidRDefault="009F5AB7" w:rsidP="00AD3353" w:rsidR="009F5AB7">
      <w:pPr>
        <w:spacing w:after="0"/>
        <w:jc w:val="both"/>
        <w:rPr>
          <w:rFonts w:hAnsi="Bookman Old Style" w:ascii="Bookman Old Style"/>
          <w:sz w:val="24"/>
          <w:szCs w:val="24"/>
          <w:lang w:val="pl-PL"/>
        </w:rPr>
      </w:pPr>
    </w:p>
    <w:p w:rsidRDefault="009F5AB7" w:rsidP="00AD3353" w:rsidR="009F5AB7">
      <w:pPr>
        <w:spacing w:after="0"/>
        <w:jc w:val="both"/>
        <w:rPr>
          <w:rFonts w:hAnsi="Bookman Old Style" w:ascii="Bookman Old Style"/>
          <w:sz w:val="24"/>
          <w:szCs w:val="24"/>
          <w:lang w:val="pl-PL"/>
        </w:rPr>
      </w:pPr>
    </w:p>
    <w:p w:rsidRDefault="00A23C96" w:rsidP="00AD3353" w:rsidR="00A23C96">
      <w:pPr>
        <w:spacing w:after="0"/>
        <w:jc w:val="both"/>
        <w:rPr>
          <w:rFonts w:hAnsi="Bookman Old Style" w:ascii="Bookman Old Style"/>
          <w:sz w:val="24"/>
          <w:szCs w:val="24"/>
          <w:lang w:val="pl-PL"/>
        </w:rPr>
      </w:pPr>
    </w:p>
    <w:p w:rsidRDefault="00AD3353" w:rsidP="00AD3353" w:rsidR="00AD3353">
      <w:pPr>
        <w:spacing w:after="0"/>
        <w:jc w:val="both"/>
        <w:rPr>
          <w:rFonts w:hAnsi="Bookman Old Style" w:ascii="Bookman Old Style"/>
          <w:sz w:val="24"/>
          <w:szCs w:val="24"/>
          <w:lang w:val="pl-PL"/>
        </w:rPr>
      </w:pPr>
    </w:p>
    <w:p w:rsidRDefault="00AD3353" w:rsidP="00AD3353" w:rsidR="00AD3353" w:rsidRPr="003F7CDB">
      <w:pPr>
        <w:spacing w:after="0"/>
        <w:jc w:val="both"/>
        <w:rPr>
          <w:rFonts w:hAnsi="Bookman Old Style" w:ascii="Bookman Old Style"/>
          <w:b/>
          <w:sz w:val="24"/>
          <w:szCs w:val="24"/>
          <w:lang w:val="pl-PL"/>
        </w:rPr>
      </w:pPr>
      <w:r w:rsidRPr="003F7CDB">
        <w:rPr>
          <w:rFonts w:hAnsi="Bookman Old Style" w:ascii="Bookman Old Style"/>
          <w:b/>
          <w:sz w:val="24"/>
          <w:szCs w:val="24"/>
          <w:lang w:val="pl-PL"/>
        </w:rPr>
        <w:lastRenderedPageBreak/>
        <w:t>III. RADNJE  KOJE ĆE SE PODUZETI U NAREDNOM RAZDOBLJU</w:t>
      </w:r>
    </w:p>
    <w:p w:rsidRDefault="00AD3353" w:rsidP="00AD3353" w:rsidR="00AD3353">
      <w:pPr>
        <w:spacing w:after="0"/>
        <w:jc w:val="both"/>
        <w:rPr>
          <w:rFonts w:hAnsi="Bookman Old Style" w:ascii="Bookman Old Style"/>
          <w:sz w:val="24"/>
          <w:szCs w:val="24"/>
          <w:lang w:val="pl-PL"/>
        </w:rPr>
      </w:pPr>
    </w:p>
    <w:p w:rsidRDefault="00AD3353" w:rsidP="00AD3353" w:rsidR="00AD3353">
      <w:pPr>
        <w:spacing w:after="0"/>
        <w:jc w:val="both"/>
        <w:rPr>
          <w:rFonts w:hAnsi="Bookman Old Style" w:ascii="Bookman Old Style"/>
          <w:sz w:val="24"/>
          <w:szCs w:val="24"/>
          <w:lang w:val="pl-PL"/>
        </w:rPr>
      </w:pPr>
    </w:p>
    <w:p w:rsidRDefault="00AD3353" w:rsidP="00AD3353" w:rsidR="00AD3353">
      <w:pPr>
        <w:jc w:val="both"/>
        <w:rPr>
          <w:rFonts w:hAnsi="Bookman Old Style" w:ascii="Bookman Old Style"/>
          <w:sz w:val="24"/>
          <w:szCs w:val="24"/>
          <w:lang w:val="pl-PL"/>
        </w:rPr>
      </w:pPr>
      <w:r>
        <w:rPr>
          <w:rFonts w:hAnsi="Bookman Old Style" w:ascii="Bookman Old Style"/>
          <w:sz w:val="24"/>
          <w:szCs w:val="24"/>
          <w:lang w:val="pl-PL"/>
        </w:rPr>
        <w:t>S obzirom da se imovina</w:t>
      </w:r>
      <w:r w:rsidR="00341052">
        <w:rPr>
          <w:rFonts w:hAnsi="Bookman Old Style" w:ascii="Bookman Old Style"/>
          <w:sz w:val="24"/>
          <w:szCs w:val="24"/>
          <w:lang w:val="pl-PL"/>
        </w:rPr>
        <w:t xml:space="preserve"> stečajnog dužnika</w:t>
      </w:r>
      <w:r>
        <w:rPr>
          <w:rFonts w:hAnsi="Bookman Old Style" w:ascii="Bookman Old Style"/>
          <w:sz w:val="24"/>
          <w:szCs w:val="24"/>
          <w:lang w:val="pl-PL"/>
        </w:rPr>
        <w:t xml:space="preserve"> prodaje u ovršnom postupku koji se vodi pred Općinskim građanskim sudom u Zagrebu</w:t>
      </w:r>
      <w:r w:rsidR="00E414E3">
        <w:rPr>
          <w:rFonts w:hAnsi="Bookman Old Style" w:ascii="Bookman Old Style"/>
          <w:sz w:val="24"/>
          <w:szCs w:val="24"/>
          <w:lang w:val="pl-PL"/>
        </w:rPr>
        <w:t xml:space="preserve">, očekuje se </w:t>
      </w:r>
      <w:r>
        <w:rPr>
          <w:rFonts w:hAnsi="Bookman Old Style" w:ascii="Bookman Old Style"/>
          <w:sz w:val="24"/>
          <w:szCs w:val="24"/>
          <w:lang w:val="pl-PL"/>
        </w:rPr>
        <w:t xml:space="preserve">zakazivanje </w:t>
      </w:r>
      <w:r w:rsidR="00341052">
        <w:rPr>
          <w:rFonts w:hAnsi="Bookman Old Style" w:ascii="Bookman Old Style"/>
          <w:sz w:val="24"/>
          <w:szCs w:val="24"/>
          <w:lang w:val="pl-PL"/>
        </w:rPr>
        <w:t>javne dražbe radi prodaje iste</w:t>
      </w:r>
      <w:r>
        <w:rPr>
          <w:rFonts w:hAnsi="Bookman Old Style" w:ascii="Bookman Old Style"/>
          <w:sz w:val="24"/>
          <w:szCs w:val="24"/>
          <w:lang w:val="pl-PL"/>
        </w:rPr>
        <w:t>.</w:t>
      </w:r>
    </w:p>
    <w:p w:rsidRDefault="00AD3353" w:rsidP="00AD3353" w:rsidR="00AD3353">
      <w:pPr>
        <w:rPr>
          <w:rFonts w:hAnsi="Bookman Old Style" w:ascii="Bookman Old Style"/>
          <w:sz w:val="24"/>
          <w:szCs w:val="24"/>
          <w:lang w:val="pl-PL"/>
        </w:rPr>
      </w:pPr>
    </w:p>
    <w:p w:rsidRDefault="00AD3353" w:rsidP="00AD3353" w:rsidR="00AD3353">
      <w:pPr>
        <w:rPr>
          <w:rFonts w:hAnsi="Bookman Old Style" w:ascii="Bookman Old Style"/>
          <w:sz w:val="24"/>
          <w:szCs w:val="24"/>
          <w:lang w:val="pl-PL"/>
        </w:rPr>
      </w:pPr>
    </w:p>
    <w:p w:rsidRDefault="00AD3353" w:rsidP="00AD3353" w:rsidR="00AD3353">
      <w:pPr>
        <w:rPr>
          <w:rFonts w:hAnsi="Bookman Old Style" w:ascii="Bookman Old Style"/>
          <w:sz w:val="24"/>
          <w:szCs w:val="24"/>
          <w:lang w:val="pl-PL"/>
        </w:rPr>
      </w:pPr>
    </w:p>
    <w:p w:rsidRDefault="00AD3353" w:rsidP="00AD3353" w:rsidR="00AD3353" w:rsidRPr="0093029A">
      <w:pPr>
        <w:rPr>
          <w:rFonts w:hAnsi="Bookman Old Style" w:ascii="Bookman Old Style"/>
          <w:sz w:val="24"/>
          <w:szCs w:val="24"/>
          <w:lang w:val="pl-PL"/>
        </w:rPr>
      </w:pPr>
    </w:p>
    <w:p w:rsidRDefault="00AD3353" w:rsidP="00AD3353" w:rsidR="00AD3353"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Pr>
          <w:rFonts w:hAnsi="Bookman Old Style" w:ascii="Bookman Old Style"/>
          <w:sz w:val="24"/>
          <w:szCs w:val="24"/>
          <w:lang w:val="pl-PL"/>
        </w:rPr>
        <w:tab/>
      </w:r>
      <w:r w:rsidRPr="0093029A">
        <w:rPr>
          <w:rFonts w:hAnsi="Bookman Old Style" w:ascii="Bookman Old Style"/>
          <w:sz w:val="24"/>
          <w:szCs w:val="24"/>
          <w:lang w:val="pl-PL"/>
        </w:rPr>
        <w:t>Stečajni upravitelj</w:t>
      </w:r>
    </w:p>
    <w:p w:rsidRDefault="00AD3353" w:rsidP="00AD3353" w:rsidR="00AD3353" w:rsidRPr="0093029A">
      <w:pPr>
        <w:rPr>
          <w:rFonts w:hAnsi="Bookman Old Style" w:ascii="Bookman Old Style"/>
          <w:lang w:val="pl-PL"/>
        </w:rPr>
      </w:pPr>
      <w:r w:rsidRPr="0093029A">
        <w:rPr>
          <w:rFonts w:hAnsi="Bookman Old Style" w:ascii="Bookman Old Style"/>
          <w:sz w:val="24"/>
          <w:szCs w:val="24"/>
          <w:lang w:val="pl-PL"/>
        </w:rPr>
        <w:t xml:space="preserve">Zagreb, </w:t>
      </w:r>
      <w:r>
        <w:rPr>
          <w:rFonts w:hAnsi="Bookman Old Style" w:ascii="Bookman Old Style"/>
          <w:sz w:val="24"/>
          <w:szCs w:val="24"/>
          <w:lang w:val="pl-PL"/>
        </w:rPr>
        <w:t>26.07.2018</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w:t>
      </w:r>
      <w:r>
        <w:rPr>
          <w:rFonts w:hAnsi="Bookman Old Style" w:ascii="Bookman Old Style"/>
          <w:sz w:val="24"/>
          <w:szCs w:val="24"/>
          <w:lang w:val="pl-PL"/>
        </w:rPr>
        <w:tab/>
        <w:t xml:space="preserve">    </w:t>
      </w:r>
      <w:r w:rsidRPr="0093029A">
        <w:rPr>
          <w:rFonts w:hAnsi="Bookman Old Style" w:ascii="Bookman Old Style"/>
          <w:sz w:val="24"/>
          <w:szCs w:val="24"/>
          <w:lang w:val="pl-PL"/>
        </w:rPr>
        <w:t>Davorka Huljev</w:t>
      </w:r>
    </w:p>
    <w:p w:rsidRDefault="00AD3353" w:rsidP="00AD3353" w:rsidR="00AD3353"/>
    <w:p w:rsidRDefault="00341052" w:rsidR="008C2616">
      <w:r>
        <w:t xml:space="preserve"> </w:t>
      </w:r>
    </w:p>
    <w:sectPr w:rsidSect="00EC73AC" w:rsidR="008C2616">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9483E"/>
    <w:multiLevelType w:val="multilevel"/>
    <w:tmpl w:val="4A6C8068"/>
    <w:lvl w:ilvl="0">
      <w:start w:val="1"/>
      <w:numFmt w:val="decimal"/>
      <w:lvlText w:val="%1."/>
      <w:lvlJc w:val="left"/>
      <w:pPr>
        <w:ind w:hanging="360" w:left="696"/>
      </w:pPr>
      <w:rPr>
        <w:rFonts w:hint="default"/>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3353"/>
    <w:rsid w:val="000F15A6"/>
    <w:rsid w:val="00341052"/>
    <w:rsid w:val="006C6358"/>
    <w:rsid w:val="008C2616"/>
    <w:rsid w:val="009F5AB7"/>
    <w:rsid w:val="00A23C96"/>
    <w:rsid w:val="00A70544"/>
    <w:rsid w:val="00AD3353"/>
    <w:rsid w:val="00E414E3"/>
    <w:rsid w:val="00E51B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D3353"/>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AD3353"/>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AD3353"/>
    <w:rPr>
      <w:rFonts w:cs="Times New Roman" w:eastAsia="Times New Roman" w:hAnsi="Bookman Old Style" w:ascii="Bookman Old Style"/>
      <w:sz w:val="24"/>
      <w:szCs w:val="20"/>
      <w:lang w:eastAsia="hr-HR"/>
    </w:rPr>
  </w:style>
  <w:style w:styleId="Tekstrezerviranogmjesta" w:type="character">
    <w:name w:val="Placeholder Text"/>
    <w:basedOn w:val="Zadanifontodlomka"/>
    <w:uiPriority w:val="99"/>
    <w:semiHidden/>
    <w:rsid w:val="00A70544"/>
    <w:rPr>
      <w:color w:val="808080"/>
      <w:bdr w:space="0" w:sz="0" w:color="auto" w:val="none"/>
      <w:shd w:fill="auto" w:color="auto" w:val="clear"/>
    </w:rPr>
  </w:style>
  <w:style w:customStyle="true" w:styleId="eSPISCCParagraphDefaultFont" w:type="character">
    <w:name w:val="eSPIS_CC_Paragraph Default Font"/>
    <w:basedOn w:val="Zadanifontodlomka"/>
    <w:rsid w:val="00A7054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70544"/>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A70544"/>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A70544"/>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D3353"/>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AD3353"/>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AD3353"/>
    <w:rPr>
      <w:rFonts w:ascii="Bookman Old Style" w:cs="Times New Roman" w:eastAsia="Times New Roman" w:hAnsi="Bookman Old Style"/>
      <w:sz w:val="24"/>
      <w:szCs w:val="20"/>
      <w:lang w:eastAsia="hr-HR"/>
    </w:rPr>
  </w:style>
  <w:style w:styleId="Tekstrezerviranogmjesta" w:type="character">
    <w:name w:val="Placeholder Text"/>
    <w:basedOn w:val="Zadanifontodlomka"/>
    <w:uiPriority w:val="99"/>
    <w:semiHidden/>
    <w:rsid w:val="00A70544"/>
    <w:rPr>
      <w:color w:val="808080"/>
      <w:bdr w:color="auto" w:space="0" w:sz="0" w:val="none"/>
      <w:shd w:color="auto" w:fill="auto" w:val="clear"/>
    </w:rPr>
  </w:style>
  <w:style w:customStyle="1" w:styleId="eSPISCCParagraphDefaultFont" w:type="character">
    <w:name w:val="eSPIS_CC_Paragraph Default Font"/>
    <w:basedOn w:val="Zadanifontodlomka"/>
    <w:rsid w:val="00A7054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70544"/>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A70544"/>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A70544"/>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86196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2145</properties:Words>
  <properties:Characters>13530</properties:Characters>
  <properties:Lines>475</properties:Lines>
  <properties:Paragraphs>122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15636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2018-07-31T11:42:00Z</dcterms:created>
  <dc:creator>natalija</dc:creator>
  <cp:lastModifiedBy>Vinka Mihalinčić</cp:lastModifiedBy>
  <cp:lastPrinted>2018-07-18T12:44:00Z</cp:lastPrinted>
  <dcterms:modified xmlns:xsi="http://www.w3.org/2001/XMLSchema-instance" xsi:type="dcterms:W3CDTF">2018-07-31T11:43:00Z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St-6288/2016-36 / Podnesak - Izvješće stečajnog upravitelja (Izvješće Moneris nekretnine- 26.04.-26.07_.docx)</vt:lpwstr>
  </prop:property>
  <prop:property name="CC_coloring" pid="4" fmtid="{D5CDD505-2E9C-101B-9397-08002B2CF9AE}">
    <vt:bool>false</vt:bool>
  </prop:property>
  <prop:property name="BrojStranica" pid="5" fmtid="{D5CDD505-2E9C-101B-9397-08002B2CF9AE}">
    <vt:i4>8</vt:i4>
  </prop:property>
</prop:Properties>
</file>