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0b0117e" w14:paraId="0b0117e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</w:t>
      </w:r>
      <w:r w:rsidR="00A11FAA">
        <w:rPr>
          <w:rFonts w:cs="Times New Roman" w:hAnsi="Times New Roman" w:ascii="Times New Roman"/>
          <w:sz w:val="24"/>
          <w:szCs w:val="24"/>
        </w:rPr>
        <w:t>121/15</w:t>
      </w:r>
      <w:r w:rsidR="00061D3F">
        <w:rPr>
          <w:rFonts w:cs="Times New Roman" w:hAnsi="Times New Roman" w:ascii="Times New Roman"/>
          <w:sz w:val="24"/>
          <w:szCs w:val="24"/>
        </w:rPr>
        <w:t>-63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96710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06518" w:rsidRPr="00A06518">
        <w:rPr>
          <w:rFonts w:cs="Times New Roman" w:hAnsi="Times New Roman" w:ascii="Times New Roman"/>
          <w:sz w:val="24"/>
          <w:szCs w:val="24"/>
        </w:rPr>
        <w:t xml:space="preserve">dužnikom </w:t>
      </w:r>
      <w:r w:rsidR="00A11FAA" w:rsidRPr="00A11FAA">
        <w:rPr>
          <w:rFonts w:cs="Times New Roman" w:hAnsi="Times New Roman" w:ascii="Times New Roman"/>
          <w:bCs/>
          <w:sz w:val="24"/>
          <w:szCs w:val="24"/>
        </w:rPr>
        <w:t>EDURO d.o.o. u stečaju, Zagreb, Medvedgradska 7-7a, OIB: 33147244985</w:t>
      </w:r>
      <w:r w:rsidR="00A11FAA">
        <w:rPr>
          <w:rFonts w:cs="Times New Roman" w:hAnsi="Times New Roman" w:ascii="Times New Roman"/>
          <w:bCs/>
          <w:sz w:val="24"/>
          <w:szCs w:val="24"/>
        </w:rPr>
        <w:t>, 6. listopada</w:t>
      </w:r>
      <w:r w:rsidR="00A06518">
        <w:rPr>
          <w:rFonts w:cs="Times New Roman" w:hAnsi="Times New Roman" w:ascii="Times New Roman"/>
          <w:sz w:val="24"/>
          <w:szCs w:val="24"/>
        </w:rPr>
        <w:t xml:space="preserve"> </w:t>
      </w:r>
      <w:r w:rsidR="00631D5F">
        <w:rPr>
          <w:rFonts w:cs="Times New Roman" w:hAnsi="Times New Roman" w:ascii="Times New Roman"/>
          <w:sz w:val="24"/>
          <w:szCs w:val="24"/>
        </w:rPr>
        <w:t>201</w:t>
      </w:r>
      <w:r w:rsidR="00C7499C">
        <w:rPr>
          <w:rFonts w:cs="Times New Roman" w:hAnsi="Times New Roman" w:ascii="Times New Roman"/>
          <w:sz w:val="24"/>
          <w:szCs w:val="24"/>
        </w:rPr>
        <w:t>7</w:t>
      </w:r>
      <w:r w:rsidR="00631D5F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6710" w:rsidP="00096710" w:rsidR="00593095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6710" w:rsidP="008E0B1D" w:rsidR="0009671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96710" w:rsidP="00096710" w:rsidR="000967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96710">
        <w:rPr>
          <w:rFonts w:cs="Times New Roman" w:hAnsi="Times New Roman" w:ascii="Times New Roman"/>
          <w:sz w:val="24"/>
          <w:szCs w:val="24"/>
        </w:rPr>
        <w:t>Stečajno</w:t>
      </w:r>
      <w:r w:rsidR="00A11FAA">
        <w:rPr>
          <w:rFonts w:cs="Times New Roman" w:hAnsi="Times New Roman" w:ascii="Times New Roman"/>
          <w:sz w:val="24"/>
          <w:szCs w:val="24"/>
        </w:rPr>
        <w:t>j</w:t>
      </w:r>
      <w:r w:rsidRPr="00096710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A11FAA">
        <w:rPr>
          <w:rFonts w:cs="Times New Roman" w:hAnsi="Times New Roman" w:ascii="Times New Roman"/>
          <w:sz w:val="24"/>
          <w:szCs w:val="24"/>
        </w:rPr>
        <w:t>ici</w:t>
      </w:r>
      <w:r w:rsidRPr="00096710">
        <w:rPr>
          <w:rFonts w:cs="Times New Roman" w:hAnsi="Times New Roman" w:ascii="Times New Roman"/>
          <w:sz w:val="24"/>
          <w:szCs w:val="24"/>
        </w:rPr>
        <w:t xml:space="preserve"> </w:t>
      </w:r>
      <w:r w:rsidR="00A11FAA">
        <w:rPr>
          <w:rFonts w:cs="Times New Roman" w:hAnsi="Times New Roman" w:ascii="Times New Roman"/>
          <w:sz w:val="24"/>
          <w:szCs w:val="24"/>
        </w:rPr>
        <w:t>Branki Malbašić</w:t>
      </w:r>
      <w:r w:rsidR="00BB6229">
        <w:rPr>
          <w:rFonts w:cs="Times New Roman" w:hAnsi="Times New Roman" w:ascii="Times New Roman"/>
          <w:sz w:val="24"/>
          <w:szCs w:val="24"/>
        </w:rPr>
        <w:t xml:space="preserve"> ime nagrade u ovom stečajnom postupku određuje se iznos od </w:t>
      </w:r>
      <w:r w:rsidR="000F78F8" w:rsidRPr="000F78F8">
        <w:rPr>
          <w:rFonts w:cs="Times New Roman" w:hAnsi="Times New Roman" w:ascii="Times New Roman"/>
          <w:b/>
          <w:sz w:val="24"/>
          <w:szCs w:val="24"/>
        </w:rPr>
        <w:t>290.400,00</w:t>
      </w:r>
      <w:r w:rsidR="00BB6229" w:rsidRPr="000F78F8">
        <w:rPr>
          <w:rFonts w:cs="Times New Roman" w:hAnsi="Times New Roman" w:ascii="Times New Roman"/>
          <w:b/>
          <w:sz w:val="24"/>
          <w:szCs w:val="24"/>
        </w:rPr>
        <w:t xml:space="preserve"> kuna</w:t>
      </w:r>
      <w:r w:rsidR="00BB6229">
        <w:rPr>
          <w:rFonts w:cs="Times New Roman" w:hAnsi="Times New Roman" w:ascii="Times New Roman"/>
          <w:sz w:val="24"/>
          <w:szCs w:val="24"/>
        </w:rPr>
        <w:t xml:space="preserve"> bruto.</w:t>
      </w:r>
    </w:p>
    <w:p w:rsidRDefault="00ED216F" w:rsidP="00096710" w:rsidR="00ED21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96710" w:rsidP="00BB6229" w:rsidR="00096710" w:rsidRPr="00096710">
      <w:pPr>
        <w:jc w:val="center"/>
        <w:rPr>
          <w:rFonts w:cs="Times New Roman" w:hAnsi="Times New Roman" w:ascii="Times New Roman"/>
          <w:sz w:val="24"/>
          <w:szCs w:val="24"/>
        </w:rPr>
      </w:pPr>
      <w:r w:rsidRPr="00096710">
        <w:rPr>
          <w:rFonts w:cs="Times New Roman" w:hAnsi="Times New Roman" w:ascii="Times New Roman"/>
          <w:sz w:val="24"/>
          <w:szCs w:val="24"/>
        </w:rPr>
        <w:t>Obrazloženje</w:t>
      </w:r>
    </w:p>
    <w:p w:rsidRDefault="00096710" w:rsidP="00096710" w:rsidR="00096710">
      <w:pPr>
        <w:jc w:val="both"/>
        <w:rPr>
          <w:rFonts w:cs="Times New Roman" w:hAnsi="Times New Roman" w:ascii="Times New Roman"/>
          <w:sz w:val="24"/>
          <w:szCs w:val="24"/>
        </w:rPr>
      </w:pPr>
      <w:r w:rsidRPr="00096710">
        <w:rPr>
          <w:rFonts w:cs="Times New Roman" w:hAnsi="Times New Roman" w:ascii="Times New Roman"/>
          <w:sz w:val="24"/>
          <w:szCs w:val="24"/>
        </w:rPr>
        <w:tab/>
      </w:r>
      <w:r w:rsidRPr="00096710">
        <w:rPr>
          <w:rFonts w:cs="Times New Roman" w:hAnsi="Times New Roman" w:ascii="Times New Roman"/>
          <w:sz w:val="24"/>
          <w:szCs w:val="24"/>
        </w:rPr>
        <w:tab/>
      </w:r>
    </w:p>
    <w:p w:rsidRDefault="003765C5" w:rsidP="003765C5" w:rsidR="003765C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D216F">
        <w:rPr>
          <w:rFonts w:cs="Times New Roman" w:hAnsi="Times New Roman" w:ascii="Times New Roman"/>
          <w:sz w:val="24"/>
          <w:szCs w:val="24"/>
        </w:rPr>
        <w:t xml:space="preserve">Temeljem odredbe </w:t>
      </w:r>
      <w:r w:rsidR="00ED216F" w:rsidRPr="00096710">
        <w:rPr>
          <w:rFonts w:cs="Times New Roman" w:hAnsi="Times New Roman" w:ascii="Times New Roman"/>
          <w:sz w:val="24"/>
          <w:szCs w:val="24"/>
        </w:rPr>
        <w:t>članka 28. stavak 1., 2. i 3. Stečajnog zakona (NN</w:t>
      </w:r>
      <w:r w:rsidR="00ED216F" w:rsidRPr="00096710">
        <w:rPr>
          <w:rFonts w:cs="Times New Roman" w:hAnsi="Times New Roman" w:ascii="Times New Roman"/>
          <w:bCs/>
          <w:iCs/>
          <w:sz w:val="24"/>
          <w:szCs w:val="24"/>
        </w:rPr>
        <w:t xml:space="preserve"> 44/96, 29/99, 129/00, 123/03, 82/06, 116/10, 25/12 i 133/12)</w:t>
      </w:r>
      <w:r w:rsidR="00ED216F" w:rsidRPr="00096710">
        <w:rPr>
          <w:rFonts w:cs="Times New Roman" w:hAnsi="Times New Roman" w:ascii="Times New Roman"/>
          <w:sz w:val="24"/>
          <w:szCs w:val="24"/>
        </w:rPr>
        <w:t>, visinu nagrade, u vrijeme zak</w:t>
      </w:r>
      <w:r w:rsidR="00ED216F" w:rsidRPr="00096710">
        <w:rPr>
          <w:rFonts w:cs="Times New Roman" w:hAnsi="Times New Roman" w:ascii="Times New Roman"/>
          <w:sz w:val="24"/>
          <w:szCs w:val="24"/>
        </w:rPr>
        <w:softHyphen/>
        <w:t>ljuče</w:t>
      </w:r>
      <w:r w:rsidR="00ED216F" w:rsidRPr="00096710">
        <w:rPr>
          <w:rFonts w:cs="Times New Roman" w:hAnsi="Times New Roman" w:ascii="Times New Roman"/>
          <w:sz w:val="24"/>
          <w:szCs w:val="24"/>
        </w:rPr>
        <w:softHyphen/>
        <w:t>nja stečajnog postupka, određuje stečajni sudac uzimajući u obzir obujam poslova i rad stečajnoga upravite</w:t>
      </w:r>
      <w:r w:rsidR="00ED216F" w:rsidRPr="00096710">
        <w:rPr>
          <w:rFonts w:cs="Times New Roman" w:hAnsi="Times New Roman" w:ascii="Times New Roman"/>
          <w:sz w:val="24"/>
          <w:szCs w:val="24"/>
        </w:rPr>
        <w:softHyphen/>
        <w:t xml:space="preserve">lja te vrijednost unovčene stečajne mase. </w:t>
      </w:r>
      <w:r w:rsidRPr="003765C5">
        <w:rPr>
          <w:rFonts w:cs="Times New Roman" w:hAnsi="Times New Roman" w:ascii="Times New Roman"/>
          <w:sz w:val="24"/>
          <w:szCs w:val="24"/>
        </w:rPr>
        <w:t xml:space="preserve">Prema prijelaznim i završnim odredbama članka 444. stavak 1. Stečajnog zakona (Narodne novine, broj 71/15; nastavno: SZ), </w:t>
      </w:r>
      <w:r>
        <w:rPr>
          <w:rFonts w:cs="Times New Roman" w:hAnsi="Times New Roman" w:ascii="Times New Roman"/>
          <w:sz w:val="24"/>
          <w:szCs w:val="24"/>
        </w:rPr>
        <w:t xml:space="preserve">pri određivanju </w:t>
      </w:r>
      <w:r w:rsidRPr="003765C5">
        <w:rPr>
          <w:rFonts w:cs="Times New Roman" w:hAnsi="Times New Roman" w:ascii="Times New Roman"/>
          <w:sz w:val="24"/>
          <w:szCs w:val="24"/>
        </w:rPr>
        <w:t xml:space="preserve">nagrade stečajnom upravitelju i utvrđenja troškova </w:t>
      </w:r>
      <w:r>
        <w:rPr>
          <w:rFonts w:cs="Times New Roman" w:hAnsi="Times New Roman" w:ascii="Times New Roman"/>
          <w:sz w:val="24"/>
          <w:szCs w:val="24"/>
        </w:rPr>
        <w:t xml:space="preserve">u ovom predmetu </w:t>
      </w:r>
      <w:r w:rsidRPr="003765C5">
        <w:rPr>
          <w:rFonts w:cs="Times New Roman" w:hAnsi="Times New Roman" w:ascii="Times New Roman"/>
          <w:sz w:val="24"/>
          <w:szCs w:val="24"/>
        </w:rPr>
        <w:t xml:space="preserve">primjenjuju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0F78F8">
        <w:rPr>
          <w:rFonts w:cs="Times New Roman" w:hAnsi="Times New Roman" w:ascii="Times New Roman"/>
          <w:sz w:val="24"/>
          <w:szCs w:val="24"/>
        </w:rPr>
        <w:t xml:space="preserve">dakle </w:t>
      </w:r>
      <w:r w:rsidR="00ED216F">
        <w:rPr>
          <w:rFonts w:cs="Times New Roman" w:hAnsi="Times New Roman" w:ascii="Times New Roman"/>
          <w:sz w:val="24"/>
          <w:szCs w:val="24"/>
        </w:rPr>
        <w:t>odredbe toga zakona a ne starog Stečajnog zakona</w:t>
      </w:r>
      <w:r w:rsidR="000F78F8">
        <w:rPr>
          <w:rFonts w:cs="Times New Roman" w:hAnsi="Times New Roman" w:ascii="Times New Roman"/>
          <w:sz w:val="24"/>
          <w:szCs w:val="24"/>
        </w:rPr>
        <w:t xml:space="preserve"> (Narodne novine, broj 44/96). </w:t>
      </w:r>
      <w:r w:rsidRPr="003765C5">
        <w:rPr>
          <w:rFonts w:cs="Times New Roman" w:hAnsi="Times New Roman" w:ascii="Times New Roman"/>
          <w:sz w:val="24"/>
          <w:szCs w:val="24"/>
        </w:rPr>
        <w:tab/>
      </w:r>
      <w:r w:rsidRPr="003765C5">
        <w:rPr>
          <w:rFonts w:cs="Times New Roman" w:hAnsi="Times New Roman" w:ascii="Times New Roman"/>
          <w:sz w:val="24"/>
          <w:szCs w:val="24"/>
        </w:rPr>
        <w:tab/>
      </w:r>
    </w:p>
    <w:p w:rsidRDefault="00ED216F" w:rsidP="003765C5" w:rsidR="00ED216F" w:rsidRPr="003765C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765C5" w:rsidP="003765C5" w:rsidR="000F78F8">
      <w:pPr>
        <w:jc w:val="both"/>
        <w:rPr>
          <w:rFonts w:cs="Times New Roman" w:hAnsi="Times New Roman" w:ascii="Times New Roman"/>
          <w:sz w:val="24"/>
          <w:szCs w:val="24"/>
        </w:rPr>
      </w:pPr>
      <w:r w:rsidRPr="003765C5">
        <w:rPr>
          <w:rFonts w:cs="Times New Roman" w:hAnsi="Times New Roman" w:ascii="Times New Roman"/>
          <w:sz w:val="24"/>
          <w:szCs w:val="24"/>
        </w:rPr>
        <w:tab/>
        <w:t xml:space="preserve">U ovom stečajnom postupku unovčena je </w:t>
      </w:r>
      <w:r w:rsidR="000F78F8">
        <w:rPr>
          <w:rFonts w:cs="Times New Roman" w:hAnsi="Times New Roman" w:ascii="Times New Roman"/>
          <w:sz w:val="24"/>
          <w:szCs w:val="24"/>
        </w:rPr>
        <w:t xml:space="preserve">sva a ujedno i jedina imovina dužnika, i to nekretnina u k.o. Lekenik, na kojima je postojalo razlučno pravo upisano u korist </w:t>
      </w:r>
      <w:r w:rsidR="000F78F8" w:rsidRPr="000F78F8">
        <w:rPr>
          <w:rFonts w:cs="Times New Roman" w:hAnsi="Times New Roman" w:ascii="Times New Roman"/>
          <w:sz w:val="24"/>
          <w:szCs w:val="24"/>
        </w:rPr>
        <w:t>Raiffeisenbank Au</w:t>
      </w:r>
      <w:r w:rsidR="000F78F8">
        <w:rPr>
          <w:rFonts w:cs="Times New Roman" w:hAnsi="Times New Roman" w:ascii="Times New Roman"/>
          <w:sz w:val="24"/>
          <w:szCs w:val="24"/>
        </w:rPr>
        <w:t xml:space="preserve">stria d.d. Zagreb i Republike Hrvatske, </w:t>
      </w:r>
      <w:r w:rsidRPr="003765C5">
        <w:rPr>
          <w:rFonts w:cs="Times New Roman" w:hAnsi="Times New Roman" w:ascii="Times New Roman"/>
          <w:sz w:val="24"/>
          <w:szCs w:val="24"/>
        </w:rPr>
        <w:t xml:space="preserve">za iznos od </w:t>
      </w:r>
      <w:r w:rsidR="000F78F8">
        <w:rPr>
          <w:rFonts w:cs="Times New Roman" w:hAnsi="Times New Roman" w:ascii="Times New Roman"/>
          <w:sz w:val="24"/>
          <w:szCs w:val="24"/>
        </w:rPr>
        <w:t>3.720.000,00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3A646C">
        <w:rPr>
          <w:rFonts w:cs="Times New Roman" w:hAnsi="Times New Roman" w:ascii="Times New Roman"/>
          <w:sz w:val="24"/>
          <w:szCs w:val="24"/>
        </w:rPr>
        <w:t>, i to rješenjem o dosudi ovoga suda posl. broj St-121/15-58 od 14. rujna 2017.</w:t>
      </w:r>
    </w:p>
    <w:p w:rsidRDefault="000F78F8" w:rsidP="003765C5" w:rsidR="000F78F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646C" w:rsidP="003765C5" w:rsidR="003765C5" w:rsidRPr="003765C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</w:t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 obzirom na vrijeme poduzimanja </w:t>
      </w:r>
      <w:r>
        <w:rPr>
          <w:rFonts w:cs="Times New Roman" w:hAnsi="Times New Roman" w:ascii="Times New Roman"/>
          <w:sz w:val="24"/>
          <w:szCs w:val="24"/>
        </w:rPr>
        <w:t xml:space="preserve">navedenih </w:t>
      </w:r>
      <w:r w:rsidR="003765C5" w:rsidRPr="003765C5">
        <w:rPr>
          <w:rFonts w:cs="Times New Roman" w:hAnsi="Times New Roman" w:ascii="Times New Roman"/>
          <w:sz w:val="24"/>
          <w:szCs w:val="24"/>
        </w:rPr>
        <w:t>radnji</w:t>
      </w:r>
      <w:r>
        <w:rPr>
          <w:rFonts w:cs="Times New Roman" w:hAnsi="Times New Roman" w:ascii="Times New Roman"/>
          <w:sz w:val="24"/>
          <w:szCs w:val="24"/>
        </w:rPr>
        <w:t xml:space="preserve"> unovčenja nekretnine,</w:t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 pri obračunu i određivanju nagrade stečajnom upravitelju primjenjuje se Uredba o kriterijima i načinu obračuna </w:t>
      </w:r>
      <w:r w:rsidR="003765C5">
        <w:rPr>
          <w:rFonts w:cs="Times New Roman" w:hAnsi="Times New Roman" w:ascii="Times New Roman"/>
          <w:sz w:val="24"/>
          <w:szCs w:val="24"/>
        </w:rPr>
        <w:t>i</w:t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 plaćanja nagrade stečajnim upraviteljima (NN 106/15) i to odredba članka 7. navedene Uredbe, koja se odnosi na nagradu po osnovi vrijednosti unovčene imovine. S obzirom na osnovicu od </w:t>
      </w:r>
      <w:r>
        <w:rPr>
          <w:rFonts w:cs="Times New Roman" w:hAnsi="Times New Roman" w:ascii="Times New Roman"/>
          <w:sz w:val="24"/>
          <w:szCs w:val="24"/>
        </w:rPr>
        <w:t>3.720.000,00</w:t>
      </w:r>
      <w:r w:rsidR="003765C5" w:rsidRPr="003765C5">
        <w:rPr>
          <w:rFonts w:cs="Times New Roman" w:hAnsi="Times New Roman" w:ascii="Times New Roman"/>
          <w:sz w:val="24"/>
          <w:szCs w:val="24"/>
        </w:rPr>
        <w:t xml:space="preserve"> kn, </w:t>
      </w:r>
      <w:r>
        <w:rPr>
          <w:rFonts w:cs="Times New Roman" w:hAnsi="Times New Roman" w:ascii="Times New Roman"/>
          <w:sz w:val="24"/>
          <w:szCs w:val="24"/>
        </w:rPr>
        <w:t xml:space="preserve">stečajna upraviteljica po toj osnovi ima pravo na nagradu u iznosu od 290.400,00 kuna. </w:t>
      </w:r>
      <w:r w:rsidR="003765C5">
        <w:rPr>
          <w:rFonts w:cs="Times New Roman" w:hAnsi="Times New Roman" w:ascii="Times New Roman"/>
          <w:sz w:val="24"/>
          <w:szCs w:val="24"/>
        </w:rPr>
        <w:t>Navedeni iznos predstavlja bruto iznos, sukladno članku 15. Uredbe.</w:t>
      </w:r>
    </w:p>
    <w:p w:rsidRDefault="003765C5" w:rsidP="003765C5" w:rsidR="003765C5" w:rsidRPr="003765C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765C5" w:rsidP="003765C5" w:rsidR="003765C5">
      <w:pPr>
        <w:jc w:val="both"/>
        <w:rPr>
          <w:rFonts w:cs="Times New Roman" w:hAnsi="Times New Roman" w:ascii="Times New Roman"/>
          <w:sz w:val="24"/>
          <w:szCs w:val="24"/>
        </w:rPr>
      </w:pPr>
      <w:r w:rsidRPr="003765C5">
        <w:rPr>
          <w:rFonts w:cs="Times New Roman" w:hAnsi="Times New Roman" w:ascii="Times New Roman"/>
          <w:sz w:val="24"/>
          <w:szCs w:val="24"/>
        </w:rPr>
        <w:lastRenderedPageBreak/>
        <w:tab/>
        <w:t xml:space="preserve">Slijedom navedenog, a temeljem članka 5. cit. Uredbe te članka 94. stavak 1. i 2. SZ riješeno je kao u </w:t>
      </w:r>
      <w:r w:rsidR="00BB6229">
        <w:rPr>
          <w:rFonts w:cs="Times New Roman" w:hAnsi="Times New Roman" w:ascii="Times New Roman"/>
          <w:sz w:val="24"/>
          <w:szCs w:val="24"/>
        </w:rPr>
        <w:t xml:space="preserve">izreci. </w:t>
      </w:r>
    </w:p>
    <w:p w:rsidRDefault="003A646C" w:rsidP="003765C5" w:rsidR="003A64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BB6229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3A646C">
        <w:rPr>
          <w:rFonts w:cs="Times New Roman" w:hAnsi="Times New Roman" w:ascii="Times New Roman"/>
          <w:sz w:val="24"/>
          <w:szCs w:val="24"/>
        </w:rPr>
        <w:t xml:space="preserve">6. listopada </w:t>
      </w:r>
      <w:r w:rsidR="00593095">
        <w:rPr>
          <w:rFonts w:cs="Times New Roman" w:hAnsi="Times New Roman" w:ascii="Times New Roman"/>
          <w:sz w:val="24"/>
          <w:szCs w:val="24"/>
        </w:rPr>
        <w:t>201</w:t>
      </w:r>
      <w:r w:rsidR="004E766C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061D3F">
        <w:rPr>
          <w:rFonts w:cs="Times New Roman" w:hAnsi="Times New Roman" w:ascii="Times New Roman"/>
          <w:sz w:val="24"/>
          <w:szCs w:val="24"/>
        </w:rPr>
        <w:t>, v.r.</w:t>
      </w:r>
    </w:p>
    <w:p w:rsidRDefault="003A646C" w:rsidP="00E56909" w:rsidR="003A646C">
      <w:pPr>
        <w:jc w:val="both"/>
        <w:rPr>
          <w:rFonts w:hAnsi="Times New Roman" w:ascii="Times New Roman"/>
          <w:sz w:val="24"/>
          <w:szCs w:val="24"/>
        </w:rPr>
      </w:pPr>
    </w:p>
    <w:p w:rsidRDefault="00241AAA" w:rsidP="00E56909" w:rsidR="00241AAA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241AAA" w:rsidR="00FD2099" w:rsidRPr="00241AAA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>
        <w:rPr>
          <w:rFonts w:cs="Times New Roman" w:hAnsi="Times New Roman" w:ascii="Times New Roman"/>
          <w:sz w:val="24"/>
          <w:szCs w:val="24"/>
        </w:rPr>
        <w:t xml:space="preserve">Na ovog rješenje dopuštena je </w:t>
      </w:r>
      <w:r w:rsidRPr="00684FD5">
        <w:rPr>
          <w:rFonts w:cs="Times New Roman" w:hAnsi="Times New Roman" w:ascii="Times New Roman"/>
          <w:sz w:val="24"/>
          <w:szCs w:val="24"/>
        </w:rPr>
        <w:t>žalba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84FD5">
        <w:rPr>
          <w:rFonts w:cs="Times New Roman" w:hAnsi="Times New Roman" w:ascii="Times New Roman"/>
          <w:sz w:val="24"/>
          <w:szCs w:val="24"/>
        </w:rPr>
        <w:t>koja se podnosi ovome sudu</w:t>
      </w:r>
      <w:r>
        <w:rPr>
          <w:rFonts w:cs="Times New Roman" w:hAnsi="Times New Roman" w:ascii="Times New Roman"/>
          <w:sz w:val="24"/>
          <w:szCs w:val="24"/>
        </w:rPr>
        <w:t xml:space="preserve"> u roku osam dana od primitka,</w:t>
      </w:r>
      <w:r w:rsidRPr="00684FD5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tri</w:t>
      </w:r>
      <w:r w:rsidRPr="00684FD5">
        <w:rPr>
          <w:rFonts w:cs="Times New Roman" w:hAnsi="Times New Roman" w:ascii="Times New Roman"/>
          <w:sz w:val="24"/>
          <w:szCs w:val="24"/>
        </w:rPr>
        <w:t xml:space="preserve"> primjerka. </w:t>
      </w:r>
      <w:r w:rsidR="00D11CC5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61D3F" w:rsidR="00061D3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61D3F" w:rsidR="00061D3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61D3F" w:rsidR="00061D3F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061D3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61D3F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061D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61D3F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3A646C" w:rsidRPr="00061D3F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Pr="00061D3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3A646C" w:rsidRPr="00061D3F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Pr="00061D3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730631" w:rsidP="004E766C" w:rsidR="00730631" w:rsidRPr="00061D3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61D3F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sectPr w:rsidSect="00FB64FF" w:rsidR="00730631" w:rsidRPr="00061D3F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842" w:rsidR="00434842">
      <w:r>
        <w:separator/>
      </w:r>
    </w:p>
  </w:endnote>
  <w:endnote w:id="0" w:type="continuationSeparator">
    <w:p w:rsidRDefault="00434842" w:rsidR="00434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842" w:rsidR="00434842">
      <w:r>
        <w:separator/>
      </w:r>
    </w:p>
  </w:footnote>
  <w:footnote w:id="0" w:type="continuationSeparator">
    <w:p w:rsidRDefault="00434842" w:rsidR="004348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1F3E71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3A646C">
      <w:rPr>
        <w:rFonts w:cs="Times New Roman" w:hAnsi="Times New Roman" w:ascii="Times New Roman"/>
      </w:rPr>
      <w:t>1</w:t>
    </w:r>
    <w:r w:rsidR="00061D3F">
      <w:rPr>
        <w:rFonts w:cs="Times New Roman" w:hAnsi="Times New Roman" w:ascii="Times New Roman"/>
      </w:rPr>
      <w:t>2</w:t>
    </w:r>
    <w:r w:rsidR="003A646C">
      <w:rPr>
        <w:rFonts w:cs="Times New Roman" w:hAnsi="Times New Roman" w:ascii="Times New Roman"/>
      </w:rPr>
      <w:t>1/15</w:t>
    </w:r>
    <w:r w:rsidR="00061D3F">
      <w:rPr>
        <w:rFonts w:cs="Times New Roman" w:hAnsi="Times New Roman" w:ascii="Times New Roman"/>
      </w:rPr>
      <w:t>-63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1FAA"/>
    <w:rsid w:val="00020BA4"/>
    <w:rsid w:val="00032919"/>
    <w:rsid w:val="00061D3F"/>
    <w:rsid w:val="0006417A"/>
    <w:rsid w:val="0006505A"/>
    <w:rsid w:val="00071D41"/>
    <w:rsid w:val="00082920"/>
    <w:rsid w:val="00096710"/>
    <w:rsid w:val="000D43A7"/>
    <w:rsid w:val="000F17DB"/>
    <w:rsid w:val="000F5299"/>
    <w:rsid w:val="000F78F8"/>
    <w:rsid w:val="00161EF0"/>
    <w:rsid w:val="001E4E5F"/>
    <w:rsid w:val="001F3E71"/>
    <w:rsid w:val="00235AAE"/>
    <w:rsid w:val="00241AAA"/>
    <w:rsid w:val="00281E63"/>
    <w:rsid w:val="0028293E"/>
    <w:rsid w:val="00286C7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765C5"/>
    <w:rsid w:val="003A646C"/>
    <w:rsid w:val="003C6959"/>
    <w:rsid w:val="003D2F49"/>
    <w:rsid w:val="003E367D"/>
    <w:rsid w:val="004155FA"/>
    <w:rsid w:val="004269FC"/>
    <w:rsid w:val="00434842"/>
    <w:rsid w:val="004401EA"/>
    <w:rsid w:val="00465AF4"/>
    <w:rsid w:val="00473DB3"/>
    <w:rsid w:val="004B074A"/>
    <w:rsid w:val="004E5730"/>
    <w:rsid w:val="004E766C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97D8D"/>
    <w:rsid w:val="006E69A4"/>
    <w:rsid w:val="006F5244"/>
    <w:rsid w:val="0070325F"/>
    <w:rsid w:val="00715072"/>
    <w:rsid w:val="00727277"/>
    <w:rsid w:val="00730631"/>
    <w:rsid w:val="007519B3"/>
    <w:rsid w:val="00764AEE"/>
    <w:rsid w:val="00777CCA"/>
    <w:rsid w:val="007B393E"/>
    <w:rsid w:val="007C422F"/>
    <w:rsid w:val="007E7126"/>
    <w:rsid w:val="007F2918"/>
    <w:rsid w:val="00837150"/>
    <w:rsid w:val="00853AD8"/>
    <w:rsid w:val="00881589"/>
    <w:rsid w:val="008B6B41"/>
    <w:rsid w:val="008C0419"/>
    <w:rsid w:val="008D1C64"/>
    <w:rsid w:val="008D4CA2"/>
    <w:rsid w:val="008E0B1D"/>
    <w:rsid w:val="008F569D"/>
    <w:rsid w:val="008F639D"/>
    <w:rsid w:val="009376BE"/>
    <w:rsid w:val="00946170"/>
    <w:rsid w:val="00953DED"/>
    <w:rsid w:val="00981BDB"/>
    <w:rsid w:val="009B3748"/>
    <w:rsid w:val="009D0ED3"/>
    <w:rsid w:val="009E33FD"/>
    <w:rsid w:val="009F0284"/>
    <w:rsid w:val="009F3306"/>
    <w:rsid w:val="00A06518"/>
    <w:rsid w:val="00A11FAA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B084F"/>
    <w:rsid w:val="00BB1001"/>
    <w:rsid w:val="00BB6229"/>
    <w:rsid w:val="00BE6626"/>
    <w:rsid w:val="00C04421"/>
    <w:rsid w:val="00C26F03"/>
    <w:rsid w:val="00C40EA5"/>
    <w:rsid w:val="00C711C9"/>
    <w:rsid w:val="00C7499C"/>
    <w:rsid w:val="00C83AC2"/>
    <w:rsid w:val="00C85527"/>
    <w:rsid w:val="00CA22FE"/>
    <w:rsid w:val="00CE6259"/>
    <w:rsid w:val="00D11CC5"/>
    <w:rsid w:val="00D12600"/>
    <w:rsid w:val="00D373D4"/>
    <w:rsid w:val="00D74871"/>
    <w:rsid w:val="00D85A1E"/>
    <w:rsid w:val="00DA0460"/>
    <w:rsid w:val="00DC1C1F"/>
    <w:rsid w:val="00DC2BB6"/>
    <w:rsid w:val="00DE6A41"/>
    <w:rsid w:val="00E107B5"/>
    <w:rsid w:val="00E41305"/>
    <w:rsid w:val="00E8658C"/>
    <w:rsid w:val="00E9259A"/>
    <w:rsid w:val="00EC458F"/>
    <w:rsid w:val="00EC6731"/>
    <w:rsid w:val="00ED216F"/>
    <w:rsid w:val="00EE7204"/>
    <w:rsid w:val="00EF425A"/>
    <w:rsid w:val="00F206F2"/>
    <w:rsid w:val="00F44EA9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F3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E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E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E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E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F3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E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E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E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E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GLAMUZINA&amp;GROŠETA; ALEXANDER COMMERCE d.o.o. za unutarnju i vanjsku trgovinu</izvorni_sadrzaj>
    <derivirana_varijabla naziv="DomainObject.Predmet.StrankaFormated_1">  Raiffeisenbank Austria d.d. zastupanog po punomoćniku OD GLAMUZINA&amp;GROŠETA; ALEXANDER COMMERCE d.o.o. za unutarnju i vanjsku trgovinu</derivirana_varijabla>
  </DomainObject.Predmet.StrankaFormated>
  <DomainObject.Predmet.StrankaFormatedOIB>
    <izvorni_sadrzaj>  Raiffeisenbank Austria d.d., OIB 53056966535 zastupanog po punomoćniku OD GLAMUZINA&amp;GROŠETA; ALEXANDER COMMERCE d.o.o. za unutarnju i vanjsku trgovinu, OIB 45858721414</izvorni_sadrzaj>
    <derivirana_varijabla naziv="DomainObject.Predmet.StrankaFormatedOIB_1">  Raiffeisenbank Austria d.d., OIB 53056966535 zastupanog po punomoćniku OD GLAMUZINA&amp;GROŠETA; ALEXANDER COMMERCE d.o.o. za unutarnju i vanjsku trgovinu, OIB 45858721414</derivirana_varijabla>
  </DomainObject.Predmet.StrankaFormatedOIB>
  <DomainObject.Predmet.StrankaFormatedWithAdress>
    <izvorni_sadrzaj> Raiffeisenbank Austria d.d., Petrinjska 59, 10000 Zagreb zastupanog po punomoćniku OD GLAMUZINA&amp;GROŠETA; ALEXANDER COMMERCE d.o.o. za unutarnju i vanjsku trgovinu, Prilaz Vladislava Brajkovića 14, 10000 Zagreb</izvorni_sadrzaj>
    <derivirana_varijabla naziv="DomainObject.Predmet.StrankaFormatedWithAdress_1"> Raiffeisenbank Austria d.d., Petrinjska 59, 10000 Zagreb zastupanog po punomoćniku OD GLAMUZINA&amp;GROŠETA; ALEXANDER COMMERCE d.o.o. za unutarnju i vanjsku trgovinu, Prilaz Vladislava Brajkovića 14, 10000 Zagreb</derivirana_varijabla>
  </DomainObject.Predmet.StrankaFormatedWithAdress>
  <DomainObject.Predmet.StrankaFormatedWithAdressOIB>
    <izvorni_sadrzaj> Raiffeisenbank Austria d.d., OIB 53056966535, Petrinjska 59, 10000 Zagreb zastupanog po punomoćniku OD GLAMUZINA&amp;GROŠETA; ALEXANDER COMMERCE d.o.o. za unutarnju i vanjsku trgovinu, OIB 45858721414, Prilaz Vladislava Brajkovića 14, 10000 Zagreb</izvorni_sadrzaj>
    <derivirana_varijabla naziv="DomainObject.Predmet.StrankaFormatedWithAdressOIB_1"> Raiffeisenbank Austria d.d., OIB 53056966535, Petrinjska 59, 10000 Zagreb zastupanog po punomoćniku OD GLAMUZINA&amp;GROŠETA; ALEXANDER COMMERCE d.o.o. za unutarnju i vanjsku trgovinu, OIB 45858721414, Prilaz Vladislava Brajkovića 14, 10000 Zagreb</derivirana_varijabla>
  </DomainObject.Predmet.StrankaFormatedWithAdressOIB>
  <DomainObject.Predmet.StrankaWithAdress>
    <izvorni_sadrzaj>Raiffeisenbank Austria d.d. Petrinjska 59,10000 Zagreb,ALEXANDER COMMERCE d.o.o. za unutarnju i vanjsku trgovinu Prilaz Vladislava Brajkovića 14,10000 Zagreb</izvorni_sadrzaj>
    <derivirana_varijabla naziv="DomainObject.Predmet.StrankaWithAdress_1">Raiffeisenbank Austria d.d. Petrinjska 59,10000 Zagreb,ALEXANDER COMMERCE d.o.o. za unutarnju i vanjsku trgovinu Prilaz Vladislava Brajkovića 14,10000 Zagreb</derivirana_varijabla>
  </DomainObject.Predmet.StrankaWithAdress>
  <DomainObject.Predmet.StrankaWithAdressOIB>
    <izvorni_sadrzaj>Raiffeisenbank Austria d.d., OIB 53056966535, Petrinjska 59,10000 Zagreb,ALEXANDER COMMERCE d.o.o. za unutarnju i vanjsku trgovinu, OIB 45858721414, Prilaz Vladislava Brajkovića 14,10000 Zagreb</izvorni_sadrzaj>
    <derivirana_varijabla naziv="DomainObject.Predmet.StrankaWithAdressOIB_1">Raiffeisenbank Austria d.d., OIB 53056966535, Petrinjska 59,10000 Zagreb,ALEXANDER COMMERCE d.o.o. za unutarnju i vanjsku trgovinu, OIB 45858721414, Prilaz Vladislava Brajkovića 14,10000 Zagreb</derivirana_varijabla>
  </DomainObject.Predmet.StrankaWithAdressOIB>
  <DomainObject.Predmet.StrankaNazivFormated>
    <izvorni_sadrzaj>Raiffeisenbank Austria d.d.,ALEXANDER COMMERCE d.o.o. za unutarnju i vanjsku trgovinu</izvorni_sadrzaj>
    <derivirana_varijabla naziv="DomainObject.Predmet.StrankaNazivFormated_1">Raiffeisenbank Austria d.d.,ALEXANDER COMMERCE d.o.o. za unutarnju i vanjsku trgovinu</derivirana_varijabla>
  </DomainObject.Predmet.StrankaNazivFormated>
  <DomainObject.Predmet.StrankaNazivFormatedOIB>
    <izvorni_sadrzaj>Raiffeisenbank Austria d.d., OIB 53056966535,ALEXANDER COMMERCE d.o.o. za unutarnju i vanjsku trgovinu, OIB 45858721414</izvorni_sadrzaj>
    <derivirana_varijabla naziv="DomainObject.Predmet.StrankaNazivFormatedOIB_1">Raiffeisenbank Austria d.d., OIB 53056966535,ALEXANDER COMMERCE d.o.o. za unutarnju i vanjsku trgovinu, OIB 45858721414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  <item>ALEXANDER COMMERCE d.o.o. za unutarnju i vanjsku trgovinu</item>
    </izvorni_sadrzaj>
    <derivirana_varijabla naziv="DomainObject.Predmet.StrankaListFormated_1">
      <item>Raiffeisenbank Austria d.d. zastupanog po punomoćniku OD GLAMUZINA&amp;GROŠETA</item>
      <item>ALEXANDER COMMERCE d.o.o. za unutarnju i vanjsku trgovinu</item>
    </derivirana_varijabla>
  </DomainObject.Predmet.StrankaListFormated>
  <DomainObject.Predmet.StrankaListFormatedOIB>
    <izvorni_sadrzaj>
      <item>Raiffeisenbank Austria d.d., OIB 53056966535 zastupanog po punomoćniku OD GLAMUZINA&amp;GROŠETA</item>
      <item>ALEXANDER COMMERCE d.o.o. za unutarnju i vanjsku trgovinu, OIB 45858721414</item>
    </izvorni_sadrzaj>
    <derivirana_varijabla naziv="DomainObject.Predmet.StrankaListFormatedOIB_1">
      <item>Raiffeisenbank Austria d.d., OIB 53056966535 zastupanog po punomoćniku OD GLAMUZINA&amp;GROŠETA</item>
      <item>ALEXANDER COMMERCE d.o.o. za unutarnju i vanjsku trgovinu, OIB 45858721414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  <item>ALEXANDER COMMERCE d.o.o. za unutarnju i vanjsku trgovinu, Prilaz Vladislava Brajkovića 14, 10000 Zagreb</item>
    </izvorni_sadrzaj>
    <derivirana_varijabla naziv="DomainObject.Predmet.StrankaListFormatedWithAdress_1">
      <item>Raiffeisenbank Austria d.d., Petrinjska 59, 10000 Zagreb zastupanog po punomoćniku OD GLAMUZINA&amp;GROŠETA</item>
      <item>ALEXANDER COMMERCE d.o.o. za unutarnju i vanjsku trgovinu, Prilaz Vladislava Brajkovića 14,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izvorni_sadrzaj>
    <derivirana_varijabla naziv="DomainObject.Predmet.StrankaListFormatedWithAdressOIB_1"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derivirana_varijabla>
  </DomainObject.Predmet.StrankaListFormatedWithAdressOIB>
  <DomainObject.Predmet.StrankaListNazivFormated>
    <izvorni_sadrzaj>
      <item>Raiffeisenbank Austria d.d.</item>
      <item>ALEXANDER COMMERCE d.o.o. za unutarnju i vanjsku trgovinu</item>
    </izvorni_sadrzaj>
    <derivirana_varijabla naziv="DomainObject.Predmet.StrankaListNazivFormated_1">
      <item>Raiffeisenbank Austria d.d.</item>
      <item>ALEXANDER COMMERCE d.o.o. za unutarnju i vanjsku trgovinu</item>
    </derivirana_varijabla>
  </DomainObject.Predmet.StrankaListNazivFormated>
  <DomainObject.Predmet.StrankaListNazivFormatedOIB>
    <izvorni_sadrzaj>
      <item>Raiffeisenbank Austria d.d., OIB 53056966535</item>
      <item>ALEXANDER COMMERCE d.o.o. za unutarnju i vanjsku trgovinu, OIB 45858721414</item>
    </izvorni_sadrzaj>
    <derivirana_varijabla naziv="DomainObject.Predmet.StrankaListNazivFormatedOIB_1">
      <item>Raiffeisenbank Austria d.d., OIB 53056966535</item>
      <item>ALEXANDER COMMERCE d.o.o. za unutarnju i vanjsku trgovinu, OIB 45858721414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  <item>ALEXANDER COMMERCE d.o.o. za unutarnju i vanjsku trgovinu</item>
    </izvorni_sadrzaj>
    <derivirana_varijabla naziv="DomainObject.Predmet.SudioniciListNaziv_1">
      <item>Raiffeisenbank Austria d.d.</item>
      <item>EDURO d.o.o.</item>
      <item>OD GLAMUZINA&amp;GROŠETA</item>
      <item>Branka Malbašić</item>
      <item>ALEXANDER COMMERCE d.o.o. za unutarnju i vanjsku trgovinu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  <item>, OIB 45858721414</item>
    </izvorni_sadrzaj>
    <derivirana_varijabla naziv="DomainObject.Predmet.SudioniciListNazivOIB_1">
      <item>, OIB 53056966535</item>
      <item>, OIB 33147244985</item>
      <item>, OIB null</item>
      <item>, OIB 93517569919</item>
      <item>, OIB 45858721414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1980</properties:Characters>
  <properties:Lines>63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2017-10-06T11:37:00Z</dcterms:created>
  <dc:creator>MK</dc:creator>
  <cp:lastModifiedBy>Sonja Pilić</cp:lastModifiedBy>
  <cp:lastPrinted>2017-10-06T11:45:00Z</cp:lastPrinted>
  <dcterms:modified xmlns:xsi="http://www.w3.org/2001/XMLSchema-instance" xsi:type="dcterms:W3CDTF">2017-10-06T11:52:00Z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