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f475" w14:paraId="584f475" w:rsidRDefault="00D26C22"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26C22" w:rsidP="00D26C22" w:rsidR="00D26C22" w:rsidRPr="00D26C22">
      <w:pPr>
        <w:keepNext/>
        <w:spacing w:after="0"/>
        <w:jc w:val="both"/>
        <w:outlineLvl w:val="0"/>
        <w:rPr>
          <w:rFonts w:cs="Times New Roman" w:eastAsia="Arial Unicode MS"/>
          <w:b/>
          <w:bCs/>
          <w:lang w:eastAsia="hr-HR"/>
        </w:rPr>
      </w:pPr>
      <w:r w:rsidRPr="00D26C22">
        <w:rPr>
          <w:rFonts w:cs="Times New Roman" w:eastAsia="Arial Unicode MS"/>
          <w:b/>
          <w:bCs/>
          <w:lang w:eastAsia="hr-HR"/>
        </w:rPr>
        <w:t xml:space="preserve">   REPUBLIKA HRVATSKA</w:t>
      </w:r>
    </w:p>
    <w:p w:rsidRDefault="00D26C22" w:rsidP="00D26C22" w:rsidR="00D26C22" w:rsidRPr="00D26C22">
      <w:pPr>
        <w:spacing w:after="0"/>
        <w:jc w:val="both"/>
        <w:rPr>
          <w:rFonts w:cs="Times New Roman" w:eastAsia="Times New Roman"/>
          <w:b/>
          <w:szCs w:val="20"/>
          <w:lang w:val="en-US"/>
        </w:rPr>
      </w:pPr>
      <w:r w:rsidRPr="00D26C22">
        <w:rPr>
          <w:rFonts w:cs="Times New Roman" w:eastAsia="Times New Roman"/>
          <w:b/>
          <w:lang w:val="fr-FR"/>
        </w:rPr>
        <w:t xml:space="preserve">TRGOVAČKI SUD U SPLITU </w:t>
      </w:r>
      <w:r w:rsidRPr="00D26C22">
        <w:rPr>
          <w:rFonts w:cs="Times New Roman" w:eastAsia="Times New Roman"/>
          <w:lang w:val="fr-FR"/>
        </w:rPr>
        <w:t xml:space="preserve">            </w:t>
      </w:r>
      <w:r w:rsidRPr="00D26C22">
        <w:rPr>
          <w:rFonts w:cs="Times New Roman" w:eastAsia="Times New Roman"/>
          <w:lang w:val="fr-FR"/>
        </w:rPr>
        <w:tab/>
      </w:r>
      <w:r w:rsidRPr="00D26C22">
        <w:rPr>
          <w:rFonts w:cs="Times New Roman" w:eastAsia="Times New Roman"/>
          <w:lang w:val="fr-FR"/>
        </w:rPr>
        <w:tab/>
        <w:t xml:space="preserve">                 </w:t>
      </w:r>
      <w:r w:rsidRPr="00D26C22">
        <w:rPr>
          <w:rFonts w:cs="Times New Roman" w:eastAsia="Times New Roman"/>
          <w:b/>
          <w:lang w:val="fr-FR"/>
        </w:rPr>
        <w:t xml:space="preserve">Broj: 14. </w:t>
      </w:r>
      <w:r w:rsidRPr="00D26C22">
        <w:rPr>
          <w:rFonts w:cs="Times New Roman" w:eastAsia="Times New Roman"/>
          <w:b/>
          <w:lang w:val="en-US"/>
        </w:rPr>
        <w:t>St-247/2012.</w:t>
      </w:r>
    </w:p>
    <w:p w:rsidRDefault="00D26C22" w:rsidP="00D26C22" w:rsidR="00D26C22" w:rsidRPr="00D26C22">
      <w:pPr>
        <w:spacing w:after="0"/>
        <w:rPr>
          <w:rFonts w:cs="Times New Roman" w:eastAsia="Times New Roman"/>
          <w:b/>
          <w:szCs w:val="20"/>
          <w:lang w:val="en-US"/>
        </w:rPr>
      </w:pPr>
      <w:r w:rsidRPr="00D26C22">
        <w:rPr>
          <w:rFonts w:cs="Times New Roman" w:eastAsia="Times New Roman"/>
          <w:b/>
          <w:szCs w:val="20"/>
          <w:lang w:val="en-US"/>
        </w:rPr>
        <w:t xml:space="preserve">              Sukoišanska 6. </w:t>
      </w:r>
    </w:p>
    <w:p w:rsidRDefault="00D26C22" w:rsidP="00D26C22" w:rsidR="00D26C22" w:rsidRPr="00D26C22">
      <w:pPr>
        <w:spacing w:after="0"/>
        <w:rPr>
          <w:rFonts w:cs="Times New Roman" w:eastAsia="Times New Roman"/>
          <w:b/>
          <w:szCs w:val="20"/>
          <w:lang w:val="en-US"/>
        </w:rPr>
      </w:pPr>
      <w:r w:rsidRPr="00D26C22">
        <w:rPr>
          <w:rFonts w:cs="Times New Roman" w:eastAsia="Times New Roman"/>
          <w:b/>
          <w:szCs w:val="20"/>
          <w:lang w:val="en-US"/>
        </w:rPr>
        <w:t xml:space="preserve">             21000  S P L I T </w:t>
      </w:r>
    </w:p>
    <w:p w:rsidRDefault="00D26C22" w:rsidP="00D26C22" w:rsidR="00D26C22" w:rsidRPr="00D26C22">
      <w:pPr>
        <w:spacing w:after="0"/>
        <w:rPr>
          <w:rFonts w:cs="Times New Roman" w:eastAsia="Times New Roman"/>
          <w:szCs w:val="20"/>
          <w:lang w:val="en-US"/>
        </w:rPr>
      </w:pPr>
    </w:p>
    <w:p w:rsidRDefault="00D26C22" w:rsidP="00D26C22" w:rsidR="00D26C22" w:rsidRPr="00D26C22">
      <w:pPr>
        <w:spacing w:after="0"/>
        <w:rPr>
          <w:rFonts w:cs="Times New Roman" w:eastAsia="Times New Roman"/>
          <w:szCs w:val="20"/>
          <w:lang w:val="en-US"/>
        </w:rPr>
      </w:pPr>
    </w:p>
    <w:p w:rsidRDefault="00D26C22" w:rsidP="00D26C22" w:rsidR="00D26C22" w:rsidRPr="00D26C22">
      <w:pPr>
        <w:keepNext/>
        <w:spacing w:after="0"/>
        <w:jc w:val="center"/>
        <w:outlineLvl w:val="1"/>
        <w:rPr>
          <w:rFonts w:cs="Times New Roman" w:eastAsia="Arial Unicode MS"/>
          <w:b/>
          <w:bCs/>
          <w:szCs w:val="20"/>
        </w:rPr>
      </w:pPr>
      <w:r w:rsidRPr="00D26C22">
        <w:rPr>
          <w:rFonts w:cs="Times New Roman" w:eastAsia="Arial Unicode MS"/>
          <w:b/>
          <w:bCs/>
          <w:szCs w:val="20"/>
        </w:rPr>
        <w:t>R E P U B L I K A    H R V A T S K A</w:t>
      </w:r>
    </w:p>
    <w:p w:rsidRDefault="00D26C22" w:rsidP="00D26C22" w:rsidR="00D26C22" w:rsidRPr="00D26C22">
      <w:pPr>
        <w:keepNext/>
        <w:spacing w:after="0"/>
        <w:jc w:val="center"/>
        <w:outlineLvl w:val="1"/>
        <w:rPr>
          <w:rFonts w:cs="Times New Roman" w:eastAsia="Arial Unicode MS"/>
          <w:b/>
          <w:bCs/>
          <w:szCs w:val="20"/>
        </w:rPr>
      </w:pPr>
    </w:p>
    <w:p w:rsidRDefault="00D26C22" w:rsidP="00D26C22" w:rsidR="00D26C22" w:rsidRPr="00D26C22">
      <w:pPr>
        <w:keepNext/>
        <w:spacing w:after="0"/>
        <w:jc w:val="center"/>
        <w:outlineLvl w:val="1"/>
        <w:rPr>
          <w:rFonts w:cs="Times New Roman" w:eastAsia="Arial Unicode MS"/>
          <w:b/>
          <w:bCs/>
          <w:szCs w:val="20"/>
        </w:rPr>
      </w:pPr>
      <w:r w:rsidRPr="00D26C22">
        <w:rPr>
          <w:rFonts w:cs="Times New Roman" w:eastAsia="Arial Unicode MS"/>
          <w:b/>
          <w:bCs/>
          <w:szCs w:val="20"/>
        </w:rPr>
        <w:t>R J E Š E N J E</w:t>
      </w:r>
    </w:p>
    <w:p w:rsidRDefault="00D26C22" w:rsidP="00D26C22" w:rsidR="00D26C22" w:rsidRPr="00D26C22">
      <w:pPr>
        <w:spacing w:after="0"/>
        <w:rPr>
          <w:rFonts w:cs="Times New Roman" w:eastAsia="Times New Roman"/>
          <w:szCs w:val="20"/>
          <w:lang w:val="de-DE"/>
        </w:rPr>
      </w:pPr>
    </w:p>
    <w:p w:rsidRDefault="00D26C22" w:rsidP="00D26C22" w:rsidR="00D26C22" w:rsidRPr="00D26C22">
      <w:pPr>
        <w:spacing w:after="0"/>
        <w:rPr>
          <w:rFonts w:cs="Times New Roman" w:eastAsia="Times New Roman"/>
          <w:szCs w:val="20"/>
          <w:lang w:val="de-DE"/>
        </w:rPr>
      </w:pPr>
    </w:p>
    <w:p w:rsidRDefault="00D26C22" w:rsidP="00D26C22" w:rsidR="00D26C22" w:rsidRPr="00D26C22">
      <w:pPr>
        <w:spacing w:after="0"/>
        <w:jc w:val="both"/>
        <w:rPr>
          <w:rFonts w:cs="Times New Roman" w:eastAsia="Times New Roman"/>
        </w:rPr>
      </w:pPr>
      <w:r w:rsidRPr="00D26C22">
        <w:rPr>
          <w:rFonts w:cs="Times New Roman" w:eastAsia="Times New Roman"/>
        </w:rPr>
        <w:tab/>
        <w:t>Trgovački sud u Splitu, po stečajnom sudcu Jozi Ćaleta kao sudcu pojedincu, u stečajnom postupku po prijedlogu Predlagatelja: Heta Asset Resolution AG (prije: HYPO ALPE-ADRIA-BANK INTERNATIONAL AG), Klagenfurt, Republika Austrija (dalje: Predlagatelj), zastupan po punomoćniku Luki Rimac, odvjetniku u Odvjetničkom društvu MAMIĆ PERIĆ REBERSKI RIMAC, Zagreb, Radnička cesta 80., radi otvaranja stečajnog  postupka nad trgovačkim društvom kao stečajnim Dužnikom: LUCIS, d.o.o., Trogir, Put Dragulina 76/B. (dalje: Dužnik, stečajni Dužnik), zastupanog po punomoćnicima Marinu Karuza i Ivanu Krželj, odvjetnicima u Splitu, nakon provedenoga prethodnog postupka, zaključenog dana 10. studenog 2015. godine, dana 13. studenog 2015. godine, izvanraspravno,</w:t>
      </w:r>
    </w:p>
    <w:p w:rsidRDefault="00D26C22" w:rsidP="00D26C22" w:rsidR="00D26C22" w:rsidRPr="00D26C22">
      <w:pPr>
        <w:spacing w:after="0"/>
        <w:rPr>
          <w:rFonts w:cs="Times New Roman" w:eastAsia="Times New Roman"/>
          <w:lang w:val="en-US"/>
        </w:rPr>
      </w:pPr>
    </w:p>
    <w:p w:rsidRDefault="00D26C22" w:rsidP="00D26C22" w:rsidR="00D26C22" w:rsidRPr="00D26C22">
      <w:pPr>
        <w:spacing w:after="0"/>
        <w:jc w:val="center"/>
        <w:rPr>
          <w:rFonts w:cs="Times New Roman" w:eastAsia="Times New Roman"/>
          <w:lang w:val="de-DE"/>
        </w:rPr>
      </w:pPr>
      <w:r w:rsidRPr="00D26C22">
        <w:rPr>
          <w:rFonts w:cs="Times New Roman" w:eastAsia="Times New Roman"/>
          <w:lang w:val="de-DE"/>
        </w:rPr>
        <w:t>r i j e š i o    j e</w:t>
      </w:r>
    </w:p>
    <w:p w:rsidRDefault="00D26C22" w:rsidP="00D26C22" w:rsidR="00D26C22" w:rsidRPr="00D26C22">
      <w:pPr>
        <w:spacing w:after="0"/>
        <w:jc w:val="center"/>
        <w:rPr>
          <w:rFonts w:cs="Times New Roman" w:eastAsia="Times New Roman"/>
          <w:szCs w:val="20"/>
        </w:rPr>
      </w:pPr>
      <w:r w:rsidRPr="00D26C22">
        <w:rPr>
          <w:rFonts w:cs="Times New Roman" w:eastAsia="Times New Roman"/>
          <w:lang w:val="de-DE"/>
        </w:rPr>
        <w:t>A/</w:t>
      </w:r>
    </w:p>
    <w:p w:rsidRDefault="00D26C22" w:rsidP="00D26C22" w:rsidR="00D26C22" w:rsidRPr="00D26C22">
      <w:pPr>
        <w:keepNext/>
        <w:spacing w:after="0"/>
        <w:jc w:val="both"/>
        <w:outlineLvl w:val="0"/>
        <w:rPr>
          <w:rFonts w:cs="Times New Roman" w:eastAsia="Arial Unicode MS"/>
          <w:b/>
          <w:bCs/>
          <w:lang w:eastAsia="hr-HR"/>
        </w:rPr>
      </w:pPr>
    </w:p>
    <w:p w:rsidRDefault="00D26C22" w:rsidP="00D26C22" w:rsidR="00D26C22" w:rsidRPr="00D26C22">
      <w:pPr>
        <w:spacing w:after="0"/>
        <w:jc w:val="both"/>
        <w:rPr>
          <w:rFonts w:cs="Times New Roman" w:eastAsia="Times New Roman"/>
          <w:bCs/>
          <w:lang w:val="en-US"/>
        </w:rPr>
      </w:pPr>
      <w:r w:rsidRPr="00D26C22">
        <w:rPr>
          <w:rFonts w:cs="Times New Roman" w:eastAsia="Times New Roman"/>
          <w:b/>
          <w:lang w:val="en-US"/>
        </w:rPr>
        <w:t xml:space="preserve">I/ </w:t>
      </w:r>
      <w:r w:rsidRPr="00D26C22">
        <w:rPr>
          <w:rFonts w:cs="Times New Roman" w:eastAsia="Times New Roman"/>
          <w:lang w:val="en-US"/>
        </w:rPr>
        <w:t>Otvara se stečajni postupka nad trgovačkim društvom kao stečajnim dužnikom: LUCIS, d.o.o., Trogir (Grad Trogir), Put Dragulina 76/B., OIB: 89038966528. Stečajni je postupak otvoren dana 13. studenog 2015. godine u 14,30 sati, kada su ovo rješenje i Oglas o otvaranju ovoga stečajnog postupka istaknuti na e-Oglasnu ploču ovog Suda.</w:t>
      </w:r>
      <w:r w:rsidRPr="00D26C22">
        <w:rPr>
          <w:rFonts w:cs="Times New Roman" w:eastAsia="Times New Roman"/>
          <w:bCs/>
          <w:lang w:val="en-US"/>
        </w:rPr>
        <w:t xml:space="preserve"> Pravne posljedice otvaranja stečajnog postupka nastupile su početkom dana 14. listopada 2013. godine, kojeg je dana prvo rješenje o otvaranju stečajnog postupka istaknuto na Oglasnoj ploči ovog Suda – rješenje ovog Suda broj: St-247/2012., od 14. listopada 2013. godine.</w:t>
      </w:r>
    </w:p>
    <w:p w:rsidRDefault="00D26C22" w:rsidP="00D26C22" w:rsidR="00D26C22" w:rsidRPr="00D26C22">
      <w:pPr>
        <w:keepNext/>
        <w:spacing w:after="0"/>
        <w:jc w:val="both"/>
        <w:outlineLvl w:val="0"/>
        <w:rPr>
          <w:rFonts w:cs="Times New Roman" w:eastAsia="Arial Unicode MS"/>
          <w:bCs/>
          <w:lang w:eastAsia="hr-HR"/>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b/>
          <w:lang w:val="en-US"/>
        </w:rPr>
        <w:t>II/</w:t>
      </w:r>
      <w:r w:rsidRPr="00D26C22">
        <w:rPr>
          <w:rFonts w:cs="Times New Roman" w:eastAsia="Times New Roman"/>
          <w:lang w:val="en-US"/>
        </w:rPr>
        <w:t xml:space="preserve">  Za stečajnu upraviteljicu imenuje se:</w:t>
      </w:r>
      <w:r w:rsidRPr="00D26C22">
        <w:rPr>
          <w:rFonts w:cs="Times New Roman" w:eastAsia="Times New Roman"/>
          <w:lang w:val="fr-FR"/>
        </w:rPr>
        <w:t xml:space="preserve"> Mira Hajdić, Split, </w:t>
      </w:r>
      <w:r w:rsidRPr="00D26C22">
        <w:rPr>
          <w:rFonts w:cs="Times New Roman" w:eastAsia="Times New Roman"/>
        </w:rPr>
        <w:t>Smiljanićeva 2.,</w:t>
      </w:r>
      <w:r w:rsidRPr="00D26C22">
        <w:rPr>
          <w:rFonts w:cs="Times New Roman" w:eastAsia="Times New Roman"/>
          <w:lang w:val="fr-FR"/>
        </w:rPr>
        <w:t xml:space="preserve"> OIB: 33624188331.</w:t>
      </w:r>
    </w:p>
    <w:p w:rsidRDefault="00D26C22" w:rsidP="00D26C22" w:rsidR="00D26C22" w:rsidRPr="00D26C22">
      <w:pPr>
        <w:spacing w:after="0"/>
        <w:jc w:val="both"/>
        <w:rPr>
          <w:rFonts w:cs="Times New Roman" w:eastAsia="Times New Roman"/>
          <w:b/>
          <w:bCs/>
          <w:lang w:val="en-US"/>
        </w:rPr>
      </w:pPr>
    </w:p>
    <w:p w:rsidRDefault="00D26C22" w:rsidP="00D26C22" w:rsidR="00D26C22" w:rsidRPr="00D26C22">
      <w:pPr>
        <w:spacing w:after="0"/>
        <w:jc w:val="both"/>
        <w:rPr>
          <w:rFonts w:cs="Times New Roman" w:eastAsia="Times New Roman"/>
        </w:rPr>
      </w:pPr>
      <w:r w:rsidRPr="00D26C22">
        <w:rPr>
          <w:rFonts w:cs="Times New Roman" w:eastAsia="Times New Roman"/>
          <w:b/>
          <w:bCs/>
          <w:lang w:val="en-US"/>
        </w:rPr>
        <w:t>III</w:t>
      </w:r>
      <w:r w:rsidRPr="00D26C22">
        <w:rPr>
          <w:rFonts w:cs="Times New Roman" w:eastAsia="Times New Roman"/>
          <w:b/>
          <w:bCs/>
        </w:rPr>
        <w:t>/</w:t>
      </w:r>
      <w:r w:rsidRPr="00D26C22">
        <w:rPr>
          <w:rFonts w:cs="Times New Roman" w:eastAsia="Times New Roman"/>
        </w:rPr>
        <w:t xml:space="preserve">  </w:t>
      </w:r>
      <w:r w:rsidRPr="00D26C22">
        <w:rPr>
          <w:rFonts w:cs="Times New Roman" w:eastAsia="Times New Roman"/>
          <w:lang w:val="en-US"/>
        </w:rPr>
        <w:t>Pozivaju</w:t>
      </w:r>
      <w:r w:rsidRPr="00D26C22">
        <w:rPr>
          <w:rFonts w:cs="Times New Roman" w:eastAsia="Times New Roman"/>
        </w:rPr>
        <w:t xml:space="preserve"> </w:t>
      </w:r>
      <w:r w:rsidRPr="00D26C22">
        <w:rPr>
          <w:rFonts w:cs="Times New Roman" w:eastAsia="Times New Roman"/>
          <w:lang w:val="en-US"/>
        </w:rPr>
        <w:t>se stečajni</w:t>
      </w:r>
      <w:r w:rsidRPr="00D26C22">
        <w:rPr>
          <w:rFonts w:cs="Times New Roman" w:eastAsia="Times New Roman"/>
        </w:rPr>
        <w:t xml:space="preserve"> </w:t>
      </w:r>
      <w:r w:rsidRPr="00D26C22">
        <w:rPr>
          <w:rFonts w:cs="Times New Roman" w:eastAsia="Times New Roman"/>
          <w:lang w:val="en-US"/>
        </w:rPr>
        <w:t>vjerovnici</w:t>
      </w:r>
      <w:r w:rsidRPr="00D26C22">
        <w:rPr>
          <w:rFonts w:cs="Times New Roman" w:eastAsia="Times New Roman"/>
        </w:rPr>
        <w:t xml:space="preserve"> </w:t>
      </w:r>
      <w:r w:rsidRPr="00D26C22">
        <w:rPr>
          <w:rFonts w:cs="Times New Roman" w:eastAsia="Times New Roman"/>
          <w:lang w:val="en-US"/>
        </w:rPr>
        <w:t>vi</w:t>
      </w:r>
      <w:r w:rsidRPr="00D26C22">
        <w:rPr>
          <w:rFonts w:cs="Times New Roman" w:eastAsia="Times New Roman"/>
        </w:rPr>
        <w:t>š</w:t>
      </w:r>
      <w:r w:rsidRPr="00D26C22">
        <w:rPr>
          <w:rFonts w:cs="Times New Roman" w:eastAsia="Times New Roman"/>
          <w:lang w:val="en-US"/>
        </w:rPr>
        <w:t>ih</w:t>
      </w:r>
      <w:r w:rsidRPr="00D26C22">
        <w:rPr>
          <w:rFonts w:cs="Times New Roman" w:eastAsia="Times New Roman"/>
        </w:rPr>
        <w:t xml:space="preserve"> </w:t>
      </w:r>
      <w:r w:rsidRPr="00D26C22">
        <w:rPr>
          <w:rFonts w:cs="Times New Roman" w:eastAsia="Times New Roman"/>
          <w:lang w:val="en-US"/>
        </w:rPr>
        <w:t>isplatnih</w:t>
      </w:r>
      <w:r w:rsidRPr="00D26C22">
        <w:rPr>
          <w:rFonts w:cs="Times New Roman" w:eastAsia="Times New Roman"/>
        </w:rPr>
        <w:t xml:space="preserve"> </w:t>
      </w:r>
      <w:r w:rsidRPr="00D26C22">
        <w:rPr>
          <w:rFonts w:cs="Times New Roman" w:eastAsia="Times New Roman"/>
          <w:lang w:val="en-US"/>
        </w:rPr>
        <w:t>redova</w:t>
      </w:r>
      <w:r w:rsidRPr="00D26C22">
        <w:rPr>
          <w:rFonts w:cs="Times New Roman" w:eastAsia="Times New Roman"/>
        </w:rPr>
        <w:t xml:space="preserve">, </w:t>
      </w:r>
      <w:r w:rsidRPr="00D26C22">
        <w:rPr>
          <w:rFonts w:cs="Times New Roman" w:eastAsia="Times New Roman"/>
          <w:lang w:val="en-US"/>
        </w:rPr>
        <w:t>u</w:t>
      </w:r>
      <w:r w:rsidRPr="00D26C22">
        <w:rPr>
          <w:rFonts w:cs="Times New Roman" w:eastAsia="Times New Roman"/>
        </w:rPr>
        <w:t xml:space="preserve"> </w:t>
      </w:r>
      <w:r w:rsidRPr="00D26C22">
        <w:rPr>
          <w:rFonts w:cs="Times New Roman" w:eastAsia="Times New Roman"/>
          <w:lang w:val="en-US"/>
        </w:rPr>
        <w:t>roku</w:t>
      </w:r>
      <w:r w:rsidRPr="00D26C22">
        <w:rPr>
          <w:rFonts w:cs="Times New Roman" w:eastAsia="Times New Roman"/>
        </w:rPr>
        <w:t xml:space="preserve"> </w:t>
      </w:r>
      <w:r w:rsidRPr="00D26C22">
        <w:rPr>
          <w:rFonts w:cs="Times New Roman" w:eastAsia="Times New Roman"/>
          <w:lang w:val="en-US"/>
        </w:rPr>
        <w:t>od</w:t>
      </w:r>
      <w:r w:rsidRPr="00D26C22">
        <w:rPr>
          <w:rFonts w:cs="Times New Roman" w:eastAsia="Times New Roman"/>
        </w:rPr>
        <w:t xml:space="preserve"> 20. </w:t>
      </w:r>
      <w:r w:rsidRPr="00D26C22">
        <w:rPr>
          <w:rFonts w:cs="Times New Roman" w:eastAsia="Times New Roman"/>
          <w:lang w:val="en-US"/>
        </w:rPr>
        <w:t>dana</w:t>
      </w:r>
      <w:r w:rsidRPr="00D26C22">
        <w:rPr>
          <w:rFonts w:cs="Times New Roman" w:eastAsia="Times New Roman"/>
        </w:rPr>
        <w:t xml:space="preserve"> </w:t>
      </w:r>
      <w:r w:rsidRPr="00D26C22">
        <w:rPr>
          <w:rFonts w:cs="Times New Roman" w:eastAsia="Times New Roman"/>
          <w:lang w:val="en-US"/>
        </w:rPr>
        <w:t>nakon</w:t>
      </w:r>
      <w:r w:rsidRPr="00D26C22">
        <w:rPr>
          <w:rFonts w:cs="Times New Roman" w:eastAsia="Times New Roman"/>
        </w:rPr>
        <w:t xml:space="preserve"> </w:t>
      </w:r>
      <w:r w:rsidRPr="00D26C22">
        <w:rPr>
          <w:rFonts w:cs="Times New Roman" w:eastAsia="Times New Roman"/>
          <w:lang w:val="en-US"/>
        </w:rPr>
        <w:t>proteka</w:t>
      </w:r>
      <w:r w:rsidRPr="00D26C22">
        <w:rPr>
          <w:rFonts w:cs="Times New Roman" w:eastAsia="Times New Roman"/>
        </w:rPr>
        <w:t xml:space="preserve"> </w:t>
      </w:r>
      <w:r w:rsidRPr="00D26C22">
        <w:rPr>
          <w:rFonts w:cs="Times New Roman" w:eastAsia="Times New Roman"/>
          <w:lang w:val="en-US"/>
        </w:rPr>
        <w:t>osmog</w:t>
      </w:r>
      <w:r w:rsidRPr="00D26C22">
        <w:rPr>
          <w:rFonts w:cs="Times New Roman" w:eastAsia="Times New Roman"/>
        </w:rPr>
        <w:t xml:space="preserve"> </w:t>
      </w:r>
      <w:r w:rsidRPr="00D26C22">
        <w:rPr>
          <w:rFonts w:cs="Times New Roman" w:eastAsia="Times New Roman"/>
          <w:lang w:val="en-US"/>
        </w:rPr>
        <w:t>dana</w:t>
      </w:r>
      <w:r w:rsidRPr="00D26C22">
        <w:rPr>
          <w:rFonts w:cs="Times New Roman" w:eastAsia="Times New Roman"/>
        </w:rPr>
        <w:t xml:space="preserve"> </w:t>
      </w:r>
      <w:r w:rsidRPr="00D26C22">
        <w:rPr>
          <w:rFonts w:cs="Times New Roman" w:eastAsia="Times New Roman"/>
          <w:lang w:val="en-US"/>
        </w:rPr>
        <w:t>od</w:t>
      </w:r>
      <w:r w:rsidRPr="00D26C22">
        <w:rPr>
          <w:rFonts w:cs="Times New Roman" w:eastAsia="Times New Roman"/>
        </w:rPr>
        <w:t xml:space="preserve"> </w:t>
      </w:r>
      <w:r w:rsidRPr="00D26C22">
        <w:rPr>
          <w:rFonts w:cs="Times New Roman" w:eastAsia="Times New Roman"/>
          <w:lang w:val="en-US"/>
        </w:rPr>
        <w:t>objave</w:t>
      </w:r>
      <w:r w:rsidRPr="00D26C22">
        <w:rPr>
          <w:rFonts w:cs="Times New Roman" w:eastAsia="Times New Roman"/>
        </w:rPr>
        <w:t xml:space="preserve"> </w:t>
      </w:r>
      <w:r w:rsidRPr="00D26C22">
        <w:rPr>
          <w:rFonts w:cs="Times New Roman" w:eastAsia="Times New Roman"/>
          <w:lang w:val="en-US"/>
        </w:rPr>
        <w:t>Oglasa</w:t>
      </w:r>
      <w:r w:rsidRPr="00D26C22">
        <w:rPr>
          <w:rFonts w:cs="Times New Roman" w:eastAsia="Times New Roman"/>
        </w:rPr>
        <w:t xml:space="preserve"> </w:t>
      </w:r>
      <w:r w:rsidRPr="00D26C22">
        <w:rPr>
          <w:rFonts w:cs="Times New Roman" w:eastAsia="Times New Roman"/>
          <w:lang w:val="en-US"/>
        </w:rPr>
        <w:t>o</w:t>
      </w:r>
      <w:r w:rsidRPr="00D26C22">
        <w:rPr>
          <w:rFonts w:cs="Times New Roman" w:eastAsia="Times New Roman"/>
        </w:rPr>
        <w:t xml:space="preserve"> </w:t>
      </w:r>
      <w:r w:rsidRPr="00D26C22">
        <w:rPr>
          <w:rFonts w:cs="Times New Roman" w:eastAsia="Times New Roman"/>
          <w:lang w:val="en-US"/>
        </w:rPr>
        <w:t>otvaranju</w:t>
      </w:r>
      <w:r w:rsidRPr="00D26C22">
        <w:rPr>
          <w:rFonts w:cs="Times New Roman" w:eastAsia="Times New Roman"/>
        </w:rPr>
        <w:t xml:space="preserve"> </w:t>
      </w:r>
      <w:r w:rsidRPr="00D26C22">
        <w:rPr>
          <w:rFonts w:cs="Times New Roman" w:eastAsia="Times New Roman"/>
          <w:lang w:val="en-US"/>
        </w:rPr>
        <w:t>ste</w:t>
      </w:r>
      <w:r w:rsidRPr="00D26C22">
        <w:rPr>
          <w:rFonts w:cs="Times New Roman" w:eastAsia="Times New Roman"/>
        </w:rPr>
        <w:t>č</w:t>
      </w:r>
      <w:r w:rsidRPr="00D26C22">
        <w:rPr>
          <w:rFonts w:cs="Times New Roman" w:eastAsia="Times New Roman"/>
          <w:lang w:val="en-US"/>
        </w:rPr>
        <w:t>ajnog</w:t>
      </w:r>
      <w:r w:rsidRPr="00D26C22">
        <w:rPr>
          <w:rFonts w:cs="Times New Roman" w:eastAsia="Times New Roman"/>
        </w:rPr>
        <w:t xml:space="preserve"> </w:t>
      </w:r>
      <w:r w:rsidRPr="00D26C22">
        <w:rPr>
          <w:rFonts w:cs="Times New Roman" w:eastAsia="Times New Roman"/>
          <w:lang w:val="en-US"/>
        </w:rPr>
        <w:t>postupka</w:t>
      </w:r>
      <w:r w:rsidRPr="00D26C22">
        <w:rPr>
          <w:rFonts w:cs="Times New Roman" w:eastAsia="Times New Roman"/>
        </w:rPr>
        <w:t xml:space="preserve"> na e-Oglasnoj ploči Trgovačkog suda u Splitu, </w:t>
      </w:r>
      <w:r w:rsidRPr="00D26C22">
        <w:rPr>
          <w:rFonts w:cs="Times New Roman" w:eastAsia="Times New Roman"/>
          <w:lang w:val="en-US"/>
        </w:rPr>
        <w:t>prijaviti</w:t>
      </w:r>
      <w:r w:rsidRPr="00D26C22">
        <w:rPr>
          <w:rFonts w:cs="Times New Roman" w:eastAsia="Times New Roman"/>
        </w:rPr>
        <w:t xml:space="preserve"> </w:t>
      </w:r>
      <w:r w:rsidRPr="00D26C22">
        <w:rPr>
          <w:rFonts w:cs="Times New Roman" w:eastAsia="Times New Roman"/>
          <w:lang w:val="en-US"/>
        </w:rPr>
        <w:t>svoje</w:t>
      </w:r>
      <w:r w:rsidRPr="00D26C22">
        <w:rPr>
          <w:rFonts w:cs="Times New Roman" w:eastAsia="Times New Roman"/>
        </w:rPr>
        <w:t xml:space="preserve"> </w:t>
      </w:r>
      <w:r w:rsidRPr="00D26C22">
        <w:rPr>
          <w:rFonts w:cs="Times New Roman" w:eastAsia="Times New Roman"/>
          <w:lang w:val="en-US"/>
        </w:rPr>
        <w:t>tra</w:t>
      </w:r>
      <w:r w:rsidRPr="00D26C22">
        <w:rPr>
          <w:rFonts w:cs="Times New Roman" w:eastAsia="Times New Roman"/>
        </w:rPr>
        <w:t>ž</w:t>
      </w:r>
      <w:r w:rsidRPr="00D26C22">
        <w:rPr>
          <w:rFonts w:cs="Times New Roman" w:eastAsia="Times New Roman"/>
          <w:lang w:val="en-US"/>
        </w:rPr>
        <w:t>bine</w:t>
      </w:r>
      <w:r w:rsidRPr="00D26C22">
        <w:rPr>
          <w:rFonts w:cs="Times New Roman" w:eastAsia="Times New Roman"/>
        </w:rPr>
        <w:t xml:space="preserve"> </w:t>
      </w:r>
      <w:r w:rsidRPr="00D26C22">
        <w:rPr>
          <w:rFonts w:cs="Times New Roman" w:eastAsia="Times New Roman"/>
          <w:lang w:val="en-US"/>
        </w:rPr>
        <w:t>Ste</w:t>
      </w:r>
      <w:r w:rsidRPr="00D26C22">
        <w:rPr>
          <w:rFonts w:cs="Times New Roman" w:eastAsia="Times New Roman"/>
        </w:rPr>
        <w:t>č</w:t>
      </w:r>
      <w:r w:rsidRPr="00D26C22">
        <w:rPr>
          <w:rFonts w:cs="Times New Roman" w:eastAsia="Times New Roman"/>
          <w:lang w:val="en-US"/>
        </w:rPr>
        <w:t>ajnoj</w:t>
      </w:r>
      <w:r w:rsidRPr="00D26C22">
        <w:rPr>
          <w:rFonts w:cs="Times New Roman" w:eastAsia="Times New Roman"/>
        </w:rPr>
        <w:t xml:space="preserve"> </w:t>
      </w:r>
      <w:r w:rsidRPr="00D26C22">
        <w:rPr>
          <w:rFonts w:cs="Times New Roman" w:eastAsia="Times New Roman"/>
          <w:lang w:val="en-US"/>
        </w:rPr>
        <w:t>upraviteljici</w:t>
      </w:r>
      <w:r w:rsidRPr="00D26C22">
        <w:rPr>
          <w:rFonts w:cs="Times New Roman" w:eastAsia="Times New Roman"/>
        </w:rPr>
        <w:t>,</w:t>
      </w:r>
      <w:r w:rsidRPr="00D26C22">
        <w:rPr>
          <w:rFonts w:cs="Times New Roman" w:eastAsia="Times New Roman"/>
          <w:lang w:val="en-US"/>
        </w:rPr>
        <w:t xml:space="preserve"> uz prilaganje dokaza kojima se tražbine dokazuju</w:t>
      </w:r>
      <w:r w:rsidRPr="00D26C22">
        <w:rPr>
          <w:rFonts w:cs="Times New Roman" w:eastAsia="Times New Roman"/>
        </w:rPr>
        <w:t xml:space="preserve">, </w:t>
      </w:r>
      <w:r w:rsidRPr="00D26C22">
        <w:rPr>
          <w:rFonts w:cs="Times New Roman" w:eastAsia="Times New Roman"/>
          <w:lang w:val="en-US"/>
        </w:rPr>
        <w:t>podneskom i sve</w:t>
      </w:r>
      <w:r w:rsidRPr="00D26C22">
        <w:rPr>
          <w:rFonts w:cs="Times New Roman" w:eastAsia="Times New Roman"/>
        </w:rPr>
        <w:t xml:space="preserve"> </w:t>
      </w:r>
      <w:r w:rsidRPr="00D26C22">
        <w:rPr>
          <w:rFonts w:cs="Times New Roman" w:eastAsia="Times New Roman"/>
          <w:lang w:val="en-US"/>
        </w:rPr>
        <w:t>u</w:t>
      </w:r>
      <w:r w:rsidRPr="00D26C22">
        <w:rPr>
          <w:rFonts w:cs="Times New Roman" w:eastAsia="Times New Roman"/>
        </w:rPr>
        <w:t xml:space="preserve"> </w:t>
      </w:r>
      <w:r w:rsidRPr="00D26C22">
        <w:rPr>
          <w:rFonts w:cs="Times New Roman" w:eastAsia="Times New Roman"/>
          <w:lang w:val="en-US"/>
        </w:rPr>
        <w:t>dva</w:t>
      </w:r>
      <w:r w:rsidRPr="00D26C22">
        <w:rPr>
          <w:rFonts w:cs="Times New Roman" w:eastAsia="Times New Roman"/>
        </w:rPr>
        <w:t xml:space="preserve"> </w:t>
      </w:r>
      <w:r w:rsidRPr="00D26C22">
        <w:rPr>
          <w:rFonts w:cs="Times New Roman" w:eastAsia="Times New Roman"/>
          <w:lang w:val="en-US"/>
        </w:rPr>
        <w:t>primjerka</w:t>
      </w:r>
      <w:r w:rsidRPr="00D26C22">
        <w:rPr>
          <w:rFonts w:cs="Times New Roman" w:eastAsia="Times New Roman"/>
        </w:rPr>
        <w:t xml:space="preserve">, </w:t>
      </w:r>
      <w:r w:rsidRPr="00D26C22">
        <w:rPr>
          <w:rFonts w:cs="Times New Roman" w:eastAsia="Times New Roman"/>
          <w:lang w:val="en-US"/>
        </w:rPr>
        <w:t xml:space="preserve">sukladno </w:t>
      </w:r>
    </w:p>
    <w:p w:rsidRDefault="00D26C22" w:rsidP="00D26C22" w:rsidR="00D26C22" w:rsidRPr="00D26C22">
      <w:pPr>
        <w:spacing w:after="0"/>
        <w:jc w:val="both"/>
        <w:rPr>
          <w:rFonts w:cs="Times New Roman" w:eastAsia="Times New Roman"/>
        </w:rPr>
      </w:pPr>
    </w:p>
    <w:p w:rsidRDefault="00D26C22" w:rsidP="00D26C22" w:rsidR="00D26C22">
      <w:pPr>
        <w:spacing w:after="0"/>
        <w:jc w:val="both"/>
        <w:rPr>
          <w:rFonts w:cs="Times New Roman" w:eastAsia="Times New Roman"/>
        </w:rPr>
      </w:pPr>
    </w:p>
    <w:p w:rsidRDefault="00D26C22" w:rsidP="00D26C22" w:rsidR="00D26C22">
      <w:pPr>
        <w:spacing w:after="0"/>
        <w:jc w:val="both"/>
        <w:rPr>
          <w:rFonts w:cs="Times New Roman" w:eastAsia="Times New Roman"/>
        </w:rPr>
      </w:pPr>
    </w:p>
    <w:p w:rsidRDefault="00D26C22" w:rsidP="00D26C22" w:rsidR="00D26C22">
      <w:pPr>
        <w:spacing w:after="0"/>
        <w:jc w:val="both"/>
        <w:rPr>
          <w:rFonts w:cs="Times New Roman" w:eastAsia="Times New Roman"/>
        </w:rPr>
      </w:pPr>
    </w:p>
    <w:p w:rsidRDefault="00D26C22" w:rsidP="00D26C22" w:rsidR="00D26C22">
      <w:pPr>
        <w:spacing w:after="0"/>
        <w:jc w:val="both"/>
        <w:rPr>
          <w:rFonts w:cs="Times New Roman" w:eastAsia="Times New Roman"/>
        </w:rPr>
      </w:pPr>
    </w:p>
    <w:p w:rsidRDefault="00D26C22" w:rsidP="00D26C22" w:rsidR="00D26C22" w:rsidRPr="00D26C22">
      <w:pPr>
        <w:spacing w:after="0"/>
        <w:jc w:val="both"/>
        <w:rPr>
          <w:rFonts w:cs="Times New Roman" w:eastAsia="Times New Roman"/>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lastRenderedPageBreak/>
        <w:t xml:space="preserve">                                                                  </w:t>
      </w:r>
      <w:r w:rsidRPr="00D26C22">
        <w:rPr>
          <w:rFonts w:cs="Times New Roman" w:eastAsia="Calibri" w:hAnsi="Calibri" w:ascii="Calibri"/>
          <w:b/>
          <w:szCs w:val="22"/>
          <w:lang w:val="en-AU"/>
        </w:rPr>
        <w:t>- 2 -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rPr>
      </w:pPr>
    </w:p>
    <w:p w:rsidRDefault="00D26C22" w:rsidP="00D26C22" w:rsidR="00D26C22" w:rsidRPr="00D26C22">
      <w:pPr>
        <w:spacing w:after="0"/>
        <w:jc w:val="both"/>
        <w:rPr>
          <w:rFonts w:cs="Times New Roman" w:eastAsia="Times New Roman"/>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pravilima</w:t>
      </w:r>
      <w:r w:rsidRPr="00D26C22">
        <w:rPr>
          <w:rFonts w:cs="Times New Roman" w:eastAsia="Times New Roman"/>
        </w:rPr>
        <w:t xml:space="preserve"> </w:t>
      </w:r>
      <w:r w:rsidRPr="00D26C22">
        <w:rPr>
          <w:rFonts w:cs="Times New Roman" w:eastAsia="Times New Roman"/>
          <w:lang w:val="en-US"/>
        </w:rPr>
        <w:t>Ste</w:t>
      </w:r>
      <w:r w:rsidRPr="00D26C22">
        <w:rPr>
          <w:rFonts w:cs="Times New Roman" w:eastAsia="Times New Roman"/>
        </w:rPr>
        <w:t>č</w:t>
      </w:r>
      <w:r w:rsidRPr="00D26C22">
        <w:rPr>
          <w:rFonts w:cs="Times New Roman" w:eastAsia="Times New Roman"/>
          <w:lang w:val="en-US"/>
        </w:rPr>
        <w:t>ajnog</w:t>
      </w:r>
      <w:r w:rsidRPr="00D26C22">
        <w:rPr>
          <w:rFonts w:cs="Times New Roman" w:eastAsia="Times New Roman"/>
        </w:rPr>
        <w:t xml:space="preserve"> </w:t>
      </w:r>
      <w:r w:rsidRPr="00D26C22">
        <w:rPr>
          <w:rFonts w:cs="Times New Roman" w:eastAsia="Times New Roman"/>
          <w:lang w:val="en-US"/>
        </w:rPr>
        <w:t>zakona</w:t>
      </w:r>
      <w:r w:rsidRPr="00D26C22">
        <w:rPr>
          <w:rFonts w:cs="Times New Roman" w:eastAsia="Times New Roman"/>
        </w:rPr>
        <w:t xml:space="preserve"> </w:t>
      </w:r>
      <w:r w:rsidRPr="00D26C22">
        <w:rPr>
          <w:rFonts w:cs="Times New Roman" w:eastAsia="Times New Roman"/>
          <w:lang w:val="en-US"/>
        </w:rPr>
        <w:t>o</w:t>
      </w:r>
      <w:r w:rsidRPr="00D26C22">
        <w:rPr>
          <w:rFonts w:cs="Times New Roman" w:eastAsia="Times New Roman"/>
        </w:rPr>
        <w:t xml:space="preserve"> </w:t>
      </w:r>
      <w:r w:rsidRPr="00D26C22">
        <w:rPr>
          <w:rFonts w:cs="Times New Roman" w:eastAsia="Times New Roman"/>
          <w:lang w:val="en-US"/>
        </w:rPr>
        <w:t>prijavi</w:t>
      </w:r>
      <w:r w:rsidRPr="00D26C22">
        <w:rPr>
          <w:rFonts w:cs="Times New Roman" w:eastAsia="Times New Roman"/>
        </w:rPr>
        <w:t xml:space="preserve"> </w:t>
      </w:r>
      <w:r w:rsidRPr="00D26C22">
        <w:rPr>
          <w:rFonts w:cs="Times New Roman" w:eastAsia="Times New Roman"/>
          <w:lang w:val="en-US"/>
        </w:rPr>
        <w:t>tra</w:t>
      </w:r>
      <w:r w:rsidRPr="00D26C22">
        <w:rPr>
          <w:rFonts w:cs="Times New Roman" w:eastAsia="Times New Roman"/>
        </w:rPr>
        <w:t>ž</w:t>
      </w:r>
      <w:r w:rsidRPr="00D26C22">
        <w:rPr>
          <w:rFonts w:cs="Times New Roman" w:eastAsia="Times New Roman"/>
          <w:lang w:val="en-US"/>
        </w:rPr>
        <w:t>bina iz članka 173., Stečajnog zakona (“Narodne novine”, br.: 44/96. do 133/12., dalje: SZ, u svezi sa člankom 441., Stečajnog zakona, “Narodne novine”, br.: 71/15., dalje: SZ/15.)</w:t>
      </w:r>
      <w:r w:rsidRPr="00D26C22">
        <w:rPr>
          <w:rFonts w:cs="Times New Roman" w:eastAsia="Times New Roman"/>
        </w:rPr>
        <w:t xml:space="preserve">. </w:t>
      </w:r>
      <w:r w:rsidRPr="00D26C22">
        <w:rPr>
          <w:rFonts w:cs="Times New Roman" w:eastAsia="Times New Roman"/>
          <w:lang w:val="en-US"/>
        </w:rPr>
        <w:t>Na</w:t>
      </w:r>
      <w:r w:rsidRPr="00D26C22">
        <w:rPr>
          <w:rFonts w:cs="Times New Roman" w:eastAsia="Times New Roman"/>
        </w:rPr>
        <w:t xml:space="preserve"> </w:t>
      </w:r>
      <w:r w:rsidRPr="00D26C22">
        <w:rPr>
          <w:rFonts w:cs="Times New Roman" w:eastAsia="Times New Roman"/>
          <w:lang w:val="en-US"/>
        </w:rPr>
        <w:t>prijavu</w:t>
      </w:r>
      <w:r w:rsidRPr="00D26C22">
        <w:rPr>
          <w:rFonts w:cs="Times New Roman" w:eastAsia="Times New Roman"/>
        </w:rPr>
        <w:t xml:space="preserve"> </w:t>
      </w:r>
      <w:r w:rsidRPr="00D26C22">
        <w:rPr>
          <w:rFonts w:cs="Times New Roman" w:eastAsia="Times New Roman"/>
          <w:lang w:val="en-US"/>
        </w:rPr>
        <w:t>tra</w:t>
      </w:r>
      <w:r w:rsidRPr="00D26C22">
        <w:rPr>
          <w:rFonts w:cs="Times New Roman" w:eastAsia="Times New Roman"/>
        </w:rPr>
        <w:t>ž</w:t>
      </w:r>
      <w:r w:rsidRPr="00D26C22">
        <w:rPr>
          <w:rFonts w:cs="Times New Roman" w:eastAsia="Times New Roman"/>
          <w:lang w:val="en-US"/>
        </w:rPr>
        <w:t>bine</w:t>
      </w:r>
      <w:r w:rsidRPr="00D26C22">
        <w:rPr>
          <w:rFonts w:cs="Times New Roman" w:eastAsia="Times New Roman"/>
        </w:rPr>
        <w:t xml:space="preserve"> </w:t>
      </w:r>
      <w:r w:rsidRPr="00D26C22">
        <w:rPr>
          <w:rFonts w:cs="Times New Roman" w:eastAsia="Times New Roman"/>
          <w:lang w:val="en-US"/>
        </w:rPr>
        <w:t>potrebno</w:t>
      </w:r>
      <w:r w:rsidRPr="00D26C22">
        <w:rPr>
          <w:rFonts w:cs="Times New Roman" w:eastAsia="Times New Roman"/>
        </w:rPr>
        <w:t xml:space="preserve"> </w:t>
      </w:r>
      <w:r w:rsidRPr="00D26C22">
        <w:rPr>
          <w:rFonts w:cs="Times New Roman" w:eastAsia="Times New Roman"/>
          <w:lang w:val="en-US"/>
        </w:rPr>
        <w:t>je</w:t>
      </w:r>
      <w:r w:rsidRPr="00D26C22">
        <w:rPr>
          <w:rFonts w:cs="Times New Roman" w:eastAsia="Times New Roman"/>
        </w:rPr>
        <w:t xml:space="preserve"> </w:t>
      </w:r>
      <w:r w:rsidRPr="00D26C22">
        <w:rPr>
          <w:rFonts w:cs="Times New Roman" w:eastAsia="Times New Roman"/>
          <w:lang w:val="en-US"/>
        </w:rPr>
        <w:t>platiti</w:t>
      </w:r>
      <w:r w:rsidRPr="00D26C22">
        <w:rPr>
          <w:rFonts w:cs="Times New Roman" w:eastAsia="Times New Roman"/>
        </w:rPr>
        <w:t xml:space="preserve"> </w:t>
      </w:r>
      <w:r w:rsidRPr="00D26C22">
        <w:rPr>
          <w:rFonts w:cs="Times New Roman" w:eastAsia="Times New Roman"/>
          <w:lang w:val="en-US"/>
        </w:rPr>
        <w:t>sudsku</w:t>
      </w:r>
      <w:r w:rsidRPr="00D26C22">
        <w:rPr>
          <w:rFonts w:cs="Times New Roman" w:eastAsia="Times New Roman"/>
        </w:rPr>
        <w:t xml:space="preserve"> </w:t>
      </w:r>
      <w:r w:rsidRPr="00D26C22">
        <w:rPr>
          <w:rFonts w:cs="Times New Roman" w:eastAsia="Times New Roman"/>
          <w:lang w:val="en-US"/>
        </w:rPr>
        <w:t>pristojbu</w:t>
      </w:r>
      <w:r w:rsidRPr="00D26C22">
        <w:rPr>
          <w:rFonts w:cs="Times New Roman" w:eastAsia="Times New Roman"/>
        </w:rPr>
        <w:t xml:space="preserve"> </w:t>
      </w:r>
      <w:r w:rsidRPr="00D26C22">
        <w:rPr>
          <w:rFonts w:cs="Times New Roman" w:eastAsia="Times New Roman"/>
          <w:lang w:val="en-US"/>
        </w:rPr>
        <w:t>u</w:t>
      </w:r>
      <w:r w:rsidRPr="00D26C22">
        <w:rPr>
          <w:rFonts w:cs="Times New Roman" w:eastAsia="Times New Roman"/>
        </w:rPr>
        <w:t xml:space="preserve"> </w:t>
      </w:r>
      <w:r w:rsidRPr="00D26C22">
        <w:rPr>
          <w:rFonts w:cs="Times New Roman" w:eastAsia="Times New Roman"/>
          <w:lang w:val="en-US"/>
        </w:rPr>
        <w:t>iznosu</w:t>
      </w:r>
      <w:r w:rsidRPr="00D26C22">
        <w:rPr>
          <w:rFonts w:cs="Times New Roman" w:eastAsia="Times New Roman"/>
        </w:rPr>
        <w:t xml:space="preserve"> </w:t>
      </w:r>
      <w:r w:rsidRPr="00D26C22">
        <w:rPr>
          <w:rFonts w:cs="Times New Roman" w:eastAsia="Times New Roman"/>
          <w:lang w:val="en-US"/>
        </w:rPr>
        <w:t>od</w:t>
      </w:r>
      <w:r w:rsidRPr="00D26C22">
        <w:rPr>
          <w:rFonts w:cs="Times New Roman" w:eastAsia="Times New Roman"/>
        </w:rPr>
        <w:t xml:space="preserve"> 2% </w:t>
      </w:r>
      <w:r w:rsidRPr="00D26C22">
        <w:rPr>
          <w:rFonts w:cs="Times New Roman" w:eastAsia="Times New Roman"/>
          <w:lang w:val="en-US"/>
        </w:rPr>
        <w:t>od</w:t>
      </w:r>
      <w:r w:rsidRPr="00D26C22">
        <w:rPr>
          <w:rFonts w:cs="Times New Roman" w:eastAsia="Times New Roman"/>
        </w:rPr>
        <w:t xml:space="preserve"> </w:t>
      </w:r>
      <w:r w:rsidRPr="00D26C22">
        <w:rPr>
          <w:rFonts w:cs="Times New Roman" w:eastAsia="Times New Roman"/>
          <w:lang w:val="en-US"/>
        </w:rPr>
        <w:t>prijavljene</w:t>
      </w:r>
      <w:r w:rsidRPr="00D26C22">
        <w:rPr>
          <w:rFonts w:cs="Times New Roman" w:eastAsia="Times New Roman"/>
        </w:rPr>
        <w:t xml:space="preserve"> </w:t>
      </w:r>
      <w:r w:rsidRPr="00D26C22">
        <w:rPr>
          <w:rFonts w:cs="Times New Roman" w:eastAsia="Times New Roman"/>
          <w:lang w:val="en-US"/>
        </w:rPr>
        <w:t>tra</w:t>
      </w:r>
      <w:r w:rsidRPr="00D26C22">
        <w:rPr>
          <w:rFonts w:cs="Times New Roman" w:eastAsia="Times New Roman"/>
        </w:rPr>
        <w:t>ž</w:t>
      </w:r>
      <w:r w:rsidRPr="00D26C22">
        <w:rPr>
          <w:rFonts w:cs="Times New Roman" w:eastAsia="Times New Roman"/>
          <w:lang w:val="en-US"/>
        </w:rPr>
        <w:t>bine</w:t>
      </w:r>
      <w:r w:rsidRPr="00D26C22">
        <w:rPr>
          <w:rFonts w:cs="Times New Roman" w:eastAsia="Times New Roman"/>
        </w:rPr>
        <w:t xml:space="preserve"> </w:t>
      </w:r>
      <w:r w:rsidRPr="00D26C22">
        <w:rPr>
          <w:rFonts w:cs="Times New Roman" w:eastAsia="Times New Roman"/>
          <w:lang w:val="en-US"/>
        </w:rPr>
        <w:t>ali</w:t>
      </w:r>
      <w:r w:rsidRPr="00D26C22">
        <w:rPr>
          <w:rFonts w:cs="Times New Roman" w:eastAsia="Times New Roman"/>
        </w:rPr>
        <w:t xml:space="preserve"> </w:t>
      </w:r>
      <w:r w:rsidRPr="00D26C22">
        <w:rPr>
          <w:rFonts w:cs="Times New Roman" w:eastAsia="Times New Roman"/>
          <w:lang w:val="en-US"/>
        </w:rPr>
        <w:t>ne</w:t>
      </w:r>
      <w:r w:rsidRPr="00D26C22">
        <w:rPr>
          <w:rFonts w:cs="Times New Roman" w:eastAsia="Times New Roman"/>
        </w:rPr>
        <w:t xml:space="preserve"> </w:t>
      </w:r>
      <w:r w:rsidRPr="00D26C22">
        <w:rPr>
          <w:rFonts w:cs="Times New Roman" w:eastAsia="Times New Roman"/>
          <w:lang w:val="en-US"/>
        </w:rPr>
        <w:t>vi</w:t>
      </w:r>
      <w:r w:rsidRPr="00D26C22">
        <w:rPr>
          <w:rFonts w:cs="Times New Roman" w:eastAsia="Times New Roman"/>
        </w:rPr>
        <w:t>š</w:t>
      </w:r>
      <w:r w:rsidRPr="00D26C22">
        <w:rPr>
          <w:rFonts w:cs="Times New Roman" w:eastAsia="Times New Roman"/>
          <w:lang w:val="en-US"/>
        </w:rPr>
        <w:t>e</w:t>
      </w:r>
      <w:r w:rsidRPr="00D26C22">
        <w:rPr>
          <w:rFonts w:cs="Times New Roman" w:eastAsia="Times New Roman"/>
        </w:rPr>
        <w:t xml:space="preserve"> </w:t>
      </w:r>
      <w:r w:rsidRPr="00D26C22">
        <w:rPr>
          <w:rFonts w:cs="Times New Roman" w:eastAsia="Times New Roman"/>
          <w:lang w:val="en-US"/>
        </w:rPr>
        <w:t>od</w:t>
      </w:r>
      <w:r w:rsidRPr="00D26C22">
        <w:rPr>
          <w:rFonts w:cs="Times New Roman" w:eastAsia="Times New Roman"/>
        </w:rPr>
        <w:t xml:space="preserve"> 500,00 </w:t>
      </w:r>
      <w:r w:rsidRPr="00D26C22">
        <w:rPr>
          <w:rFonts w:cs="Times New Roman" w:eastAsia="Times New Roman"/>
          <w:lang w:val="en-US"/>
        </w:rPr>
        <w:t>kuna</w:t>
      </w:r>
      <w:r w:rsidRPr="00D26C22">
        <w:rPr>
          <w:rFonts w:cs="Times New Roman" w:eastAsia="Times New Roman"/>
        </w:rPr>
        <w:t xml:space="preserve"> </w:t>
      </w:r>
      <w:r w:rsidRPr="00D26C22">
        <w:rPr>
          <w:rFonts w:cs="Times New Roman" w:eastAsia="Times New Roman"/>
          <w:lang w:val="en-US"/>
        </w:rPr>
        <w:t>i</w:t>
      </w:r>
      <w:r w:rsidRPr="00D26C22">
        <w:rPr>
          <w:rFonts w:cs="Times New Roman" w:eastAsia="Times New Roman"/>
        </w:rPr>
        <w:t xml:space="preserve"> </w:t>
      </w:r>
      <w:r w:rsidRPr="00D26C22">
        <w:rPr>
          <w:rFonts w:cs="Times New Roman" w:eastAsia="Times New Roman"/>
          <w:lang w:val="en-US"/>
        </w:rPr>
        <w:t>dokaz</w:t>
      </w:r>
      <w:r w:rsidRPr="00D26C22">
        <w:rPr>
          <w:rFonts w:cs="Times New Roman" w:eastAsia="Times New Roman"/>
        </w:rPr>
        <w:t xml:space="preserve"> </w:t>
      </w:r>
      <w:r w:rsidRPr="00D26C22">
        <w:rPr>
          <w:rFonts w:cs="Times New Roman" w:eastAsia="Times New Roman"/>
          <w:lang w:val="en-US"/>
        </w:rPr>
        <w:t>o</w:t>
      </w:r>
      <w:r w:rsidRPr="00D26C22">
        <w:rPr>
          <w:rFonts w:cs="Times New Roman" w:eastAsia="Times New Roman"/>
        </w:rPr>
        <w:t xml:space="preserve"> </w:t>
      </w:r>
      <w:r w:rsidRPr="00D26C22">
        <w:rPr>
          <w:rFonts w:cs="Times New Roman" w:eastAsia="Times New Roman"/>
          <w:lang w:val="en-US"/>
        </w:rPr>
        <w:t>uplati</w:t>
      </w:r>
      <w:r w:rsidRPr="00D26C22">
        <w:rPr>
          <w:rFonts w:cs="Times New Roman" w:eastAsia="Times New Roman"/>
        </w:rPr>
        <w:t xml:space="preserve"> </w:t>
      </w:r>
      <w:r w:rsidRPr="00D26C22">
        <w:rPr>
          <w:rFonts w:cs="Times New Roman" w:eastAsia="Times New Roman"/>
          <w:lang w:val="en-US"/>
        </w:rPr>
        <w:t>sudske</w:t>
      </w:r>
      <w:r w:rsidRPr="00D26C22">
        <w:rPr>
          <w:rFonts w:cs="Times New Roman" w:eastAsia="Times New Roman"/>
        </w:rPr>
        <w:t xml:space="preserve"> </w:t>
      </w:r>
      <w:r w:rsidRPr="00D26C22">
        <w:rPr>
          <w:rFonts w:cs="Times New Roman" w:eastAsia="Times New Roman"/>
          <w:lang w:val="en-US"/>
        </w:rPr>
        <w:t>pristojbe</w:t>
      </w:r>
      <w:r w:rsidRPr="00D26C22">
        <w:rPr>
          <w:rFonts w:cs="Times New Roman" w:eastAsia="Times New Roman"/>
        </w:rPr>
        <w:t xml:space="preserve"> </w:t>
      </w:r>
      <w:r w:rsidRPr="00D26C22">
        <w:rPr>
          <w:rFonts w:cs="Times New Roman" w:eastAsia="Times New Roman"/>
          <w:lang w:val="en-US"/>
        </w:rPr>
        <w:t>dostaviti</w:t>
      </w:r>
      <w:r w:rsidRPr="00D26C22">
        <w:rPr>
          <w:rFonts w:cs="Times New Roman" w:eastAsia="Times New Roman"/>
        </w:rPr>
        <w:t xml:space="preserve"> </w:t>
      </w:r>
      <w:r w:rsidRPr="00D26C22">
        <w:rPr>
          <w:rFonts w:cs="Times New Roman" w:eastAsia="Times New Roman"/>
          <w:lang w:val="en-US"/>
        </w:rPr>
        <w:t>uz</w:t>
      </w:r>
      <w:r w:rsidRPr="00D26C22">
        <w:rPr>
          <w:rFonts w:cs="Times New Roman" w:eastAsia="Times New Roman"/>
        </w:rPr>
        <w:t xml:space="preserve"> </w:t>
      </w:r>
      <w:r w:rsidRPr="00D26C22">
        <w:rPr>
          <w:rFonts w:cs="Times New Roman" w:eastAsia="Times New Roman"/>
          <w:lang w:val="en-US"/>
        </w:rPr>
        <w:t>prijavu</w:t>
      </w:r>
      <w:r w:rsidRPr="00D26C22">
        <w:rPr>
          <w:rFonts w:cs="Times New Roman" w:eastAsia="Times New Roman"/>
        </w:rPr>
        <w:t xml:space="preserve">. </w:t>
      </w:r>
      <w:r w:rsidRPr="00D26C22">
        <w:rPr>
          <w:rFonts w:cs="Times New Roman" w:eastAsia="Times New Roman"/>
          <w:lang w:val="en-US"/>
        </w:rPr>
        <w:t>Sudska se</w:t>
      </w:r>
      <w:r w:rsidRPr="00D26C22">
        <w:rPr>
          <w:rFonts w:cs="Times New Roman" w:eastAsia="Times New Roman"/>
        </w:rPr>
        <w:t xml:space="preserve"> </w:t>
      </w:r>
      <w:r w:rsidRPr="00D26C22">
        <w:rPr>
          <w:rFonts w:cs="Times New Roman" w:eastAsia="Times New Roman"/>
          <w:lang w:val="en-US"/>
        </w:rPr>
        <w:t>pristojba</w:t>
      </w:r>
      <w:r w:rsidRPr="00D26C22">
        <w:rPr>
          <w:rFonts w:cs="Times New Roman" w:eastAsia="Times New Roman"/>
        </w:rPr>
        <w:t xml:space="preserve"> </w:t>
      </w:r>
      <w:r w:rsidRPr="00D26C22">
        <w:rPr>
          <w:rFonts w:cs="Times New Roman" w:eastAsia="Times New Roman"/>
          <w:lang w:val="en-US"/>
        </w:rPr>
        <w:t>upla</w:t>
      </w:r>
      <w:r w:rsidRPr="00D26C22">
        <w:rPr>
          <w:rFonts w:cs="Times New Roman" w:eastAsia="Times New Roman"/>
        </w:rPr>
        <w:t>ć</w:t>
      </w:r>
      <w:r w:rsidRPr="00D26C22">
        <w:rPr>
          <w:rFonts w:cs="Times New Roman" w:eastAsia="Times New Roman"/>
          <w:lang w:val="en-US"/>
        </w:rPr>
        <w:t>uje</w:t>
      </w:r>
      <w:r w:rsidRPr="00D26C22">
        <w:rPr>
          <w:rFonts w:cs="Times New Roman" w:eastAsia="Times New Roman"/>
        </w:rPr>
        <w:t xml:space="preserve"> </w:t>
      </w:r>
      <w:r w:rsidRPr="00D26C22">
        <w:rPr>
          <w:rFonts w:cs="Times New Roman" w:eastAsia="Times New Roman"/>
          <w:lang w:val="en-US"/>
        </w:rPr>
        <w:t>u</w:t>
      </w:r>
      <w:r w:rsidRPr="00D26C22">
        <w:rPr>
          <w:rFonts w:cs="Times New Roman" w:eastAsia="Times New Roman"/>
        </w:rPr>
        <w:t xml:space="preserve"> </w:t>
      </w:r>
      <w:r w:rsidRPr="00D26C22">
        <w:rPr>
          <w:rFonts w:cs="Times New Roman" w:eastAsia="Times New Roman"/>
          <w:lang w:val="en-US"/>
        </w:rPr>
        <w:t>korist</w:t>
      </w:r>
      <w:r w:rsidRPr="00D26C22">
        <w:rPr>
          <w:rFonts w:cs="Times New Roman" w:eastAsia="Times New Roman"/>
        </w:rPr>
        <w:t xml:space="preserve">: </w:t>
      </w:r>
      <w:r w:rsidRPr="00D26C22">
        <w:rPr>
          <w:rFonts w:cs="Times New Roman" w:eastAsia="Times New Roman"/>
          <w:lang w:val="en-US"/>
        </w:rPr>
        <w:t>Dr</w:t>
      </w:r>
      <w:r w:rsidRPr="00D26C22">
        <w:rPr>
          <w:rFonts w:cs="Times New Roman" w:eastAsia="Times New Roman"/>
        </w:rPr>
        <w:t>ž</w:t>
      </w:r>
      <w:r w:rsidRPr="00D26C22">
        <w:rPr>
          <w:rFonts w:cs="Times New Roman" w:eastAsia="Times New Roman"/>
          <w:lang w:val="en-US"/>
        </w:rPr>
        <w:t>avni</w:t>
      </w:r>
      <w:r w:rsidRPr="00D26C22">
        <w:rPr>
          <w:rFonts w:cs="Times New Roman" w:eastAsia="Times New Roman"/>
        </w:rPr>
        <w:t xml:space="preserve"> </w:t>
      </w:r>
      <w:r w:rsidRPr="00D26C22">
        <w:rPr>
          <w:rFonts w:cs="Times New Roman" w:eastAsia="Times New Roman"/>
          <w:lang w:val="en-US"/>
        </w:rPr>
        <w:t>prora</w:t>
      </w:r>
      <w:r w:rsidRPr="00D26C22">
        <w:rPr>
          <w:rFonts w:cs="Times New Roman" w:eastAsia="Times New Roman"/>
        </w:rPr>
        <w:t>č</w:t>
      </w:r>
      <w:r w:rsidRPr="00D26C22">
        <w:rPr>
          <w:rFonts w:cs="Times New Roman" w:eastAsia="Times New Roman"/>
          <w:lang w:val="en-US"/>
        </w:rPr>
        <w:t>un</w:t>
      </w:r>
      <w:r w:rsidRPr="00D26C22">
        <w:rPr>
          <w:rFonts w:cs="Times New Roman" w:eastAsia="Times New Roman"/>
        </w:rPr>
        <w:t xml:space="preserve"> </w:t>
      </w:r>
      <w:r w:rsidRPr="00D26C22">
        <w:rPr>
          <w:rFonts w:cs="Times New Roman" w:eastAsia="Times New Roman"/>
          <w:lang w:val="en-US"/>
        </w:rPr>
        <w:t>RH</w:t>
      </w:r>
      <w:r w:rsidRPr="00D26C22">
        <w:rPr>
          <w:rFonts w:cs="Times New Roman" w:eastAsia="Times New Roman"/>
        </w:rPr>
        <w:t xml:space="preserve">, </w:t>
      </w:r>
      <w:r w:rsidRPr="00D26C22">
        <w:rPr>
          <w:rFonts w:cs="Times New Roman" w:eastAsia="Times New Roman"/>
          <w:lang w:val="en-US"/>
        </w:rPr>
        <w:t>na</w:t>
      </w:r>
      <w:r w:rsidRPr="00D26C22">
        <w:rPr>
          <w:rFonts w:cs="Times New Roman" w:eastAsia="Times New Roman"/>
        </w:rPr>
        <w:t xml:space="preserve"> </w:t>
      </w:r>
      <w:r w:rsidRPr="00D26C22">
        <w:rPr>
          <w:rFonts w:cs="Times New Roman" w:eastAsia="Times New Roman"/>
          <w:lang w:val="en-US"/>
        </w:rPr>
        <w:t>ra</w:t>
      </w:r>
      <w:r w:rsidRPr="00D26C22">
        <w:rPr>
          <w:rFonts w:cs="Times New Roman" w:eastAsia="Times New Roman"/>
        </w:rPr>
        <w:t>č</w:t>
      </w:r>
      <w:r w:rsidRPr="00D26C22">
        <w:rPr>
          <w:rFonts w:cs="Times New Roman" w:eastAsia="Times New Roman"/>
          <w:lang w:val="en-US"/>
        </w:rPr>
        <w:t>un</w:t>
      </w:r>
      <w:r w:rsidRPr="00D26C22">
        <w:rPr>
          <w:rFonts w:cs="Times New Roman" w:eastAsia="Times New Roman"/>
        </w:rPr>
        <w:t xml:space="preserve"> </w:t>
      </w:r>
      <w:r w:rsidRPr="00D26C22">
        <w:rPr>
          <w:rFonts w:cs="Times New Roman" w:eastAsia="Times New Roman"/>
          <w:lang w:val="en-US"/>
        </w:rPr>
        <w:t>broj</w:t>
      </w:r>
      <w:r w:rsidRPr="00D26C22">
        <w:rPr>
          <w:rFonts w:cs="Times New Roman" w:eastAsia="Times New Roman"/>
        </w:rPr>
        <w:t xml:space="preserve">: HR1210010051863000160, Model: 63., </w:t>
      </w:r>
      <w:r w:rsidRPr="00D26C22">
        <w:rPr>
          <w:rFonts w:cs="Times New Roman" w:eastAsia="Times New Roman"/>
          <w:lang w:val="en-US"/>
        </w:rPr>
        <w:t>poziv</w:t>
      </w:r>
      <w:r w:rsidRPr="00D26C22">
        <w:rPr>
          <w:rFonts w:cs="Times New Roman" w:eastAsia="Times New Roman"/>
        </w:rPr>
        <w:t xml:space="preserve"> </w:t>
      </w:r>
      <w:r w:rsidRPr="00D26C22">
        <w:rPr>
          <w:rFonts w:cs="Times New Roman" w:eastAsia="Times New Roman"/>
          <w:lang w:val="en-US"/>
        </w:rPr>
        <w:t>na</w:t>
      </w:r>
      <w:r w:rsidRPr="00D26C22">
        <w:rPr>
          <w:rFonts w:cs="Times New Roman" w:eastAsia="Times New Roman"/>
        </w:rPr>
        <w:t xml:space="preserve"> </w:t>
      </w:r>
      <w:r w:rsidRPr="00D26C22">
        <w:rPr>
          <w:rFonts w:cs="Times New Roman" w:eastAsia="Times New Roman"/>
          <w:lang w:val="en-US"/>
        </w:rPr>
        <w:t>broj</w:t>
      </w:r>
      <w:r w:rsidRPr="00D26C22">
        <w:rPr>
          <w:rFonts w:cs="Times New Roman" w:eastAsia="Times New Roman"/>
        </w:rPr>
        <w:t xml:space="preserve">: 5045-3566-247-12., </w:t>
      </w:r>
      <w:r w:rsidRPr="00D26C22">
        <w:rPr>
          <w:rFonts w:cs="Times New Roman" w:eastAsia="Times New Roman"/>
          <w:lang w:val="en-US"/>
        </w:rPr>
        <w:t>uz</w:t>
      </w:r>
      <w:r w:rsidRPr="00D26C22">
        <w:rPr>
          <w:rFonts w:cs="Times New Roman" w:eastAsia="Times New Roman"/>
        </w:rPr>
        <w:t xml:space="preserve"> </w:t>
      </w:r>
      <w:r w:rsidRPr="00D26C22">
        <w:rPr>
          <w:rFonts w:cs="Times New Roman" w:eastAsia="Times New Roman"/>
          <w:lang w:val="en-US"/>
        </w:rPr>
        <w:t>naznaku</w:t>
      </w:r>
      <w:r w:rsidRPr="00D26C22">
        <w:rPr>
          <w:rFonts w:cs="Times New Roman" w:eastAsia="Times New Roman"/>
        </w:rPr>
        <w:t xml:space="preserve"> </w:t>
      </w:r>
      <w:r w:rsidRPr="00D26C22">
        <w:rPr>
          <w:rFonts w:cs="Times New Roman" w:eastAsia="Times New Roman"/>
          <w:lang w:val="en-US"/>
        </w:rPr>
        <w:t>svrhe</w:t>
      </w:r>
      <w:r w:rsidRPr="00D26C22">
        <w:rPr>
          <w:rFonts w:cs="Times New Roman" w:eastAsia="Times New Roman"/>
        </w:rPr>
        <w:t xml:space="preserve"> </w:t>
      </w:r>
      <w:r w:rsidRPr="00D26C22">
        <w:rPr>
          <w:rFonts w:cs="Times New Roman" w:eastAsia="Times New Roman"/>
          <w:lang w:val="en-US"/>
        </w:rPr>
        <w:t>pla</w:t>
      </w:r>
      <w:r w:rsidRPr="00D26C22">
        <w:rPr>
          <w:rFonts w:cs="Times New Roman" w:eastAsia="Times New Roman"/>
        </w:rPr>
        <w:t>ć</w:t>
      </w:r>
      <w:r w:rsidRPr="00D26C22">
        <w:rPr>
          <w:rFonts w:cs="Times New Roman" w:eastAsia="Times New Roman"/>
          <w:lang w:val="en-US"/>
        </w:rPr>
        <w:t>anja</w:t>
      </w:r>
      <w:r w:rsidRPr="00D26C22">
        <w:rPr>
          <w:rFonts w:cs="Times New Roman" w:eastAsia="Times New Roman"/>
        </w:rPr>
        <w:t>: «</w:t>
      </w:r>
      <w:r w:rsidRPr="00D26C22">
        <w:rPr>
          <w:rFonts w:cs="Times New Roman" w:eastAsia="Times New Roman"/>
          <w:lang w:val="en-US"/>
        </w:rPr>
        <w:t>sudska</w:t>
      </w:r>
      <w:r w:rsidRPr="00D26C22">
        <w:rPr>
          <w:rFonts w:cs="Times New Roman" w:eastAsia="Times New Roman"/>
        </w:rPr>
        <w:t xml:space="preserve"> </w:t>
      </w:r>
      <w:r w:rsidRPr="00D26C22">
        <w:rPr>
          <w:rFonts w:cs="Times New Roman" w:eastAsia="Times New Roman"/>
          <w:lang w:val="en-US"/>
        </w:rPr>
        <w:t>pristojba</w:t>
      </w:r>
      <w:r w:rsidRPr="00D26C22">
        <w:rPr>
          <w:rFonts w:cs="Times New Roman" w:eastAsia="Times New Roman"/>
        </w:rPr>
        <w:t xml:space="preserve"> </w:t>
      </w:r>
      <w:r w:rsidRPr="00D26C22">
        <w:rPr>
          <w:rFonts w:cs="Times New Roman" w:eastAsia="Times New Roman"/>
          <w:lang w:val="en-US"/>
        </w:rPr>
        <w:t>za</w:t>
      </w:r>
      <w:r w:rsidRPr="00D26C22">
        <w:rPr>
          <w:rFonts w:cs="Times New Roman" w:eastAsia="Times New Roman"/>
        </w:rPr>
        <w:t xml:space="preserve"> </w:t>
      </w:r>
      <w:r w:rsidRPr="00D26C22">
        <w:rPr>
          <w:rFonts w:cs="Times New Roman" w:eastAsia="Times New Roman"/>
          <w:lang w:val="en-US"/>
        </w:rPr>
        <w:t>prijavu</w:t>
      </w:r>
      <w:r w:rsidRPr="00D26C22">
        <w:rPr>
          <w:rFonts w:cs="Times New Roman" w:eastAsia="Times New Roman"/>
        </w:rPr>
        <w:t xml:space="preserve"> </w:t>
      </w:r>
      <w:r w:rsidRPr="00D26C22">
        <w:rPr>
          <w:rFonts w:cs="Times New Roman" w:eastAsia="Times New Roman"/>
          <w:lang w:val="en-US"/>
        </w:rPr>
        <w:t>tra</w:t>
      </w:r>
      <w:r w:rsidRPr="00D26C22">
        <w:rPr>
          <w:rFonts w:cs="Times New Roman" w:eastAsia="Times New Roman"/>
        </w:rPr>
        <w:t>ž</w:t>
      </w:r>
      <w:r w:rsidRPr="00D26C22">
        <w:rPr>
          <w:rFonts w:cs="Times New Roman" w:eastAsia="Times New Roman"/>
          <w:lang w:val="en-US"/>
        </w:rPr>
        <w:t>bine</w:t>
      </w:r>
      <w:r w:rsidRPr="00D26C22">
        <w:rPr>
          <w:rFonts w:cs="Times New Roman" w:eastAsia="Times New Roman"/>
        </w:rPr>
        <w:t xml:space="preserve"> </w:t>
      </w:r>
      <w:r w:rsidRPr="00D26C22">
        <w:rPr>
          <w:rFonts w:cs="Times New Roman" w:eastAsia="Times New Roman"/>
          <w:lang w:val="en-US"/>
        </w:rPr>
        <w:t>u</w:t>
      </w:r>
      <w:r w:rsidRPr="00D26C22">
        <w:rPr>
          <w:rFonts w:cs="Times New Roman" w:eastAsia="Times New Roman"/>
        </w:rPr>
        <w:t xml:space="preserve"> </w:t>
      </w:r>
      <w:r w:rsidRPr="00D26C22">
        <w:rPr>
          <w:rFonts w:cs="Times New Roman" w:eastAsia="Times New Roman"/>
          <w:lang w:val="en-US"/>
        </w:rPr>
        <w:t>predmetu</w:t>
      </w:r>
      <w:r w:rsidRPr="00D26C22">
        <w:rPr>
          <w:rFonts w:cs="Times New Roman" w:eastAsia="Times New Roman"/>
        </w:rPr>
        <w:t xml:space="preserve">: 14. </w:t>
      </w:r>
      <w:r w:rsidRPr="00D26C22">
        <w:rPr>
          <w:rFonts w:cs="Times New Roman" w:eastAsia="Times New Roman"/>
          <w:lang w:val="en-US"/>
        </w:rPr>
        <w:t>St</w:t>
      </w:r>
      <w:r w:rsidRPr="00D26C22">
        <w:rPr>
          <w:rFonts w:cs="Times New Roman" w:eastAsia="Times New Roman"/>
        </w:rPr>
        <w:t xml:space="preserve">-247/2012.». </w:t>
      </w:r>
      <w:r w:rsidRPr="00D26C22">
        <w:rPr>
          <w:rFonts w:cs="Times New Roman" w:eastAsia="Times New Roman"/>
          <w:lang w:val="en-US"/>
        </w:rPr>
        <w:t>To nisu dužni učiniti oni stečajni vjerovnici koji su to već učinili u povodu prvog otvaranja stečajnog postupka po rješenju ovog Suda od 14. listopada 2013. godine, broj: 14. St-247/2012., objava kojeg je bila u „Narodne novine“, br.: 127/13., od 18. listopada 2013. godine, na stranici 30.-oglasne stranice.</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b/>
          <w:bCs/>
          <w:lang w:val="en-US"/>
        </w:rPr>
        <w:t>IV/</w:t>
      </w:r>
      <w:r w:rsidRPr="00D26C22">
        <w:rPr>
          <w:rFonts w:cs="Times New Roman" w:eastAsia="Times New Roman"/>
          <w:lang w:val="en-US"/>
        </w:rPr>
        <w:t xml:space="preserve">  Pozivaju se razlučni i izlučni vjerovnici, u roku od 20. dana nakon proteka osmog dana od objave Oglasa o otvaranju stečajnog postupka </w:t>
      </w:r>
      <w:r w:rsidRPr="00D26C22">
        <w:rPr>
          <w:rFonts w:cs="Times New Roman" w:eastAsia="Times New Roman"/>
        </w:rPr>
        <w:t>na e-Oglasnoj ploči Trgovačkog suda u Splitu</w:t>
      </w:r>
      <w:r w:rsidRPr="00D26C22">
        <w:rPr>
          <w:rFonts w:cs="Times New Roman" w:eastAsia="Times New Roman"/>
          <w:lang w:val="en-US"/>
        </w:rPr>
        <w:t>, obavijestiti Stečajnu upraviteljicu u pisanom obliku o svojim pravima, podneskom u dva primjerka, uz priložene dokaze, sukladno odredbi članka 173., stavak 4. i 5., SZ. To nisu dužni učiniti oni vjerovnici koji su to već učinili u povodu prvog otvaranja stečajnog postupka po rješenju ovog Suda od 14. listopada 2013. godine, broj: 14. St-247/2012., objava kojeg je bila u „Narodne novine“, br.: 127/13., od 18. listopada 2013. godine, na stranici 30.-oglasne stranice.</w:t>
      </w:r>
    </w:p>
    <w:p w:rsidRDefault="00D26C22" w:rsidP="00D26C22" w:rsidR="00D26C22" w:rsidRPr="00D26C22">
      <w:pPr>
        <w:spacing w:after="0"/>
        <w:jc w:val="both"/>
        <w:rPr>
          <w:rFonts w:cs="Times New Roman" w:eastAsia="Times New Roman"/>
          <w:b/>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b/>
          <w:lang w:val="en-US"/>
        </w:rPr>
        <w:t>V/</w:t>
      </w:r>
      <w:r w:rsidRPr="00D26C22">
        <w:rPr>
          <w:rFonts w:cs="Times New Roman" w:eastAsia="Times New Roman"/>
          <w:lang w:val="en-US"/>
        </w:rPr>
        <w:t xml:space="preserve">   Pozivaju su Dužnikovi dužnici svoje obveze prema Dužniku bez odgode ispunjavati Stečajnoj upraviteljici za stečajnog Dužnika.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b/>
          <w:bCs/>
          <w:lang w:val="en-US"/>
        </w:rPr>
        <w:t>VI/</w:t>
      </w:r>
      <w:r w:rsidRPr="00D26C22">
        <w:rPr>
          <w:rFonts w:cs="Times New Roman" w:eastAsia="Times New Roman"/>
          <w:lang w:val="en-US"/>
        </w:rPr>
        <w:t xml:space="preserve">  Ispitno ročište na kojem će se ispitati prijavljene tražbine određuje se za dan: UTORAK – 12. siječnja 2016. godine, u 09,00 sati, u Trgovačkom sudu u Splitu, Sukoišanska 6., </w:t>
      </w:r>
      <w:smartTag w:element="place" w:uri="urn:schemas-microsoft-com:office:smarttags">
        <w:smartTag w:element="City" w:uri="urn:schemas-microsoft-com:office:smarttags">
          <w:r w:rsidRPr="00D26C22">
            <w:rPr>
              <w:rFonts w:cs="Times New Roman" w:eastAsia="Times New Roman"/>
              <w:lang w:val="en-US"/>
            </w:rPr>
            <w:t>Split</w:t>
          </w:r>
        </w:smartTag>
      </w:smartTag>
      <w:r w:rsidRPr="00D26C22">
        <w:rPr>
          <w:rFonts w:cs="Times New Roman" w:eastAsia="Times New Roman"/>
          <w:lang w:val="en-US"/>
        </w:rPr>
        <w:t>, sudnica broj: 5., soba broj: 121/ I kat. Odmah iza Ispitnog ročišta, održat će se i Izvještajno ročište, na kojem će se, temeljem izvješća Stečajne upraviteljice, odlučivati o daljnjem tijeku stečajnog postupka.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b/>
          <w:bCs/>
          <w:lang w:val="en-US"/>
        </w:rPr>
        <w:t>VII/</w:t>
      </w:r>
      <w:r w:rsidRPr="00D26C22">
        <w:rPr>
          <w:rFonts w:cs="Times New Roman" w:eastAsia="Times New Roman"/>
          <w:lang w:val="en-US"/>
        </w:rPr>
        <w:t xml:space="preserve">  Određuje se otvaranje stečajnog postupka i imenovanje Stečajne upraviteljice upisati u sudski registar ovog Suda u koji je stečajni Dužnik iz točke I/ izrijeke ovog rješenja upisan te u zemljišne knjige Općinskog suda u Splitu i Stalne službe u Trogiru, na nekretninama na kojima je isti stečajni Dužnik uknjižen kao ovlaštenik stvarnih prava, što će tijela koja vode ove upisnike provesti po službenoj dužnosti nakon primitka ovog rješenja.</w:t>
      </w:r>
    </w:p>
    <w:p w:rsidRDefault="00D26C22" w:rsidP="00D26C22" w:rsidR="00D26C22" w:rsidRPr="00D26C22">
      <w:pPr>
        <w:spacing w:after="0"/>
        <w:jc w:val="center"/>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b/>
          <w:bCs/>
          <w:lang w:val="en-US"/>
        </w:rPr>
        <w:t>VIII/</w:t>
      </w:r>
      <w:r w:rsidRPr="00D26C22">
        <w:rPr>
          <w:rFonts w:cs="Times New Roman" w:eastAsia="Times New Roman"/>
          <w:lang w:val="en-US"/>
        </w:rPr>
        <w:t xml:space="preserve">  Ovo će se rješenje oglasiti na e-Oglasnoj ploči i izložiti u sudskoj stečajnoj pisarnici Trgovačkog suda u Splitu a izrijeka istog riješenja će se u obliku Oglasa objaviti na e-Oglasnoj ploči Trgovačkog suda u Splitu.</w:t>
      </w: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  </w:t>
      </w: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- 3 -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center"/>
        <w:rPr>
          <w:rFonts w:cs="Times New Roman" w:eastAsia="Times New Roman"/>
          <w:szCs w:val="20"/>
        </w:rPr>
      </w:pPr>
      <w:r w:rsidRPr="00D26C22">
        <w:rPr>
          <w:rFonts w:cs="Times New Roman" w:eastAsia="Times New Roman"/>
          <w:lang w:val="de-DE"/>
        </w:rPr>
        <w:t>B/</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          </w:t>
      </w:r>
      <w:r w:rsidRPr="00D26C22">
        <w:rPr>
          <w:rFonts w:cs="Times New Roman" w:eastAsia="Times New Roman"/>
          <w:b/>
          <w:lang w:val="en-US"/>
        </w:rPr>
        <w:t>1.</w:t>
      </w:r>
      <w:r w:rsidRPr="00D26C22">
        <w:rPr>
          <w:rFonts w:cs="Times New Roman" w:eastAsia="Times New Roman"/>
          <w:lang w:val="en-US"/>
        </w:rPr>
        <w:t xml:space="preserve">  Ukidaju se sve mjere osiguranja određene protiv Dužnika točkom B/ izrijeke rješenja ovog Suda od 30. lipnja 2014. godine broj: 14. St-247/2012.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          </w:t>
      </w:r>
      <w:r w:rsidRPr="00D26C22">
        <w:rPr>
          <w:rFonts w:cs="Times New Roman" w:eastAsia="Times New Roman"/>
          <w:b/>
          <w:lang w:val="en-US"/>
        </w:rPr>
        <w:t>2.</w:t>
      </w:r>
      <w:r w:rsidRPr="00D26C22">
        <w:rPr>
          <w:rFonts w:cs="Times New Roman" w:eastAsia="Times New Roman"/>
          <w:lang w:val="en-US"/>
        </w:rPr>
        <w:t xml:space="preserve">  Određuje se upis ukidanja mjera osiguranja u sudski registar ovog suda te u zemljišne knjige Općinskog suda u Splitu i Stalne službe u Trogiru, što će tijela koja vode ove upisnike provesti po službenoj dužnosti nakon primitka ovog rješenja.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keepNext/>
        <w:spacing w:after="0"/>
        <w:jc w:val="center"/>
        <w:outlineLvl w:val="0"/>
        <w:rPr>
          <w:rFonts w:cs="Times New Roman" w:eastAsia="Arial Unicode MS"/>
          <w:bCs/>
          <w:lang w:eastAsia="hr-HR"/>
        </w:rPr>
      </w:pPr>
      <w:r w:rsidRPr="00D26C22">
        <w:rPr>
          <w:rFonts w:cs="Times New Roman" w:eastAsia="Arial Unicode MS"/>
          <w:bCs/>
          <w:lang w:eastAsia="hr-HR"/>
        </w:rPr>
        <w:t>Obrazloženje</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1.</w:t>
      </w:r>
      <w:r w:rsidRPr="00D26C22">
        <w:rPr>
          <w:rFonts w:cs="Times New Roman" w:eastAsia="Times New Roman"/>
          <w:lang w:val="en-US"/>
        </w:rPr>
        <w:t xml:space="preserve"> Uvodno navedeni Predlagatelj, podnio je ovom Sudu preporučenom pošiljkom, predajom na poštu Zagreb dana 20. prosinca 2012. god., Prijedlog za otvaranje stečajnog postupka dalje: Prijedlog) nad uvodno i u točki A/I, izrijeke ovog rješenja navedenim Dužnikom, ističući kako iz temelja jamstvenog odnosa potražuje od Dužnika iznos od: 1.939.337,34 EUR-a. Navedeno potraživanje Predlagatelja temelji se na ovršnoj ispravi, rješenju o ovrsi Općinskog suda u Splitu, broj: Ovr-4970/12., od 27. rujna 2012. godine a sve temeljem Sporazuma radi osiguranja novčane tražbine zasnivanjem založnog prava na nekretninama, solemniziran od javne bilježnice u Splitu Mirjane Popovac dana 27. lipnja 2007. godine pod brojem: OV-7002/2007. i Aneksa broj: 1., istog Sporazuma, koji Aneks je sklopljen dana 23. kolovoza 2007. godine i solemniziran od javne bilježnice u Splitu Mirjane Popovac istog dana pod brojem: OV-9233/2007. Navedeni Sporazum i Aneks broj 1., sklopljeni su temeljem Ugovora o kreditnom poslu s inozemstvom broj: HR/1562., kojim je Ugovorom Predlagatelj dao kredit Edvardu Ugrina kao korisniku kredita a stečajni Dužnik je u tom Ugovoru jamac platac. Pored toga, Predlagatelj i stečajni Dužnik sklopili se poseban Ugovor o jamstvu dana 27. lipnja 2007. godine i ovjeren po javnoj bilježnici u Splitu Mirjani Popovac istog dana pod brojem OV-6996/07., kojim Ugovorom u jamstvu se je Dužnik obvezao prema Prtedlagatelju kao jamac platac i pored toga što se u tom svojstvu obvezao (prvim, temeljnim) Ugovorom o kreditnom poslu s inozemstvom, broj: HR/1562. Kod Dužnika je račun blokiran duže od 60. dana te je time ostvaren i stečajni razlog nesposobnosti Dužnika za plaćanje, radi čega je Predlagatelj i predložio Sudu nad Dužnikom otvoriti stečajni postupak (sve list: 1. – 48., spisa, SVEŽANJ I/).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rPr>
      </w:pPr>
      <w:r w:rsidRPr="00D26C22">
        <w:rPr>
          <w:rFonts w:cs="Times New Roman" w:eastAsia="Times New Roman"/>
          <w:b/>
          <w:lang w:val="en-US"/>
        </w:rPr>
        <w:t xml:space="preserve">2. </w:t>
      </w:r>
      <w:r w:rsidRPr="00D26C22">
        <w:rPr>
          <w:rFonts w:cs="Times New Roman" w:eastAsia="Times New Roman"/>
          <w:lang w:val="en-US"/>
        </w:rPr>
        <w:t xml:space="preserve">Dužnik se je usprotivio Prijedlogu Predlagatelja ističući </w:t>
      </w:r>
      <w:r w:rsidRPr="00D26C22">
        <w:rPr>
          <w:rFonts w:cs="Times New Roman" w:eastAsia="Times New Roman"/>
        </w:rPr>
        <w:t>kako je Dužnik (LUCIS  d.o.o.) kao jamac tražio konto kartice od Predlagatelja za stečajni postupak te iste nikad nije dobio. Direktor Dužnika, Edvard Ugrina, je uporno pokušavao stupiti u kontakt sa odgovornim osobama Predlagatelja za podmirenje dugovanja te je isti u spis priložio i dopis koji je upućen suprotnoj strani. Istakao je kako ima nekretnine koje želi prodati, ima potencijalne kupce i na taj način bi riješio Predlagatelja (list: 74.,spisa,SVEŽANJ I/).</w:t>
      </w:r>
    </w:p>
    <w:p w:rsidRDefault="00D26C22" w:rsidP="00D26C22" w:rsidR="00D26C22" w:rsidRPr="00D26C22">
      <w:pPr>
        <w:spacing w:after="0"/>
        <w:ind w:firstLine="720"/>
        <w:jc w:val="both"/>
        <w:rPr>
          <w:rFonts w:cs="Times New Roman" w:eastAsia="Times New Roman"/>
        </w:rPr>
      </w:pPr>
    </w:p>
    <w:p w:rsidRDefault="00D26C22" w:rsidP="00D26C22" w:rsidR="00D26C22">
      <w:pPr>
        <w:spacing w:after="0"/>
        <w:jc w:val="both"/>
        <w:rPr>
          <w:rFonts w:cs="Times New Roman" w:eastAsia="Times New Roman"/>
        </w:rPr>
      </w:pPr>
    </w:p>
    <w:p w:rsidRDefault="00D26C22" w:rsidP="00D26C22" w:rsidR="00D26C22">
      <w:pPr>
        <w:spacing w:after="0"/>
        <w:jc w:val="both"/>
        <w:rPr>
          <w:rFonts w:cs="Times New Roman" w:eastAsia="Times New Roman"/>
        </w:rPr>
      </w:pPr>
    </w:p>
    <w:p w:rsidRDefault="00D26C22" w:rsidP="00D26C22" w:rsidR="00D26C22">
      <w:pPr>
        <w:spacing w:after="0"/>
        <w:jc w:val="both"/>
        <w:rPr>
          <w:rFonts w:cs="Times New Roman" w:eastAsia="Times New Roman"/>
        </w:rPr>
      </w:pPr>
    </w:p>
    <w:p w:rsidRDefault="00D26C22" w:rsidP="00D26C22" w:rsidR="00D26C22" w:rsidRPr="00D26C22">
      <w:pPr>
        <w:spacing w:after="0"/>
        <w:jc w:val="both"/>
        <w:rPr>
          <w:rFonts w:cs="Times New Roman" w:eastAsia="Times New Roman"/>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- 4 -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rPr>
      </w:pPr>
    </w:p>
    <w:p w:rsidRDefault="00D26C22" w:rsidP="00D26C22" w:rsidR="00D26C22" w:rsidRPr="00D26C22">
      <w:pPr>
        <w:spacing w:after="0"/>
        <w:jc w:val="both"/>
        <w:rPr>
          <w:rFonts w:cs="Times New Roman" w:eastAsia="Times New Roman"/>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szCs w:val="20"/>
          <w:lang w:val="en-US"/>
        </w:rPr>
      </w:pPr>
      <w:r w:rsidRPr="00D26C22">
        <w:rPr>
          <w:rFonts w:cs="Times New Roman" w:eastAsia="Times New Roman"/>
          <w:lang w:val="en-US"/>
        </w:rPr>
        <w:tab/>
      </w:r>
      <w:r w:rsidRPr="00D26C22">
        <w:rPr>
          <w:rFonts w:cs="Times New Roman" w:eastAsia="Times New Roman"/>
          <w:b/>
          <w:lang w:val="en-US"/>
        </w:rPr>
        <w:t xml:space="preserve">3. </w:t>
      </w:r>
      <w:r w:rsidRPr="00D26C22">
        <w:rPr>
          <w:rFonts w:cs="Times New Roman" w:eastAsia="Times New Roman"/>
          <w:lang w:val="en-US"/>
        </w:rPr>
        <w:t xml:space="preserve">Nakon što je </w:t>
      </w:r>
      <w:r w:rsidRPr="00D26C22">
        <w:rPr>
          <w:rFonts w:cs="Times New Roman" w:eastAsia="Times New Roman"/>
          <w:szCs w:val="20"/>
          <w:lang w:val="en-US"/>
        </w:rPr>
        <w:t>ovaj Sud riješenjem od 14. listopada 2013. godine, broj: 14. St-247/2012. (list: 84. – 87. spisa, SVEŽANJ I), otvorio stečajni postupak nad Dužnikom, povodom žalbe Edvarda Ugrine kao zastupnika po zakonu Dužnika, Visoki trgovački sud Republike Hrvatske je svojim riješenjem od 19. studenog 2013. godine, broj: Pž-9404/13. (list: 174. – 179. spisa, SVEŽANJ I, dalje: Ukidno rješenje VTS-a), ukinuo naprijed navedeno rješenje ovog Suda o otvaranju stečajnog postupka nad Dužnikom i predmet vratio ovom Sudu na ponovni postupak.</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4. </w:t>
      </w:r>
      <w:r w:rsidRPr="00D26C22">
        <w:rPr>
          <w:rFonts w:cs="Times New Roman" w:eastAsia="Times New Roman"/>
          <w:lang w:val="en-US"/>
        </w:rPr>
        <w:t xml:space="preserve">U nastavljenom postupku nakon Ukidnog rješenja VTS-a, obje su stranke: Predlagatelj i Dužnik, iscrpnim, opširnim i detaljno obrazloženim pismenim podnescima kao i na ročištima pred Sudom iznosili činjenice i predlagali dokaze te obrazlagali svoja pravna stajališta-shvaćanja a pri svemu tome su ustrajali i na ročištu održanom dana 10. studenog 2015. godine. Sud je, također, postupajući po uputama iz Ukidnog rješenja VTS-a a temeljem članaka 377., stavak 1. i 2. i 488., Zakona o parničnom postupku („Narodne novine“ br.: 148/11.-pročišćeni tekst, 25/13. i 89/14.-Odluka USRH, br.: U-I-885/2013., dalje: ZPP) u vezi sa člankom 6. SZ te članka 7., stavak 3., SZ, izveo dokaz provođenjem financijsko-računovodstvenog i građevinskog vještačenja kao i usmenim saslušanjem imenovanih vještaka na ročištu pred Sudom kao i dokaz čitanjem cijelog spisa predmeta, uključujući i pribavljene Potvrde FINA-e o bonitetu Dužnika.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5. </w:t>
      </w:r>
      <w:r w:rsidRPr="00D26C22">
        <w:rPr>
          <w:rFonts w:cs="Times New Roman" w:eastAsia="Times New Roman"/>
          <w:lang w:val="en-US"/>
        </w:rPr>
        <w:t xml:space="preserve">Tako je Predlagatelj u svom podnesku od 18. prosinca 2013. godine a koji je fizički zaprimljen u Sudu dana 23. prosinca 2013. godine (list: 209.a – 402. spisa, SVEŽANJ II), naveo i obrazložio kako ima novčane tražbine prema Dužniku temeljem tri različita ugovora o kreditu i koje su tražbine osigurane različitim sredstvima osiguranja. To su: 1) Ugovor o kreditu broj: HR/1562. (to je Ugovor naveden i obrazložen i u Prijedlogu) i njime povezani Sporazum o osiguranju ... i Ugovor o jamstvu (list: 8. - 48. spisa, SVEŽANJ I); 2) Ugovor o kreditu broj: HR/1805. (list: 320. – 340., spisa, SVEŽANJ II) i 3) Ugovor o kreditu broj: HR/1301. (list: 378. – 400., spisa, SVEŽANJ II).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6. </w:t>
      </w:r>
      <w:r w:rsidRPr="00D26C22">
        <w:rPr>
          <w:rFonts w:cs="Times New Roman" w:eastAsia="Times New Roman"/>
          <w:lang w:val="en-US"/>
        </w:rPr>
        <w:t>Dužnik, odnosno, zakonski zastupnik Dužnika je podneskom od 24. srpnja 2014. godine (list: 635. – 645. spisa, SVEŽANJ IV), detaljno obrazložio svoja činjanična i pravna stajališta i u prilogu dostavio opsežnu dokumentaciju (list: 648. – 852., spisa, SVEŽANJ IV), među kojima su i navedeni Ugovori, rješidbe drugih sudova i različitih stupnjeva te tužbe podesene radi utvrđenja ništetnim navedenih Ugovora i Sporazuma i brisanja založnih prava. Bitnost sadržaja ovog podneska Dužnika je tvrdnja kako su navedeni Ugovori HR/1562., HR/1805. i HR/1301. kao i posljedično sklopljeni Sporazumi radi osiguranja zasnivanjem založnih prava i Ugovori u jamstvu, svi ništetni pravni akti i to temeljem tada i naknadno vrijedećih odredaba Zakona o bankama, Zakona o deviznom poslovanju i Zakona o zaštiti potrošača, pošto Predlagatelj kao banka nije</w:t>
      </w: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- 5 -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mogao na području Republike Hrvatske odobravati kredite, niti u kunama niti u devizama pa je svako suprotno ponašanje Predlagatelja proizvelo ništetnost sklopljenih pravnih poslova temeljem kogentnih odredaba tada vrijedećeg Zakona o bankama i Zakona o deviznom poslovanju a kako su isti krediti odobravani potrošačima, isti su suprotni i kogentnim odredbama Zakona o zaštiti potrošača vrijedećim u vrijeme odobravanja kredita. U tom se je podnesku Dužnik pozvao na stajališta Hrvatska narodne banke i sudsku praksu kako viših sudova tako i sudova prvog stupnja, prilažući u tu svrhu odgovarajuće pravne akte.</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7. </w:t>
      </w:r>
      <w:r w:rsidRPr="00D26C22">
        <w:rPr>
          <w:rFonts w:cs="Times New Roman" w:eastAsia="Times New Roman"/>
          <w:lang w:val="en-US"/>
        </w:rPr>
        <w:t>Nakon što su na ročištu održanom kod ovog Suda dana 24. srpnja 2014. godine, svoja pravna stajališta i viđenja stanja ovoga stečajnog predmeta iznijeli punomoćnici stranaka i stečajni sudac, odlučeno je provesti financijsko računovodstveno i građevinsko vještačenje po vještacima navedene struke radi utvrđenja može li se Predlagatelj kao založni-razlučni vjerovnik namiriti iz imovine na kojoj ima založna-razlučna prava radi osiguranja naplate novčane tražbine (razlučna prava istog kao razlučnog vjerovnika), sve sukladno uputama iz Ukidnog rješenja VTS-a. Vještačenje je određeno zaključkom Suda od 25. srpnja 2014. godine (list: 857., spisa, SVEŽANJ V) i to na svim nekretninama pobrojanim po pojedinim Ugovorima o kreditu: HR/1562., HR/1805. i HR/1301., iz podneska Predlagatelja od 18. prosinca 2013. godine a fizički zaprimljenim u Sudu dana 23. prosinca 2013. godine (list: 209.a – 216., spisa, SVEŽANJ II), uključujući i nekretnine u vlasništvu Edvarda Ugrine, među njima i nekretninu upisanu u zemljišnim knjigama Općinskog suda u Trogiru, k.o., Okrug, označenu kao čest. zem. 2341/28., kojom je osigurana novčana tražbina Predlagatelja temeljem Ugovora o kreditu broj: HR/1301, zasnivanjem založnog prava u korist Predlagatelja na istoj ovoj nekretnini u vlasništvu Edvarda Ugrine, prema kojem Ugovoru je Dužnik jamac platac ali ne i založni dužnik. Na prigovor Predlagatelja iz podneska od 01. kolovoza 2014. godine a fizički zaprimljenim u Sudu dana 06. kolovoza 2014. godine (list: 861. – 869. spisa, SVEŽANJ V) i izjašnjenja Dužnika iz podneska od 01. rujna 2014. godine a u Sudu fizički zaprimljenom “iz ruke” dana 08. rujna 2014. godine (list: 871. – 883., spisa + prilozi: 884. – 1206. spisa, SVEŽANJ V), Sud je zaključkom od 10. rujna 2014. godine odredio i provođenje vještačenja na nekretnini upisanoj u zemljišnim knjigama Općinskog suda u Splitu, k.o. Split, broj uloška: 17313, poduložak 1., označenoj kao dio čest. zem. 43/10, koji je povezan s cijelinom poslovnog prostora oznake “PP-G”, površine 250,50 m2, u podrumu objekta, orijentacije jug, te ima zaseban ulaz na jugu objekta, iako na istoj nekretnini nema upisanih založnih prava u korist Predlagatelja (niti u korist trećih osoba. Sud nije prihvatio prijedlog istog Predlagatelja iz istoga ovog podneska a glede nekretnina koje su uvlasništvu Edvarda Ugrine (čest. zem. 109/1, k.o., Split i čest. zem. 2341/28, k.o. Okrug) i u pogledu nekretnine u vlasništvu trgovačkog društva SUKNO, d.o.o. (dio čest. zem. 46/2, ZU 16535, k.o. Split) jer je ova nekretnina u vrijeme zaprimanja Ukidnog rješenja VTS-a (prosinac 2013. i siječanj 2014. godine) bila u vlasništvu stečajnog Dužnika.</w:t>
      </w:r>
    </w:p>
    <w:p w:rsidRDefault="00D26C22" w:rsidP="00D26C22" w:rsidR="00D26C22" w:rsidRP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- 6 -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8. </w:t>
      </w:r>
      <w:r w:rsidRPr="00D26C22">
        <w:rPr>
          <w:rFonts w:cs="Times New Roman" w:eastAsia="Times New Roman"/>
          <w:lang w:val="en-US"/>
        </w:rPr>
        <w:t>Nakon što su imenovani vještaci izradili i dostavili Sudu svoj pismeni nalaz i mišljenje (vještak Jure Malenica dana 22. prosinca 2014. godine, list: 1228. -1343., spisa i vještakinja Natalija Mladineo dana 06. svibnja 2015. godine, list: 1354. – 1441., spisa, SVEŽANJ VI), zakazano je i u Sudu održano ročište dana 10. studenog 2015. godine, na kojem su ročištu i usmeno saslušani navedeni vještaci, odgovarajući i na primjedbe stranaka na pismeno izrađena vještva, ostajući u svemu pri svojim pismenim vještvima.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          </w:t>
      </w:r>
      <w:r w:rsidRPr="00D26C22">
        <w:rPr>
          <w:rFonts w:cs="Times New Roman" w:eastAsia="Times New Roman"/>
          <w:b/>
          <w:lang w:val="en-US"/>
        </w:rPr>
        <w:t xml:space="preserve">9. </w:t>
      </w:r>
      <w:r w:rsidRPr="00D26C22">
        <w:rPr>
          <w:rFonts w:cs="Times New Roman" w:eastAsia="Times New Roman"/>
          <w:lang w:val="en-US"/>
        </w:rPr>
        <w:t>Tako je u postupku koji je prethodio donošenju ovog rješenja, nakon Ukidnog rješenja VTS-a, na ročištu radi utvrđivanja uvjeta za otvaranje stečajnog postupka, održanom dana 10. studenog 2015. godine, Sud izveo dokaze čitanjem predložene  i priložene dokumentacije po Predlagatelju i Dužniku, Izvatka iz sudskog registra za Dužnika, Potvrda o bonitetu Dužnika izdanih od banke i Financijske agencije (FINA-e), provođenjem financijsko-računovodstvenog i građevinskog vještačenja kao i usmenim saslušanjem imenovanih vještaka na ročištu pred Sudom a izveden je dokaz i čitanjem cijelog spisa predmeta te su odbijeni, po ocjeni Suda kao suvišni za izvođenje, oni dokazi koji su bili predloženi a nisu izvedeni. Nakon tako izvedenih dokaza Sud je, temeljem savjesne i brižljive ocjene svakog dokaza zasebno i svih dokaza zajedno a i temeljem rezultata cijelokupnog postupka (članak 8., ZPP-a u vezi sa člankom 6., SZ), riješio kao u izrijeci rješenja zbog niže navedenih razloga.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10. </w:t>
      </w:r>
      <w:r w:rsidRPr="00D26C22">
        <w:rPr>
          <w:rFonts w:cs="Times New Roman" w:eastAsia="Times New Roman"/>
          <w:lang w:val="en-US"/>
        </w:rPr>
        <w:t xml:space="preserve">Ovaj Sud ističe kako je Predlagatelj u Prijedlogu nastupao kao razlučni vjerovnik (točka 4., Prijedloga, list: 3., spisa, SVEŽANJ I), dakle, isti je aktivnu legitimaciju temeljio na odredbi stavka 3., članka 39., SZ.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ind w:firstLine="720"/>
        <w:jc w:val="both"/>
        <w:rPr>
          <w:rFonts w:cs="Times New Roman" w:eastAsia="Times New Roman"/>
          <w:lang w:val="en-US"/>
        </w:rPr>
      </w:pPr>
      <w:r w:rsidRPr="00D26C22">
        <w:rPr>
          <w:rFonts w:cs="Times New Roman" w:eastAsia="Times New Roman"/>
          <w:b/>
          <w:lang w:val="en-US"/>
        </w:rPr>
        <w:t xml:space="preserve">11. </w:t>
      </w:r>
      <w:r w:rsidRPr="00D26C22">
        <w:rPr>
          <w:rFonts w:cs="Times New Roman" w:eastAsia="Times New Roman"/>
          <w:lang w:val="en-US"/>
        </w:rPr>
        <w:t>Nakon ukidnog rješenja VTS-a, Predlagatelj je – iako ne izričito već posredno – istakao kako u ovom postupku u svojstvu Predlagatelja nastupa i kao vjerovnik, dakle, ne samo i kao razlučni vjerovnik. To Sud utvrđuje iz podneska Predlagatelja od 18. prosinca 2013. godine, fizički zaprimljenom u Sudu dana 23. prosinca 2013. godine (list: 209.a do 216., prilozi list: 217. do 402., spisa, SVEŽANJ II), gdje na stranici 214. i 215. Predlagatelj ističe kako mu Dužnik temeljem Ugovora o kreditnom poslovanju s inozemstvom broj: HR/1301., kao jamac platac duguje novčani iznos od: 1.110.086,36 EUR-a protuvrijednosti u kunama a radi osiguranja tražbine po ovom Ugovoru o kreditu Dužnik nije zasnovao nikakva založna (razlučna) prava u korist Predlagatelja. Činjenica što je tražbina Predlagatelja temeljem ovog Ugovora osigurana hipotekom na nekretnini koja je u vlasništvu Edvarda Ugrine (čest. zem. 2341/28., u naravi pašnjak, k.o. Okrug, zemljišne knjige Općinskog suda u Trogiru), po Predlagatelju “nije relevantna za utvrđenje aktivne legitimacije predlagatelja za podnošenje prijedloga za otvaranje stečajnog postupka. Osim toga, čak i da je relevantna, što nije, njezina vrijednost, ukoliko bi se uopće uspjela prodati u ovrsi, zasigurno nije dovoljna za namirenje tražbine koja je njome osigurana.”  Činjenicu kako u ovome postupku nastupa u svojstvu Predlagatelja i</w:t>
      </w: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- 7 -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rPr>
      </w:pPr>
      <w:r w:rsidRPr="00D26C22">
        <w:rPr>
          <w:rFonts w:cs="Times New Roman" w:eastAsia="Times New Roman"/>
          <w:lang w:val="en-US"/>
        </w:rPr>
        <w:t>kao vjerovnik a ne samo i kao razlučni vjerovnik, Predlagatelj je na pitanje Stečajnog sudca decidirano istakao u zapisniku na (zaključnom) ročištu održanom kod ovog Suda dana 10. studenog 2015. godine, kada je na zapisniku naveo: “</w:t>
      </w:r>
      <w:r w:rsidRPr="00D26C22">
        <w:rPr>
          <w:rFonts w:cs="Times New Roman" w:eastAsia="Times New Roman"/>
        </w:rPr>
        <w:t xml:space="preserve">... pun. predlagatelja ističe kako u ovom postupku nastupa kao predlagatelj vjerovnik a ne kao razlučni vjerovnik i to samo vezano za kredit temeljem Ugovora o kreditu HR/1301, to iz razloga jer po ovom kreditu Dužnik LUCIS d.o.o. je jamca platac a ne i razlučni Dužnik, što znači kako Dužnik osobno temeljem ovog Ugovora nije dao nikakvu imovinu u zalog kao osiguranje namirenja tražbine predlagatelja po ovom kreditu. Stoga predlagateljj temeljem ovog Ugovora o kreditu HR/1301 nastupa kao vjerovnik predlagatelj a ne kao razlučni vjerovnik predlagatelj. </w:t>
      </w:r>
    </w:p>
    <w:p w:rsidRDefault="00D26C22" w:rsidP="00D26C22" w:rsidR="00D26C22" w:rsidRPr="00D26C22">
      <w:pPr>
        <w:spacing w:after="0"/>
        <w:jc w:val="both"/>
        <w:rPr>
          <w:rFonts w:cs="Times New Roman" w:eastAsia="Times New Roman"/>
        </w:rPr>
      </w:pPr>
    </w:p>
    <w:p w:rsidRDefault="00D26C22" w:rsidP="00D26C22" w:rsidR="00D26C22" w:rsidRPr="00D26C22">
      <w:pPr>
        <w:spacing w:after="0"/>
        <w:jc w:val="both"/>
        <w:rPr>
          <w:rFonts w:cs="Times New Roman" w:eastAsia="Times New Roman"/>
        </w:rPr>
      </w:pPr>
      <w:r w:rsidRPr="00D26C22">
        <w:rPr>
          <w:rFonts w:cs="Times New Roman" w:eastAsia="Times New Roman"/>
        </w:rPr>
        <w:t>Po kreditu temeljem Ugovora o kreditu HR/1562, Dužnik LUCIS d.o.o. je i jamc platac i založni Dužnik pa se temeljem ovog Ugovora u ovom postupku kao predlagatelj tretira isti prdlagatelj ali kao razlučni vjerovnik. Stoga se predlaže sudu prilikom donošenja odluke o navedenom voditi računa.“ (stranica 6.-7., Zapisnika, list: 1512. – 1513. spisa, SVEŽANJ 7).</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12. </w:t>
      </w:r>
      <w:r w:rsidRPr="00D26C22">
        <w:rPr>
          <w:rFonts w:cs="Times New Roman" w:eastAsia="Times New Roman"/>
          <w:lang w:val="en-US"/>
        </w:rPr>
        <w:t xml:space="preserve">Prema navodima stranaka iz njihovih pismenih podnesaka i usmenih navoda na ročištima, posebno na ročištu održanom dana 10. studenog 2015. godine (list: 1511. – 1513. spisa, SVEŽANJ 7.), Sud utvrđuje kako Dužnik Predlagatelju duguje novčani iznos kao jamac platac temeljem dvaju Ugovora, Ugovora broj: HR/1301. i Ugovora broj: HR/1562.  i samo temeljem ovih dvaju Ugovora je Predlagatelj ujedno i osobni vjerovnik Dužnika, jer može tražiti naplatu svoje novčane tražbine ili od Dužnika kao jamca platca ili od Edvarda Ugrine kao glavnog dužnika iz tih istih Ugovora ili od obojice u isto vrijeme, kako je to i propisano člankom 111., stavak 3., Zakona o obveznim odnosima (“Narodne novine”, br.: 35/05., 41/08., i 78/15., ZOO).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ind w:firstLine="720"/>
        <w:jc w:val="both"/>
        <w:rPr>
          <w:rFonts w:cs="Times New Roman" w:eastAsia="Times New Roman"/>
          <w:lang w:val="en-US"/>
        </w:rPr>
      </w:pPr>
      <w:r w:rsidRPr="00D26C22">
        <w:rPr>
          <w:rFonts w:cs="Times New Roman" w:eastAsia="Times New Roman"/>
          <w:b/>
          <w:lang w:val="en-US"/>
        </w:rPr>
        <w:t xml:space="preserve">13. </w:t>
      </w:r>
      <w:r w:rsidRPr="00D26C22">
        <w:rPr>
          <w:rFonts w:cs="Times New Roman" w:eastAsia="Times New Roman"/>
          <w:lang w:val="en-US"/>
        </w:rPr>
        <w:t xml:space="preserve">Temeljem Ugovora broj: HR/1301., Sud je utvrdio kako Predlagatelj nema založnih-razlučnih prava na imovini Dužnika (ali ima na imovini Edvarda Ugrina). Zato je temeljem ovog Ugovora HR/1301., Predlagatelj prema Dužniku samo osobni vjerovnik Dužnika a ne i založni-razlučni vjerovnik pa isti Predlagatelj temeljem ovog Ugovora HR/1301., može zahtijevati ispunjenje svoje novčane tražbine i od Dužnika kao jamca platca i od Edvarda Ugrine kao glavnog Dužnika ili od obojice u isto vrijeme, sukladno navedenom članku 111., stavak 3. ZOO-a. Posljedično tome, temeljem ovog Ugovora HR/1301., Predlagatelj je kao vjerovnik ovlašten podnijeti prijedlog za otvaranje stečajnog postupka nad Dužnikom pod općim pretpostavkama iz članka 39., stavak 2., SZ, odnosno, isti mora učiniti vjerojatnim postojanje svoje novčane tražbine prema Dužniku i kojega od zakonom nekoliko propisanih stečajnih razloga. </w:t>
      </w:r>
    </w:p>
    <w:p w:rsidRDefault="00D26C22" w:rsidP="00D26C22" w:rsidR="00D26C22" w:rsidRPr="00D26C22">
      <w:pPr>
        <w:spacing w:after="0"/>
        <w:ind w:firstLine="72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b/>
          <w:lang w:val="en-US"/>
        </w:rPr>
        <w:t xml:space="preserve">14. </w:t>
      </w:r>
      <w:r w:rsidRPr="00D26C22">
        <w:rPr>
          <w:rFonts w:cs="Times New Roman" w:eastAsia="Times New Roman"/>
          <w:lang w:val="en-US"/>
        </w:rPr>
        <w:t xml:space="preserve">Temeljem Ugovora broj: HR/1562., Predlagatelj je i osobni vjerovnik Dužnika jer mu Dužnik duguje kao jamac platac ali je temeljem ovog Ugovora HR/1562. Predlagatelj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- 8 -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prema Dužniku i založni-razlučni vjerovnik, jer  ima založna-razlučna prava na imovini-nekretninama Dužnika pa je, posljedično tome, isti Predlagatelj, temeljem ovog Ugovora HR/1562., kao vjerovnik i razlučni vjerovnik, ovlašten podnijeti prijedlog za otvaranje stečajnog postupka nad Dužnikom još i pod posebnom pretpostavkom iz članka 39., stavak 3., SZ, odnosno, isti mora učiniti vjerojatnim postojanje svoje novčane tražbine prema Dužniku i kojega od zakonom nekoliko propisanih stečajnih razloga (članak 39., stavak 2., SZ ali kao razlučni vjerovnik mora još učiniti vjerojatnim kako se njegova tražbina neće moći potpuno namiriti iz predmeta na koji se odnose njegova razlučna prava.  </w:t>
      </w: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ind w:firstLine="720"/>
        <w:jc w:val="both"/>
        <w:rPr>
          <w:rFonts w:cs="Times New Roman" w:eastAsia="Times New Roman"/>
          <w:lang w:val="fr-FR"/>
        </w:rPr>
      </w:pPr>
      <w:r w:rsidRPr="00D26C22">
        <w:rPr>
          <w:rFonts w:cs="Times New Roman" w:eastAsia="Times New Roman"/>
          <w:b/>
          <w:lang w:val="en-US"/>
        </w:rPr>
        <w:t xml:space="preserve">15. </w:t>
      </w:r>
      <w:r w:rsidRPr="00D26C22">
        <w:rPr>
          <w:rFonts w:cs="Times New Roman" w:eastAsia="Times New Roman"/>
          <w:lang w:val="fr-FR"/>
        </w:rPr>
        <w:t xml:space="preserve">Temeljem Ugovora broj : HR/1805., Predlagatelj je samo založni-razlučni vjerovnik a ne i osobni vjerovnik jer mu se Dužnik po ovom Ugovoru nije obvezao kao jamac platac (niti kao jamac).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ind w:firstLine="720"/>
        <w:jc w:val="both"/>
        <w:rPr>
          <w:rFonts w:cs="Times New Roman" w:eastAsia="Times New Roman"/>
          <w:lang w:val="fr-FR"/>
        </w:rPr>
      </w:pPr>
      <w:r w:rsidRPr="00D26C22">
        <w:rPr>
          <w:rFonts w:cs="Times New Roman" w:eastAsia="Times New Roman"/>
          <w:b/>
          <w:lang w:val="en-US"/>
        </w:rPr>
        <w:t xml:space="preserve">16. </w:t>
      </w:r>
      <w:r w:rsidRPr="00D26C22">
        <w:rPr>
          <w:rFonts w:cs="Times New Roman" w:eastAsia="Times New Roman"/>
          <w:lang w:val="fr-FR"/>
        </w:rPr>
        <w:t xml:space="preserve">Za otvoriti stečajni postupak nad Dužnikom, Sudu je dovoljno utvrditi postojanje dviju činjenica: </w:t>
      </w:r>
      <w:r w:rsidRPr="00D26C22">
        <w:rPr>
          <w:rFonts w:cs="Times New Roman" w:eastAsia="Times New Roman"/>
          <w:b/>
          <w:lang w:val="fr-FR"/>
        </w:rPr>
        <w:t>a)</w:t>
      </w:r>
      <w:r w:rsidRPr="00D26C22">
        <w:rPr>
          <w:rFonts w:cs="Times New Roman" w:eastAsia="Times New Roman"/>
          <w:lang w:val="fr-FR"/>
        </w:rPr>
        <w:t xml:space="preserve"> činjenicu postojanja novačane tražbine Predlagatelja kao vjerovnika prema Dužniku i to do stupnja vjerojatnosti i </w:t>
      </w:r>
      <w:r w:rsidRPr="00D26C22">
        <w:rPr>
          <w:rFonts w:cs="Times New Roman" w:eastAsia="Times New Roman"/>
          <w:b/>
          <w:lang w:val="fr-FR"/>
        </w:rPr>
        <w:t>b)</w:t>
      </w:r>
      <w:r w:rsidRPr="00D26C22">
        <w:rPr>
          <w:rFonts w:cs="Times New Roman" w:eastAsia="Times New Roman"/>
          <w:lang w:val="fr-FR"/>
        </w:rPr>
        <w:t xml:space="preserve"> činjenicu postojanja makar i jednog zakonom određenog stečajnog razloga na strani Dužnika i to do stupnja sigurnosti. Kako je Predlagatelj u pogledu novčane tražbine iz Ugovora broj : HR/1562., prema Dužniku ujedno i osobni vjerovnik i razlučni vjerovnik, jer mu temeljem ovog Ugovora Dužnik duguje i kao jamac platac (solidarno sa Edvardom Ugrinom kao glavnim dužnikom) i kao založni-razlučni dužnik (jer mu vlastitim nekretninama jamči namirenje tražbine), to je Sudu za otvoriti stečajni postupak na Dužnikom temeljem tražbine Predlagatelja iz ovog Ugovora broj : HR/1562., potrebno utvrditi i činjenicu kako se Predlagatelj kao vjerovnik i založni-razlučni vjerovnik neće moći u potpunosti namiriti u svojoj novčanoj tražbini koja proizlazi iz ovog Ugovora iz imovine Dužnika na kojoj Predlagatelj ima založna-razlučna prava, sve to sukladno članku 39., stavak 3., SZ. U tom pravcu je uputa ovom Sudu i iz Ukidnog rješenja VTS-a, po kojoj je uputi ovaj Sud i postupao nakon istoga Ukidnog rješenja i u koju je svrhu odredio provesti vještačenje na okolnosti kako je to gore navedeno i obrazloženo pod točkom 7. ovog Obrazloženja.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          </w:t>
      </w:r>
      <w:r w:rsidRPr="00D26C22">
        <w:rPr>
          <w:rFonts w:cs="Times New Roman" w:eastAsia="Times New Roman"/>
          <w:b/>
          <w:lang w:val="en-US"/>
        </w:rPr>
        <w:t xml:space="preserve">17. </w:t>
      </w:r>
      <w:r w:rsidRPr="00D26C22">
        <w:rPr>
          <w:rFonts w:cs="Times New Roman" w:eastAsia="Times New Roman"/>
          <w:lang w:val="en-US"/>
        </w:rPr>
        <w:t>Naime, člankom 39., stavak 1. i 2., SZ, propisano je kako se stečajni postupak pokreće prijedlogom vjerovnika ili dužnika, ako zakonom nije drugačije određeno. Vjerovnik je ovlašten podnijeti prijedlog za otvaranje stečajnog postupka ako učini vjerojatnim postojanje svoje tražbine i kojega od stečajnih razloga. Stavkom 3., istog članka 39., SZ, propisano je kako razlučni vjerovnici mogu predlagati otvaranje stečajnog postupka nad dužnikom samo ako učine vjerojatnim da se njihova tražbina neće moći potpuno namiriti iz predmeta na koji se odnosi njihovo razlučno pravo.</w:t>
      </w:r>
    </w:p>
    <w:p w:rsidRDefault="00D26C22" w:rsidP="00D26C22" w:rsidR="00D26C22" w:rsidRP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- 9 -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rPr>
      </w:pPr>
      <w:r w:rsidRPr="00D26C22">
        <w:rPr>
          <w:rFonts w:cs="Times New Roman" w:eastAsia="Times New Roman"/>
          <w:lang w:val="en-US"/>
        </w:rPr>
        <w:t xml:space="preserve">          </w:t>
      </w:r>
      <w:r w:rsidRPr="00D26C22">
        <w:rPr>
          <w:rFonts w:cs="Times New Roman" w:eastAsia="Times New Roman"/>
          <w:b/>
          <w:lang w:val="en-US"/>
        </w:rPr>
        <w:t xml:space="preserve">18. </w:t>
      </w:r>
      <w:r w:rsidRPr="00D26C22">
        <w:rPr>
          <w:rFonts w:cs="Times New Roman" w:eastAsia="Times New Roman"/>
          <w:lang w:val="en-US"/>
        </w:rPr>
        <w:t>Do otvaranja stečajnog postupka po rješenju ovog Suda od 14. listopada 2013. godine (list: 1. – 84. spisa, SVEŽANJ I), Dužnik i nije sporio aktivnu legitimaciju Predlagatelja kao vjerovnika, samo je na ročištu održanom dana 10. listopada 2013. godine istakao kako je</w:t>
      </w:r>
      <w:r w:rsidRPr="00D26C22">
        <w:rPr>
          <w:rFonts w:cs="Times New Roman" w:eastAsia="Times New Roman"/>
        </w:rPr>
        <w:t xml:space="preserve"> kao jamac tražio konto kartice od Predlagatelja za stečajni postupak te iste nikad nije dobio. Direktor Dužnika, Edvard Ugrina, je uporno pokušavao stupiti u kontakt sa odgovornim osobama Predlagatelja za podmirenje dugovanja te je isti u spis priložio i dopis koji je upućen suprotnoj strani. Istakao je kako ima nekretnine koje želi prodati, ima potencijalne kupce i na taj način bi riješio Predlagatelja.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19. </w:t>
      </w:r>
      <w:r w:rsidRPr="00D26C22">
        <w:rPr>
          <w:rFonts w:cs="Times New Roman" w:eastAsia="Times New Roman"/>
          <w:lang w:val="en-US"/>
        </w:rPr>
        <w:t>U kasnijem tijeku postupka, nakon Ukidnog rješenja VTS-a, Dužnik je osporavao aktivnu legitimaciju Predlagatelja ističući ništetnost svih sklopljenih Ugovora o kreditu i drugih ugovora koji su u vezi sa Ugovorima o kreditu a sve zbog razloga kako je to obrazloženo u točki 6. ovog Obrazloženja.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20. </w:t>
      </w:r>
      <w:r w:rsidRPr="00D26C22">
        <w:rPr>
          <w:rFonts w:cs="Times New Roman" w:eastAsia="Times New Roman"/>
          <w:lang w:val="en-US"/>
        </w:rPr>
        <w:t>Suprotno stajalištima Dužnika, Sud smatra utvrđenim kako je Predlagatelj ovlašten na pokretanje ovoga stečajnog postupka i to kao stečajni vjerovnik, jer ima novčanu tražbinu prema Dužniku temeljem Ugovora broj: HR/1301., i koja novčana tražbina nije osigurana založnim-razlučnim pravima na imovini Dužnika pa Predlagatelj temeljem ovog Ugovora HR/1301. i nije založni razlučni vjerovnik. Zato je isti ovlašten na pokretanje ovoga stečajnog postupka temeljem navedebe odredber članka 39. stavak 2., SZ, jer je u postupku dokazano ne samo vjerojatnost postojanja novčane tražbine Predlagatelja prema Dužniku kao jamcu platcu već i sigurnost-istinitost postojanja iste novčane tražbine Predlagatelja prema Dužniku kao jamcu platcu. To je dokazano temeljem provedenog vještačenja po sudskoj vještakinji Nataliji Mladineo, gdje ista Vještakinja u svom vještvu, na stranici 22., 30. i 32., svog vještva (list: 1376. i 1384. i 1386., spisa, SVEŽANJ VI), temeljem ovog Ugovora broj: HR/1301., utvrđuje postojanje novčane tražbine Predlagatelja prema Dužniku kao jamcu platcu u iznosu od: 1.112.310,59 EURa.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ind w:firstLine="720"/>
        <w:jc w:val="both"/>
        <w:rPr>
          <w:rFonts w:cs="Times New Roman" w:eastAsia="Times New Roman"/>
          <w:lang w:val="en-US"/>
        </w:rPr>
      </w:pPr>
      <w:r w:rsidRPr="00D26C22">
        <w:rPr>
          <w:rFonts w:cs="Times New Roman" w:eastAsia="Times New Roman"/>
          <w:b/>
          <w:lang w:val="en-US"/>
        </w:rPr>
        <w:t xml:space="preserve">21. </w:t>
      </w:r>
      <w:r w:rsidRPr="00D26C22">
        <w:rPr>
          <w:rFonts w:cs="Times New Roman" w:eastAsia="Times New Roman"/>
          <w:lang w:val="en-US"/>
        </w:rPr>
        <w:t xml:space="preserve">Time ovaj Sud smatra utvrđenim vjerojatnost postojanja novčane tražbine Predlagatelja kao vjerovnika prema Dužniku (a ne i založnog-razlučnog prava Predlagatelja kao vjerovnika temeljem Ugovora HR/1301.). Čak, što više, Sud smatra utvrđenim gotovo i do stupnja sigurnosti postojanje novčane tražbine Predlagatelja kao vjerovnika prema Dužniku kao jamcu platcu temeljem Ugovora broj: HR/1301. Time je, po shvaćanju Suda, utvrđena aktivna legitimacija Predlagatelja kao vjerovnika za pokretanje ovoga stečajnog postupka temeljem navedenoga članka 39., stavak 2., SZ. To što se je Predlagatelj na ovu okolnost, činjenicu, pozvao i tako nastupao tek kasnije, izričito na ročištu od 10. studenog 2015. godine (list: 6.- 7., Zapisnika sa ovog ročišta, list: 1512/1513., spisa, SVEŽANJ 7) ali još i prije u podnesku od 18. prosinca 2013.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- 10 -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godine koji je u Sudu fizički zaprimljen dana 23. prosinca 2013. godine (list: 215., spisa, SVEŽANJ II), po shvaćanju ovog Suda, ništa ne mijenja na stvari i ne oduzima Predlagatelju ulogu predlagatelja u ovome stečajnom postupku a to iz razloga što, sukladno članku 186., stavak 3., ZPP-a u vezi sa člankom 6., SZ, sud će po prijedlogu postupiti i kada predlagatelj nije naveo pravnu osnovu prijedloga a ako je predlagatelj pravnu osnovu naveo, sud nije za nju vezan. Također, sukladno članku 7., stavak 3., SZ, stečajni sudac po službenoj dužnosti utvrđuje sve činjenice koje su od važnosti za stečajni postupak i radi toga može izvoditi sve potrebne dokaze.</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22. </w:t>
      </w:r>
      <w:r w:rsidRPr="00D26C22">
        <w:rPr>
          <w:rFonts w:cs="Times New Roman" w:eastAsia="Times New Roman"/>
          <w:lang w:val="en-US"/>
        </w:rPr>
        <w:t xml:space="preserve">Sud ističe kako je i aktivna legitimacija Predlagatelja kao razlučnog vjerovnika –utemeljena na Ugovoru broj: HR/1562. i na odredbi članka 39., stavak 3., SZ – dokazana u ovome stečajnom postupku, odnosno, u postupku je utvrđeno kako se Predlagatelj kao vjerovnik (jer mu Dužnik duguje kao jamac platac) i kao založni-razlučni vjerovnik (jer mu je novčana tražbina prema Dužniku kao jamcu platcu osigurana založnim-razlučnim pravima), neće moći u svom razlučnom pravu namiriti svoju novčanu tražbinu koju ima prema Dužniku kao jamcu platcu iz one imovine Dužnika na kojoj isti Predlagatelj ima založna-razlučna prava. Naime, radi osiguranja tražbine iz ovog Ugovora broj: HR/1562., Predlagatelj ima založna-razlučna prava na imovini u vlasništvu Dužnika pobliže opisanoj u točkama: 1-b/1), 1-b/2), 1-b/3) i 1-b/4), zaključka ovog Suda od 25. srpnja 2014. godine (list: 857. – 859., spisa, SVEŽANJ V) kao i u podnesku Predlagatelja od 18. prosinca 2013. godine a fizički zaprimljenog u Sudu dana 23. prosinca 2013. godine (list: 210. – 211., spisa, SVEŽANJ II). Vrijednost ovih nekretnina u vlasništvu Dužnika a na kojima Predlagatelj ima založna-razlučna prava utvrđena je po sudskom vještaku Juri Malenici u ukupnom iznopsu od: 2.046.509,69 EUR-a, pojedinačno po nekretninama ovako: iz točke 1-b/1) zaključka, u iznosu od: 263.462,30 EUR-a; iz točke 1-b/2) zaključka, u iznosu od: 170.947,39 EUR-a; iz točke 1-b/3) zaključka, u iznosu od: 609.000,00 EUR-a i iz točke 1-b/4) zaključka, u iznosu od: 1.003.100,00 EUR-a, što sveukupno kada se zbroji iznosi: 2.046.509,69 EUR-a (list: 1267. – 1304. i 1318. – 1343. spisa, SVEŽANJ VI). Nekretnina iz točke 1-b/5) zaključka, na kojoj nekretnini Predlagatelj, također, ima založno-razlučno pravo, nije u vlasništvu stečajnog Dužnika već u vlasništvu Edvarda Ugrine pa ona, po shvaćanju ovog Suda, ne ulazi u gornji izračun za namirenje razlučnog prava Predlagatelja, iako bi se i o tome dalo pravno raspravljati, npr.: zašto se založni-razlučni vjerovnik ne bi najprije pokušao namiriti iz svih objekata svog založnog-razlučnog prava pa ako u tome ne uspije tek tada predlagati otvaranje stečajnog postupka nad gospodarskim subjektom, koji stečajni postupak pretpostavlja u najvećem broju slučajeva i prestanak stečajnog dužnika kao gospodarskog subjekta sa gospodarske scene. No, imajući u vidu praksu viših sudskih instanci (VTS, Pž-9236/13.), za aktivnu legitimaciju založnog-razlučnog vjerovnika temeljem članka 39., stavak 3., SZ, uzimaju se u obzir samo objekti založnog-razlučnog prava u vlasništvu stečajnog dužnika a ne i u vlasništvu trećih osoba. Visina novčane tražbine Predlagatelja prema Dužniku kao jamcu platcu a temeljem ovog </w:t>
      </w:r>
    </w:p>
    <w:p w:rsidRDefault="00D26C22" w:rsidP="00D26C22" w:rsidR="00D26C22" w:rsidRP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- 11 -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Ugovora HR/1562., utvrđena je po sudskoj vještakinji Nataliji Mladineo u iznosu od: 2.374.920,45 EUR-a (list: 1378., 1379., 1386., spisa, SVEŽANJ VI). Dakle, tražbina Predlagatelja kao založnog-razlučnog vjerovnika prema Dužniku kao jamcu platcu, veća je od procijenjene vrijednosti nekretnina Dužnika kao objekata založnih-razlučnih prava Predlagatelja i preko 300.000,00 EUR-a, točnije: 328.410,76 EUR-a. Iz navedenog ovaj Sud zaključuje kako se Predlagatelj kao razlučni vjerovnik Dužnika, neće moći u potpunosti namiriti iz vrijednosti založnih-razlučnih prava pa je isti temeljem navedene odredbe članka 39., stavak 3., SZ, ovlašteni Predlagatelj na podnošenje prijedloga za stečaj u ovome stečajnom postupku. Kada se pri navedenome ima u vidu općepoznata činjenica kako se prodaja, bilo u ovršnom bilo u stečajnom postupku, ostvaruje tek nakon nekoliko prethodnih bezuspješno provedenih dražbenih ročišta, prilikom kojih ročišta se slijedeća  prodaja provodi po manjoj cijeni od prethodne te pri tome prodajna cijena (utvrđena vrijednost) nekretnine se na kraju uspije prodati za oko polovicu njezine procijenjene vrijednosti, onda gornje utvrđenje Suda kako se Predlagatelj kao razlučni vjerovnik neće moći u potpunosti namiriti u svom razlučnom pravu iz vrijednosti objekata razlučnog prava koji su u vlasništvu Dužnika još više dobija na svojoj pravnoj snazi.</w:t>
      </w: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jc w:val="both"/>
        <w:rPr>
          <w:rFonts w:cs="Times New Roman" w:eastAsia="Times New Roman"/>
          <w:lang w:val="fr-FR"/>
        </w:rPr>
      </w:pPr>
      <w:r w:rsidRPr="00D26C22">
        <w:rPr>
          <w:rFonts w:cs="Times New Roman" w:eastAsia="Times New Roman"/>
          <w:lang w:val="fr-FR"/>
        </w:rPr>
        <w:tab/>
      </w:r>
      <w:r w:rsidRPr="00D26C22">
        <w:rPr>
          <w:rFonts w:cs="Times New Roman" w:eastAsia="Times New Roman"/>
          <w:b/>
        </w:rPr>
        <w:t>23.</w:t>
      </w:r>
      <w:r w:rsidRPr="00D26C22">
        <w:rPr>
          <w:rFonts w:cs="Times New Roman" w:eastAsia="Times New Roman"/>
        </w:rPr>
        <w:t xml:space="preserve"> </w:t>
      </w:r>
      <w:r w:rsidRPr="00D26C22">
        <w:rPr>
          <w:rFonts w:cs="Times New Roman" w:eastAsia="Times New Roman"/>
          <w:lang w:val="fr-FR"/>
        </w:rPr>
        <w:t xml:space="preserve">Sukladno gore navedenom Obrazloženju, ovaj Sud smatra kako je u ovome prethodnom postupku utvrđen prvi uvjet za otvoriti stečajni postupak nad Dužnikom: postojanje aktivne legitimacije Predlagatelja u ovome stečajnom postupku, koji kao vjerovnik (točka 21. i 22. ovog Obrazloženja) i ima novčano potraživanje prema Dužniku a i kao razlučni vjerovnik (točka 23. ovog Obrazloženja) jer je učinio vjerojatnim kako se </w:t>
      </w:r>
      <w:r w:rsidRPr="00D26C22">
        <w:rPr>
          <w:rFonts w:cs="Times New Roman" w:eastAsia="Times New Roman"/>
          <w:lang w:val="en-US"/>
        </w:rPr>
        <w:t>neće moći u potpunosti namiriti u svom razlučnom pravu iz vrijednosti objekata razlučnog prava koji su u vlasništvu Dužnika</w:t>
      </w:r>
      <w:r w:rsidRPr="00D26C22">
        <w:rPr>
          <w:rFonts w:cs="Times New Roman" w:eastAsia="Times New Roman"/>
          <w:lang w:val="fr-FR"/>
        </w:rPr>
        <w:t>.</w:t>
      </w: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          </w:t>
      </w:r>
      <w:r w:rsidRPr="00D26C22">
        <w:rPr>
          <w:rFonts w:cs="Times New Roman" w:eastAsia="Times New Roman"/>
          <w:b/>
          <w:lang w:val="en-US"/>
        </w:rPr>
        <w:t xml:space="preserve">24. </w:t>
      </w:r>
      <w:r w:rsidRPr="00D26C22">
        <w:rPr>
          <w:rFonts w:cs="Times New Roman" w:eastAsia="Times New Roman"/>
          <w:lang w:val="en-US"/>
        </w:rPr>
        <w:t xml:space="preserve">Člankom 4., stavak 1. i 2., SZ, propisano je kako se stečaj može otvoriti samo ako se utvrdi postojanje kojega od zakonom predviđenih stečajnih razloga a stečajni razlozi jesu nelikvidnost, nesposobnost za plaćanje i prezaduženost. </w:t>
      </w:r>
    </w:p>
    <w:p w:rsidRDefault="00D26C22" w:rsidP="00D26C22" w:rsidR="00D26C22" w:rsidRPr="00D26C22">
      <w:pPr>
        <w:spacing w:after="0"/>
        <w:jc w:val="both"/>
        <w:rPr>
          <w:rFonts w:cs="Times New Roman" w:eastAsia="Times New Roman"/>
          <w:lang w:val="fr-FR"/>
        </w:rPr>
      </w:pPr>
    </w:p>
    <w:p w:rsidRDefault="00D26C22" w:rsidP="00D26C22" w:rsidR="00D26C22">
      <w:pPr>
        <w:spacing w:after="0"/>
        <w:jc w:val="both"/>
        <w:rPr>
          <w:rFonts w:cs="Times New Roman" w:eastAsia="Times New Roman"/>
          <w:lang w:val="fr-FR"/>
        </w:rPr>
      </w:pPr>
      <w:r w:rsidRPr="00D26C22">
        <w:rPr>
          <w:rFonts w:cs="Times New Roman" w:eastAsia="Times New Roman"/>
          <w:lang w:val="fr-FR"/>
        </w:rPr>
        <w:tab/>
      </w:r>
      <w:r w:rsidRPr="00D26C22">
        <w:rPr>
          <w:rFonts w:cs="Times New Roman" w:eastAsia="Times New Roman"/>
          <w:b/>
        </w:rPr>
        <w:t>25.</w:t>
      </w:r>
      <w:r w:rsidRPr="00D26C22">
        <w:rPr>
          <w:rFonts w:cs="Times New Roman" w:eastAsia="Times New Roman"/>
        </w:rPr>
        <w:t xml:space="preserve"> </w:t>
      </w:r>
      <w:r w:rsidRPr="00D26C22">
        <w:rPr>
          <w:rFonts w:cs="Times New Roman" w:eastAsia="Times New Roman"/>
          <w:lang w:val="fr-FR"/>
        </w:rPr>
        <w:t xml:space="preserve">Ovaj Sud smatra kako je u prethodnom postupku sigurno utvrđeno postojanje i drugog uvjeta za otvoriti stečajni postupak nad Dužnikom, postojanje stečajnog razloga nesposobnost za plaćanje kod Dužnika, kojeg je Predlagatelj u samome prijedlogu istakao kao stečajni razlog za otvoriti stečajni postupak nad Dužnikom (točka III/. i V/., Prijedloga, list 3. spisa, SVEŽANJ I). Ovaj stečajni razlog nesposobnosti za plaćanje kod Dužnika Sud je utvrdio čitanjem Potvrde HYPO ALPE-ADRIA-BANK, d.d., od 03. prosinca 2012. godine (list : 7., spisa, SVEŽANJ I), prema kojoj Potvrdi Dužnik na računu ima evidentirane nepodmirene obveze u razdoblju duljem od 60 dana od dana sastavljanja ove Potvrde, a koje je trebalo, na temelju valjanih za naplatu, bez daljnjeg pristanka Dužnika naplatiti s bilo kojeg od njegovih računa. Također, prema potvrdi FINA-e od 12. rujna 2013. godine (list : 66., spisa, SVEŽANJ I), pribavljenu za ročište </w:t>
      </w:r>
    </w:p>
    <w:p w:rsidRDefault="00D26C22" w:rsidP="00D26C22" w:rsidR="00D26C22">
      <w:pPr>
        <w:spacing w:after="0"/>
        <w:jc w:val="both"/>
        <w:rPr>
          <w:rFonts w:cs="Times New Roman" w:eastAsia="Times New Roman"/>
          <w:lang w:val="fr-FR"/>
        </w:rPr>
      </w:pPr>
    </w:p>
    <w:p w:rsidRDefault="00D26C22" w:rsidP="00D26C22" w:rsidR="00D26C22">
      <w:pPr>
        <w:spacing w:after="0"/>
        <w:jc w:val="both"/>
        <w:rPr>
          <w:rFonts w:cs="Times New Roman" w:eastAsia="Times New Roman"/>
          <w:lang w:val="fr-FR"/>
        </w:rPr>
      </w:pP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- 12 -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jc w:val="both"/>
        <w:rPr>
          <w:rFonts w:cs="Times New Roman" w:eastAsia="Times New Roman"/>
          <w:lang w:val="fr-FR"/>
        </w:rPr>
      </w:pPr>
      <w:r w:rsidRPr="00D26C22">
        <w:rPr>
          <w:rFonts w:cs="Times New Roman" w:eastAsia="Times New Roman"/>
          <w:lang w:val="fr-FR"/>
        </w:rPr>
        <w:t xml:space="preserve">održano dana 12. rujna 2013. godine, utvrđeno je kako je račun Dužnika na dan izdavanja Potvrde (12. 09. 2013.) neprekidno blokiran 888. dana (dakle, preko dvije godine) a visina blokade računa Dužnika na isti dan je : 640.970,12 kuna. Ovo su podatci o stanju računa Dužnika prije prvi put otvorenoga stečajnog postupka nad Dužnikom po rješenju ovog Suda od 14. listopada 2013. godine (list : 84., spisa, SVEŽANJ I). Nakon prvi put otvarenoga stečajnog postupka nad Dužnikom, Dužnik (zastupnik po zakonu-direktor) više i nije otvarao novi račun za poslovanje, iako je to mogao (smatramo i bio dužan) učiniti nakon što je rješenje ovog Suda od 14. listopada 2013. godine o otvaranju stečajnog postupka ukinuto Ukidnim rješenjem VTS-a (list : 174., spisa, SVEŽANJ I). Zato je FINA u kasnijem tijeku postupka, na traženje Suda, izvještavala Sud kako nisu «u mogućnosti izdati Potvrdu sukladno čl. 4. Stečajnog zakona budući su svi računi ovršenika LUCIS d.o.o. OIB : 89038966528 zatvoreni, a osnove isknjižene iz redoslijeda naplate. Na dan zatvaranja računa odnosno na dan 11.10.2013. godine ovršenik je bio blokiran 918 dana neprekidno na ukupan iznos od 646.352,34 kn.» (list : 570. – 572., SVEŽANJ III/ i 1504. – 1507., spisa, SVEŽANJ 7). Dakle, od 11. listopada 2013. godine do danas, Dužnik uopće nema račun za poslovanje. </w:t>
      </w: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ind w:firstLine="720"/>
        <w:jc w:val="both"/>
        <w:rPr>
          <w:rFonts w:cs="Times New Roman" w:eastAsia="Times New Roman"/>
          <w:lang w:val="fr-FR"/>
        </w:rPr>
      </w:pPr>
      <w:r w:rsidRPr="00D26C22">
        <w:rPr>
          <w:rFonts w:cs="Times New Roman" w:eastAsia="Times New Roman"/>
          <w:b/>
        </w:rPr>
        <w:t>26.</w:t>
      </w:r>
      <w:r w:rsidRPr="00D26C22">
        <w:rPr>
          <w:rFonts w:cs="Times New Roman" w:eastAsia="Times New Roman"/>
        </w:rPr>
        <w:t xml:space="preserve"> </w:t>
      </w:r>
      <w:r w:rsidRPr="00D26C22">
        <w:rPr>
          <w:rFonts w:cs="Times New Roman" w:eastAsia="Times New Roman"/>
          <w:lang w:val="fr-FR"/>
        </w:rPr>
        <w:t xml:space="preserve">Time Sud smatra sigurno utvrđenim postojanje stečajnog razloga nesposobnosti za plaćanje na strani Dužniku pa, sukladno tome, Sud smatra kako je u ovome prethodnom postupku utvrđen drugi uvjet za otvoriti stečajni postupak nad Dužnikom: postojanje stečajnog razloga i to stečajnog razloga nesposobnosti za plaćanje na strani Dužnika. </w:t>
      </w: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ind w:firstLine="720"/>
        <w:jc w:val="both"/>
        <w:rPr>
          <w:rFonts w:cs="Times New Roman" w:eastAsia="Times New Roman"/>
          <w:lang w:val="fr-FR"/>
        </w:rPr>
      </w:pPr>
      <w:r w:rsidRPr="00D26C22">
        <w:rPr>
          <w:rFonts w:cs="Times New Roman" w:eastAsia="Times New Roman"/>
          <w:b/>
        </w:rPr>
        <w:t>27.</w:t>
      </w:r>
      <w:r w:rsidRPr="00D26C22">
        <w:rPr>
          <w:rFonts w:cs="Times New Roman" w:eastAsia="Times New Roman"/>
        </w:rPr>
        <w:t xml:space="preserve"> </w:t>
      </w:r>
      <w:r w:rsidRPr="00D26C22">
        <w:rPr>
          <w:rFonts w:cs="Times New Roman" w:eastAsia="Times New Roman"/>
          <w:lang w:val="fr-FR"/>
        </w:rPr>
        <w:t>Ističe se kako je prema članku 4., stavak 1., SZ, za otvoriti stečajni postupak nad pravnim subjektom dovoljno utvrditi postojanje makar i samo jednog od zakonom predviđenih stečajnih razloga. Ako se utvrdi postojanje samo i jednog stečajnog razloga, suvišno je utvrđivati postojanje kojeg od još predviđenih stečajnih razloga.</w:t>
      </w: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b/>
        </w:rPr>
        <w:t>28.</w:t>
      </w:r>
      <w:r w:rsidRPr="00D26C22">
        <w:rPr>
          <w:rFonts w:cs="Times New Roman" w:eastAsia="Times New Roman"/>
        </w:rPr>
        <w:t xml:space="preserve"> </w:t>
      </w:r>
      <w:r w:rsidRPr="00D26C22">
        <w:rPr>
          <w:rFonts w:cs="Times New Roman" w:eastAsia="Times New Roman"/>
          <w:lang w:val="fr-FR"/>
        </w:rPr>
        <w:t xml:space="preserve">Utvrdivši aktivnu legitimaciju Predlagatelja (točke 21., 22. i 23. ovog Obrazloženja) kao i postojanje jednog od zakonom predviđenih stečajnih razloga – nesposobnosti za plaćanje na strani Dužnika, ovaj Sud je odlučio otvoriti stečajni postupak nad Dužnikom, radi čega je i riješio kao pod točkom A/I, izrijeke rješenja. </w:t>
      </w:r>
      <w:r w:rsidRPr="00D26C22">
        <w:rPr>
          <w:rFonts w:cs="Times New Roman" w:eastAsia="Times New Roman"/>
          <w:lang w:val="en-US"/>
        </w:rPr>
        <w:t>Kako je nad Dužnikom već jednom bio otvoren stečajni postupak, rješenjem ovog Suda od 14. listopada 2013. godine, broj: 14. St-247/2012. (list: 84., spisa, SVEŽANJ I) te kako se sada ovim rješenjem ponovno otvara stečajni postupak nad istim Dužnikom, to je ovim rješenjem određeno kako pravne posljedice otvaranja ovoga stečajnog postupka nad Dužnikom nastupaju početkom dana 14. listopada 2013. godine, kojeg je dana prvo rješenje o otvaranju stečajnog postupka istaknuto na Oglasnoj ploči ovog Suda – rješenje ovog Suda od 14. listopada 2013. godine, broj: 14. St-247/2012., kako je to i riješeno u točki A/I, izrijeke rješenja, in fine, što je utemeljeno na odredbi članka 88., stavak 2., SZ.</w:t>
      </w:r>
    </w:p>
    <w:p w:rsidRDefault="00D26C22" w:rsidP="00D26C22" w:rsidR="00D26C22" w:rsidRP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- 13 -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ind w:firstLine="720"/>
        <w:jc w:val="both"/>
        <w:rPr>
          <w:rFonts w:cs="Times New Roman" w:eastAsia="Times New Roman"/>
        </w:rPr>
      </w:pPr>
    </w:p>
    <w:p w:rsidRDefault="00D26C22" w:rsidP="00D26C22" w:rsidR="00D26C22" w:rsidRPr="00D26C22">
      <w:pPr>
        <w:spacing w:after="0"/>
        <w:ind w:firstLine="720"/>
        <w:jc w:val="both"/>
        <w:rPr>
          <w:rFonts w:cs="Times New Roman" w:eastAsia="Times New Roman"/>
        </w:rPr>
      </w:pPr>
      <w:r w:rsidRPr="00D26C22">
        <w:rPr>
          <w:rFonts w:cs="Times New Roman" w:eastAsia="Times New Roman"/>
          <w:b/>
          <w:lang w:val="en-US"/>
        </w:rPr>
        <w:t xml:space="preserve">29. </w:t>
      </w:r>
      <w:r w:rsidRPr="00D26C22">
        <w:rPr>
          <w:rFonts w:cs="Times New Roman" w:eastAsia="Times New Roman"/>
        </w:rPr>
        <w:t>Ostali sadržaj izrijeke rješenja utemeljen je na odredbama članaka 54., 55., 64. i 65., SZ.</w:t>
      </w:r>
    </w:p>
    <w:p w:rsidRDefault="00D26C22" w:rsidP="00D26C22" w:rsidR="00D26C22" w:rsidRPr="00D26C22">
      <w:pPr>
        <w:spacing w:after="0"/>
        <w:jc w:val="both"/>
        <w:rPr>
          <w:rFonts w:cs="Times New Roman" w:eastAsia="Calibri" w:hAnsi="Calibri" w:ascii="Calibri"/>
          <w:szCs w:val="22"/>
          <w:lang w:val="fr-FR"/>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fr-FR"/>
        </w:rPr>
        <w:tab/>
      </w:r>
      <w:r w:rsidRPr="00D26C22">
        <w:rPr>
          <w:rFonts w:cs="Times New Roman" w:eastAsia="Calibri" w:hAnsi="Calibri" w:ascii="Calibri"/>
          <w:b/>
          <w:szCs w:val="22"/>
          <w:lang w:val="en-AU"/>
        </w:rPr>
        <w:t xml:space="preserve">30. </w:t>
      </w:r>
      <w:r w:rsidRPr="00D26C22">
        <w:rPr>
          <w:rFonts w:cs="Times New Roman" w:eastAsia="Calibri" w:hAnsi="Calibri" w:ascii="Calibri"/>
          <w:szCs w:val="22"/>
          <w:lang w:val="fr-FR"/>
        </w:rPr>
        <w:t xml:space="preserve">Kako je Sud otvorio stečajni postupak nad Dužnikom, to su istim ovim rješenjem ukinute i mjere osiguranja </w:t>
      </w:r>
      <w:r w:rsidRPr="00D26C22">
        <w:rPr>
          <w:rFonts w:cs="Times New Roman" w:eastAsia="Calibri" w:hAnsi="Calibri" w:ascii="Calibri"/>
          <w:szCs w:val="22"/>
          <w:lang w:val="en-AU"/>
        </w:rPr>
        <w:t>koje su prema Dužniku bile određene riješenjem Suda od 30. lipnja 2014. godine, broj: 14. St-247/2012. (list: 625., spisa, SVEŽANJ IV), pošto iste mjere i mogu trajati do donošenja odluke o Prijedlogu Predlagatelja, radi čega je, temeljem odredaba članka 44., 48. i 64., SZ, riješeno je kao u izrijeci rješenja pod točkom B/.</w:t>
      </w: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ind w:firstLine="720"/>
        <w:jc w:val="both"/>
        <w:rPr>
          <w:rFonts w:cs="Times New Roman" w:eastAsia="Times New Roman"/>
          <w:lang w:val="fr-FR"/>
        </w:rPr>
      </w:pPr>
      <w:r w:rsidRPr="00D26C22">
        <w:rPr>
          <w:rFonts w:cs="Times New Roman" w:eastAsia="Times New Roman"/>
          <w:b/>
        </w:rPr>
        <w:t>31.</w:t>
      </w:r>
      <w:r w:rsidRPr="00D26C22">
        <w:rPr>
          <w:rFonts w:cs="Times New Roman" w:eastAsia="Times New Roman"/>
        </w:rPr>
        <w:t xml:space="preserve"> </w:t>
      </w:r>
      <w:r w:rsidRPr="00D26C22">
        <w:rPr>
          <w:rFonts w:cs="Times New Roman" w:eastAsia="Times New Roman"/>
          <w:lang w:val="fr-FR"/>
        </w:rPr>
        <w:t xml:space="preserve">Sve ostale navode i prigovore Dužnika iz pismenih podnesaka i usmenih izlaganja na ročištima pred Sudom, Sud je ocijenio neutemeljenima a u jednom dijelu usmjerenim na odugovlačenja (prethodnog) postupka. </w:t>
      </w:r>
    </w:p>
    <w:p w:rsidRDefault="00D26C22" w:rsidP="00D26C22" w:rsidR="00D26C22" w:rsidRPr="00D26C22">
      <w:pPr>
        <w:spacing w:after="0"/>
        <w:jc w:val="both"/>
        <w:rPr>
          <w:rFonts w:cs="Times New Roman" w:eastAsia="Times New Roman"/>
          <w:lang w:val="fr-FR"/>
        </w:rPr>
      </w:pPr>
    </w:p>
    <w:p w:rsidRDefault="00D26C22" w:rsidP="00D26C22" w:rsidR="00D26C22" w:rsidRPr="00D26C22">
      <w:pPr>
        <w:spacing w:after="0"/>
        <w:ind w:firstLine="720"/>
        <w:jc w:val="both"/>
        <w:rPr>
          <w:rFonts w:cs="Times New Roman" w:eastAsia="Times New Roman"/>
          <w:lang w:val="en-US"/>
        </w:rPr>
      </w:pPr>
      <w:r w:rsidRPr="00D26C22">
        <w:rPr>
          <w:rFonts w:cs="Times New Roman" w:eastAsia="Times New Roman"/>
          <w:b/>
          <w:lang w:val="en-US"/>
        </w:rPr>
        <w:t xml:space="preserve">32. </w:t>
      </w:r>
      <w:r w:rsidRPr="00D26C22">
        <w:rPr>
          <w:rFonts w:cs="Times New Roman" w:eastAsia="Times New Roman"/>
          <w:lang w:val="fr-FR"/>
        </w:rPr>
        <w:t>Tako, prigovor Dužnika kako Predlagatelj kao inozemna osoba, banka, nije bio ovlašten obavljati bankarske poslove na području Republike Hrvatske jer za to nije imao odobrenje Hrvatske narodne banke (HNB) pa bi zbog toga sklopljeni ugovori o kreditu i stim u vezi dana jamstva Dužnika i utemeljenje založnih prava na imovini Dužnika bili ništetni a isti bi pravni poslovi bili ništetni i temeljem prisilnih odredaba Zakona o deviznom poslovanju, Zakona o zaštiti potrošača, Zakona o obveznim odnosima, itd. (list : 635. – 645., spisa, SVEŽANJ IV, i list : 1511. – 1513., spisa, SVEŽANJ 7.), ovaj Sud iste prigovore ocjenjuje neutemeljenim. To iz razloga što je Dužnik kao domaća (hrvatska) pravna osoba u navedenim ugovorima samo jamac platac, isti su Ugovori većinom potvrđeni po javnom bilježniku, koji ih javni bilježnik očigledno ne bi potvrđivao kao ništetne pravne poslove. Pored toga, sve kada bi navedene pravne radnje u svezi danih kredita i bile ništetne, prema članku 323. ZOO-a, «U slučaju ništetnosti ugovora svaka ugovorna strana dužna je vratiti drugoj strani sve ono što je primila na temelju takva ugovora, a ako to nije moguće, ili ( ... ) ima se dati odgovarajuća naknada u novcu (...). » Dakle, i ništetni ugovori proizvode pravne učinke, pravne učinke vraćanja svake strane drugoj ono što je primila temeljem ništetnog ugovora. Kako se je Dužnik obvezao kao jamac platac, to postoji i njegova obveza kao jamca platca na vraćanje temeljem ništetnog ugovora, sukladno navedenome članku 111., stavak 3., ZOO-a.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33. </w:t>
      </w:r>
      <w:r w:rsidRPr="00D26C22">
        <w:rPr>
          <w:rFonts w:cs="Times New Roman" w:eastAsia="Times New Roman"/>
          <w:lang w:val="en-US"/>
        </w:rPr>
        <w:t>Navode i prigovore Dužnika na vještva vještaka i stim u vezi traženje dodatne dokumentacije od Predlagatelja na ročištu od 10. studenog 2015. godine, Sud je ocijenio neutemeljenim i usmjerenim u pravcu odugovlačenja ovoga stečajnog postupka pa ih je Sud radi toga i odbio. To iz razloga što je i Dužnik imao vremena i bio je Dužan vještacima dostaviti sve ono čime isti raspolaže a što je vještacima potrebno (financijsku</w:t>
      </w:r>
    </w:p>
    <w:p w:rsidRDefault="00D26C22" w:rsidP="00D26C22" w:rsidR="00D26C22" w:rsidRP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Calibri" w:hAnsi="Calibri" w:ascii="Calibri"/>
          <w:szCs w:val="22"/>
          <w:lang w:val="en-AU"/>
        </w:rPr>
      </w:pP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- 14 -</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US"/>
        </w:rPr>
        <w:t>Broj</w:t>
      </w:r>
      <w:r w:rsidRPr="00D26C22">
        <w:rPr>
          <w:rFonts w:cs="Times New Roman" w:eastAsia="Calibri" w:hAnsi="Calibri" w:ascii="Calibri"/>
          <w:b/>
          <w:szCs w:val="22"/>
          <w:lang w:val="en-AU"/>
        </w:rPr>
        <w:t>:</w:t>
      </w:r>
      <w:r w:rsidRPr="00D26C22">
        <w:rPr>
          <w:rFonts w:cs="Times New Roman" w:eastAsia="Calibri" w:hAnsi="Calibri" w:ascii="Calibri"/>
          <w:szCs w:val="22"/>
          <w:lang w:val="en-AU"/>
        </w:rPr>
        <w:t xml:space="preserve"> </w:t>
      </w:r>
      <w:r w:rsidRPr="00D26C22">
        <w:rPr>
          <w:rFonts w:cs="Times New Roman" w:eastAsia="Calibri" w:hAnsi="Calibri" w:ascii="Calibri"/>
          <w:b/>
          <w:szCs w:val="22"/>
          <w:lang w:val="en-AU"/>
        </w:rPr>
        <w:t xml:space="preserve">14.  </w:t>
      </w:r>
      <w:r w:rsidRPr="00D26C22">
        <w:rPr>
          <w:rFonts w:cs="Times New Roman" w:eastAsia="Calibri" w:hAnsi="Calibri" w:ascii="Calibri"/>
          <w:b/>
          <w:szCs w:val="22"/>
          <w:lang w:val="en-US"/>
        </w:rPr>
        <w:t>St</w:t>
      </w:r>
      <w:r w:rsidRPr="00D26C22">
        <w:rPr>
          <w:rFonts w:cs="Times New Roman" w:eastAsia="Calibri" w:hAnsi="Calibri" w:ascii="Calibri"/>
          <w:b/>
          <w:szCs w:val="22"/>
          <w:lang w:val="en-AU"/>
        </w:rPr>
        <w:t>-247/2012.</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dokumentaciju i sl.), jer je za to imao sasvim dovoljno vremena. Zato Sud sve takve prijedloge Dužnika smatra zloporabom prava i usmjerenim u pravcu odugovlačenja postupka, što se mora spriječiti, sukladno članku 10., stavak 1. ZPP-a.</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ab/>
      </w:r>
      <w:r w:rsidRPr="00D26C22">
        <w:rPr>
          <w:rFonts w:cs="Times New Roman" w:eastAsia="Times New Roman"/>
          <w:b/>
          <w:lang w:val="en-US"/>
        </w:rPr>
        <w:t xml:space="preserve">34. </w:t>
      </w:r>
      <w:r w:rsidRPr="00D26C22">
        <w:rPr>
          <w:rFonts w:cs="Times New Roman" w:eastAsia="Times New Roman"/>
          <w:lang w:val="en-US"/>
        </w:rPr>
        <w:t xml:space="preserve">Sukladno svemu navedenom i temeljem navedenih pozitivnih propisa, riješeno je kao u izrijeci rješenja. </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center"/>
        <w:rPr>
          <w:rFonts w:cs="Times New Roman" w:eastAsia="Times New Roman"/>
          <w:lang w:val="en-US"/>
        </w:rPr>
      </w:pPr>
      <w:r w:rsidRPr="00D26C22">
        <w:rPr>
          <w:rFonts w:cs="Times New Roman" w:eastAsia="Times New Roman"/>
          <w:lang w:val="en-US"/>
        </w:rPr>
        <w:t>Split, 13. studenog 2015. godine.</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                                                                                                      STEČAJNI SUDAC:</w:t>
      </w: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                      </w:t>
      </w:r>
    </w:p>
    <w:p w:rsidRDefault="00D26C22" w:rsidP="00D26C22" w:rsidR="00D26C22" w:rsidRPr="00D26C22">
      <w:pPr>
        <w:spacing w:after="0"/>
        <w:jc w:val="both"/>
        <w:rPr>
          <w:rFonts w:cs="Times New Roman" w:eastAsia="Times New Roman"/>
          <w:lang w:val="en-US"/>
        </w:rPr>
      </w:pPr>
      <w:r w:rsidRPr="00D26C22">
        <w:rPr>
          <w:rFonts w:cs="Times New Roman" w:eastAsia="Times New Roman"/>
          <w:lang w:val="en-US"/>
        </w:rPr>
        <w:t xml:space="preserve">                                                                                                            </w:t>
      </w:r>
      <w:smartTag w:element="PersonName" w:uri="urn:schemas-microsoft-com:office:smarttags">
        <w:r w:rsidRPr="00D26C22">
          <w:rPr>
            <w:rFonts w:cs="Times New Roman" w:eastAsia="Times New Roman"/>
            <w:lang w:val="en-US"/>
          </w:rPr>
          <w:t>Jozo Ćaleta</w:t>
        </w:r>
      </w:smartTag>
      <w:r w:rsidRPr="00D26C22">
        <w:rPr>
          <w:rFonts w:cs="Times New Roman" w:eastAsia="Times New Roman"/>
          <w:lang w:val="en-US"/>
        </w:rPr>
        <w:t>, v.r.,</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r w:rsidRPr="00D26C22">
        <w:rPr>
          <w:rFonts w:cs="Times New Roman" w:eastAsia="Times New Roman"/>
          <w:b/>
          <w:u w:val="single"/>
          <w:lang w:val="en-US"/>
        </w:rPr>
        <w:t>POUKA O PRAVNOM LIJEKU:</w:t>
      </w:r>
      <w:r w:rsidRPr="00D26C22">
        <w:rPr>
          <w:rFonts w:cs="Times New Roman" w:eastAsia="Times New Roman"/>
          <w:lang w:val="en-US"/>
        </w:rPr>
        <w:t xml:space="preserve">  Protiv ovog rješenja o otvaranju stečajnog postupka može izjaviti žalbu zastupnik po zakonu (direktor) Dužnika a protiv ostalog dijela rješenja, žalbu može podnijeti osoba koja ima pravni interes. Žalba se podnosi Trgovačkom sudu u Splitu, Split, Sukoišanska 6., u roku od osam (8.) dana, u tri primjerka. O žalbi u drugom stupnju odlučuje Visoki trgovački sud Republike Hrvatske u Zagrebu.</w:t>
      </w: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D26C22" w:rsidP="00D26C22" w:rsidR="00D26C22" w:rsidRPr="00D26C22">
      <w:pPr>
        <w:spacing w:after="0"/>
        <w:jc w:val="both"/>
        <w:rPr>
          <w:rFonts w:cs="Times New Roman" w:eastAsia="Times New Roman"/>
          <w:lang w:val="en-U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hideSpellingErrors/>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6C22"/>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05488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St-247/2012-100</izvorni_sadrzaj>
    <derivirana_varijabla naziv="DomainObject.Oznaka_1">St-247/2012-100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2012.</izvorni_sadrzaj>
    <derivirana_varijabla naziv="DomainObject.Predmet.DatumOsnivanja_1">28.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St-247/2012</izvorni_sadrzaj>
    <derivirana_varijabla naziv="DomainObject.Predmet.OznakaBroj_1">St-247/2012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potraživanje u EUR 1.939.337,34</izvorni_sadrzaj>
    <derivirana_varijabla naziv="DomainObject.Predmet.PrimjedbaSuca_1">potraživanje u EUR 1.939.337,34</derivirana_varijabla>
  </DomainObject.Predmet.PrimjedbaSuca>
  <DomainObject.Predmet.PrimjedbaUpisnicara>
    <izvorni_sadrzaj/>
    <derivirana_varijabla naziv="DomainObject.Predmet.PrimjedbaUpisnicara_1"/>
  </DomainObject.Predmet.PrimjedbaUpisnicara>
  <DomainObject.Predmet.ProtustrankaFormated>
    <izvorni_sadrzaj>  LUCIS, d.o.o. za trgovinu i prijevoz</izvorni_sadrzaj>
    <derivirana_varijabla naziv="DomainObject.Predmet.ProtustrankaFormated_1">  LUCIS, d.o.o. za trgovinu i prijevoz</derivirana_varijabla>
  </DomainObject.Predmet.ProtustrankaFormated>
  <DomainObject.Predmet.ProtustrankaFormatedOIB>
    <izvorni_sadrzaj>  LUCIS, d.o.o. za trgovinu i prijevoz, OIB 89038966528</izvorni_sadrzaj>
    <derivirana_varijabla naziv="DomainObject.Predmet.ProtustrankaFormatedOIB_1">  LUCIS, d.o.o. za trgovinu i prijevoz, OIB 89038966528</derivirana_varijabla>
  </DomainObject.Predmet.ProtustrankaFormatedOIB>
  <DomainObject.Predmet.ProtustrankaFormatedWithAdress>
    <izvorni_sadrzaj> LUCIS, d.o.o. za trgovinu i prijevoz, Put Dragulina 76/B, Trogir</izvorni_sadrzaj>
    <derivirana_varijabla naziv="DomainObject.Predmet.ProtustrankaFormatedWithAdress_1"> LUCIS, d.o.o. za trgovinu i prijevoz, Put Dragulina 76/B, Trogir</derivirana_varijabla>
  </DomainObject.Predmet.ProtustrankaFormatedWithAdress>
  <DomainObject.Predmet.ProtustrankaFormatedWithAdressOIB>
    <izvorni_sadrzaj> LUCIS, d.o.o. za trgovinu i prijevoz, OIB 89038966528, Put Dragulina 76/B, Trogir</izvorni_sadrzaj>
    <derivirana_varijabla naziv="DomainObject.Predmet.ProtustrankaFormatedWithAdressOIB_1"> LUCIS, d.o.o. za trgovinu i prijevoz, OIB 89038966528, Put Dragulina 76/B, Trogir</derivirana_varijabla>
  </DomainObject.Predmet.ProtustrankaFormatedWithAdressOIB>
  <DomainObject.Predmet.ProtustrankaWithAdress>
    <izvorni_sadrzaj>LUCIS, d.o.o. za trgovinu i prijevoz Put Dragulina 76/B, Trogir</izvorni_sadrzaj>
    <derivirana_varijabla naziv="DomainObject.Predmet.ProtustrankaWithAdress_1">LUCIS, d.o.o. za trgovinu i prijevoz Put Dragulina 76/B, Trogir</derivirana_varijabla>
  </DomainObject.Predmet.ProtustrankaWithAdress>
  <DomainObject.Predmet.ProtustrankaWithAdressOIB>
    <izvorni_sadrzaj>LUCIS, d.o.o. za trgovinu i prijevoz, OIB 89038966528, Put Dragulina 76/B, Trogir</izvorni_sadrzaj>
    <derivirana_varijabla naziv="DomainObject.Predmet.ProtustrankaWithAdressOIB_1">LUCIS, d.o.o. za trgovinu i prijevoz, OIB 89038966528, Put Dragulina 76/B, Trogir</derivirana_varijabla>
  </DomainObject.Predmet.ProtustrankaWithAdressOIB>
  <DomainObject.Predmet.ProtustrankaNazivFormated>
    <izvorni_sadrzaj>LUCIS, d.o.o. za trgovinu i prijevoz</izvorni_sadrzaj>
    <derivirana_varijabla naziv="DomainObject.Predmet.ProtustrankaNazivFormated_1">LUCIS, d.o.o. za trgovinu i prijevoz</derivirana_varijabla>
  </DomainObject.Predmet.ProtustrankaNazivFormated>
  <DomainObject.Predmet.ProtustrankaNazivFormatedOIB>
    <izvorni_sadrzaj>LUCIS, d.o.o. za trgovinu i prijevoz, OIB 89038966528</izvorni_sadrzaj>
    <derivirana_varijabla naziv="DomainObject.Predmet.ProtustrankaNazivFormatedOIB_1">LUCIS, d.o.o. za trgovinu i prijevoz, OIB 89038966528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 ADRIA BANK INTERNATIONAL AG</izvorni_sadrzaj>
    <derivirana_varijabla naziv="DomainObject.Predmet.StrankaFormated_1">  HYPO ALPE ADRIA BANK INTERNATIONAL AG</derivirana_varijabla>
  </DomainObject.Predmet.StrankaFormated>
  <DomainObject.Predmet.StrankaFormatedOIB>
    <izvorni_sadrzaj>  HYPO ALPE ADRIA BANK INTERNATIONAL AG, OIB 93091360995</izvorni_sadrzaj>
    <derivirana_varijabla naziv="DomainObject.Predmet.StrankaFormatedOIB_1">  HYPO ALPE ADRIA BANK INTERNATIONAL AG, OIB 93091360995</derivirana_varijabla>
  </DomainObject.Predmet.StrankaFormatedOIB>
  <DomainObject.Predmet.StrankaFormatedWithAdress>
    <izvorni_sadrzaj> HYPO ALPE ADRIA BANK INTERNATIONAL AG, ALPEN-ADRIA-PLATZ 1, 9020 KLAGENFURT</izvorni_sadrzaj>
    <derivirana_varijabla naziv="DomainObject.Predmet.StrankaFormatedWithAdress_1"> HYPO ALPE ADRIA BANK INTERNATIONAL AG, ALPEN-ADRIA-PLATZ 1, 9020 KLAGENFURT</derivirana_varijabla>
  </DomainObject.Predmet.StrankaFormatedWithAdress>
  <DomainObject.Predmet.StrankaFormatedWithAdressOIB>
    <izvorni_sadrzaj> HYPO ALPE ADRIA BANK INTERNATIONAL AG, OIB 93091360995, ALPEN-ADRIA-PLATZ 1, 9020 KLAGENFURT</izvorni_sadrzaj>
    <derivirana_varijabla naziv="DomainObject.Predmet.StrankaFormatedWithAdressOIB_1"> HYPO ALPE ADRIA BANK INTERNATIONAL AG, OIB 93091360995, ALPEN-ADRIA-PLATZ 1, 9020 KLAGENFURT</derivirana_varijabla>
  </DomainObject.Predmet.StrankaFormatedWithAdressOIB>
  <DomainObject.Predmet.StrankaWithAdress>
    <izvorni_sadrzaj>HYPO ALPE ADRIA BANK INTERNATIONAL AG ALPEN-ADRIA-PLATZ 1,9020 KLAGENFURT</izvorni_sadrzaj>
    <derivirana_varijabla naziv="DomainObject.Predmet.StrankaWithAdress_1">HYPO ALPE ADRIA BANK INTERNATIONAL AG ALPEN-ADRIA-PLATZ 1,9020 KLAGENFURT</derivirana_varijabla>
  </DomainObject.Predmet.StrankaWithAdress>
  <DomainObject.Predmet.StrankaWithAdressOIB>
    <izvorni_sadrzaj>HYPO ALPE ADRIA BANK INTERNATIONAL AG, OIB 93091360995, ALPEN-ADRIA-PLATZ 1,9020 KLAGENFURT</izvorni_sadrzaj>
    <derivirana_varijabla naziv="DomainObject.Predmet.StrankaWithAdressOIB_1">HYPO ALPE ADRIA BANK INTERNATIONAL AG, OIB 93091360995, ALPEN-ADRIA-PLATZ 1,9020 KLAGENFURT</derivirana_varijabla>
  </DomainObject.Predmet.StrankaWithAdressOIB>
  <DomainObject.Predmet.StrankaNazivFormated>
    <izvorni_sadrzaj>HYPO ALPE ADRIA BANK INTERNATIONAL AG</izvorni_sadrzaj>
    <derivirana_varijabla naziv="DomainObject.Predmet.StrankaNazivFormated_1">HYPO ALPE ADRIA BANK INTERNATIONAL AG</derivirana_varijabla>
  </DomainObject.Predmet.StrankaNazivFormated>
  <DomainObject.Predmet.StrankaNazivFormatedOIB>
    <izvorni_sadrzaj>HYPO ALPE ADRIA BANK INTERNATIONAL AG, OIB 93091360995</izvorni_sadrzaj>
    <derivirana_varijabla naziv="DomainObject.Predmet.StrankaNazivFormatedOIB_1">HYPO ALPE ADRIA BANK INTERNATIONAL AG, OIB 93091360995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ALPE ADRIA BANK INTERNATIONAL AG</item>
    </izvorni_sadrzaj>
    <derivirana_varijabla naziv="DomainObject.Predmet.StrankaListFormated_1">
      <item>HYPO ALPE ADRIA BANK INTERNATIONAL AG</item>
    </derivirana_varijabla>
  </DomainObject.Predmet.StrankaListFormated>
  <DomainObject.Predmet.StrankaListFormatedOIB>
    <izvorni_sadrzaj>
      <item>HYPO ALPE ADRIA BANK INTERNATIONAL AG, OIB 93091360995</item>
    </izvorni_sadrzaj>
    <derivirana_varijabla naziv="DomainObject.Predmet.StrankaListFormatedOIB_1">
      <item>HYPO ALPE ADRIA BANK INTERNATIONAL AG, OIB 93091360995</item>
    </derivirana_varijabla>
  </DomainObject.Predmet.StrankaListFormatedOIB>
  <DomainObject.Predmet.StrankaListFormatedWithAdress>
    <izvorni_sadrzaj>
      <item>HYPO ALPE ADRIA BANK INTERNATIONAL AG, ALPEN-ADRIA-PLATZ 1, 9020 KLAGENFURT</item>
    </izvorni_sadrzaj>
    <derivirana_varijabla naziv="DomainObject.Predmet.StrankaListFormatedWithAdress_1">
      <item>HYPO ALPE ADRIA BANK INTERNATIONAL AG, ALPEN-ADRIA-PLATZ 1, 9020 KLAGENFURT</item>
    </derivirana_varijabla>
  </DomainObject.Predmet.StrankaListFormatedWithAdress>
  <DomainObject.Predmet.StrankaListFormatedWithAdressOIB>
    <izvorni_sadrzaj>
      <item>HYPO ALPE ADRIA BANK INTERNATIONAL AG, OIB 93091360995, ALPEN-ADRIA-PLATZ 1, 9020 KLAGENFURT</item>
    </izvorni_sadrzaj>
    <derivirana_varijabla naziv="DomainObject.Predmet.StrankaListFormatedWithAdressOIB_1">
      <item>HYPO ALPE ADRIA BANK INTERNATIONAL AG, OIB 93091360995, ALPEN-ADRIA-PLATZ 1, 9020 KLAGENFURT</item>
    </derivirana_varijabla>
  </DomainObject.Predmet.StrankaListFormatedWithAdressOIB>
  <DomainObject.Predmet.StrankaListNazivFormated>
    <izvorni_sadrzaj>
      <item>HYPO ALPE ADRIA BANK INTERNATIONAL AG</item>
    </izvorni_sadrzaj>
    <derivirana_varijabla naziv="DomainObject.Predmet.StrankaListNazivFormated_1">
      <item>HYPO ALPE ADRIA BANK INTERNATIONAL AG</item>
    </derivirana_varijabla>
  </DomainObject.Predmet.StrankaListNazivFormated>
  <DomainObject.Predmet.StrankaListNazivFormatedOIB>
    <izvorni_sadrzaj>
      <item>HYPO ALPE ADRIA BANK INTERNATIONAL AG, OIB 93091360995</item>
    </izvorni_sadrzaj>
    <derivirana_varijabla naziv="DomainObject.Predmet.StrankaListNazivFormatedOIB_1">
      <item>HYPO ALPE ADRIA BANK INTERNATIONAL AG, OIB 93091360995</item>
    </derivirana_varijabla>
  </DomainObject.Predmet.StrankaListNazivFormatedOIB>
  <DomainObject.Predmet.ProtuStrankaListFormated>
    <izvorni_sadrzaj>
      <item>LUCIS, d.o.o. za trgovinu i prijevoz</item>
    </izvorni_sadrzaj>
    <derivirana_varijabla naziv="DomainObject.Predmet.ProtuStrankaListFormated_1">
      <item>LUCIS, d.o.o. za trgovinu i prijevoz</item>
    </derivirana_varijabla>
  </DomainObject.Predmet.ProtuStrankaListFormated>
  <DomainObject.Predmet.ProtuStrankaListFormatedOIB>
    <izvorni_sadrzaj>
      <item>LUCIS, d.o.o. za trgovinu i prijevoz, OIB 89038966528</item>
    </izvorni_sadrzaj>
    <derivirana_varijabla naziv="DomainObject.Predmet.ProtuStrankaListFormatedOIB_1">
      <item>LUCIS, d.o.o. za trgovinu i prijevoz, OIB 89038966528</item>
    </derivirana_varijabla>
  </DomainObject.Predmet.ProtuStrankaListFormatedOIB>
  <DomainObject.Predmet.ProtuStrankaListFormatedWithAdress>
    <izvorni_sadrzaj>
      <item>LUCIS, d.o.o. za trgovinu i prijevoz, Put Dragulina 76/B, Trogir</item>
    </izvorni_sadrzaj>
    <derivirana_varijabla naziv="DomainObject.Predmet.ProtuStrankaListFormatedWithAdress_1">
      <item>LUCIS, d.o.o. za trgovinu i prijevoz, Put Dragulina 76/B, Trogir</item>
    </derivirana_varijabla>
  </DomainObject.Predmet.ProtuStrankaListFormatedWithAdress>
  <DomainObject.Predmet.ProtuStrankaListFormatedWithAdressOIB>
    <izvorni_sadrzaj>
      <item>LUCIS, d.o.o. za trgovinu i prijevoz, OIB 89038966528, Put Dragulina 76/B, Trogir</item>
    </izvorni_sadrzaj>
    <derivirana_varijabla naziv="DomainObject.Predmet.ProtuStrankaListFormatedWithAdressOIB_1">
      <item>LUCIS, d.o.o. za trgovinu i prijevoz, OIB 89038966528, Put Dragulina 76/B, Trogir</item>
    </derivirana_varijabla>
  </DomainObject.Predmet.ProtuStrankaListFormatedWithAdressOIB>
  <DomainObject.Predmet.ProtuStrankaListNazivFormated>
    <izvorni_sadrzaj>
      <item>LUCIS, d.o.o. za trgovinu i prijevoz</item>
    </izvorni_sadrzaj>
    <derivirana_varijabla naziv="DomainObject.Predmet.ProtuStrankaListNazivFormated_1">
      <item>LUCIS, d.o.o. za trgovinu i prijevoz</item>
    </derivirana_varijabla>
  </DomainObject.Predmet.ProtuStrankaListNazivFormated>
  <DomainObject.Predmet.ProtuStrankaListNazivFormatedOIB>
    <izvorni_sadrzaj>
      <item>LUCIS, d.o.o. za trgovinu i prijevoz, OIB 89038966528</item>
    </izvorni_sadrzaj>
    <derivirana_varijabla naziv="DomainObject.Predmet.ProtuStrankaListNazivFormatedOIB_1">
      <item>LUCIS, d.o.o. za trgovinu i prijevoz, OIB 89038966528</item>
    </derivirana_varijabla>
  </DomainObject.Predmet.ProtuStrankaListNazivFormatedOIB>
  <DomainObject.Predmet.OstaliListFormated>
    <izvorni_sadrzaj>
      <item>MIRA HAJDIĆ</item>
    </izvorni_sadrzaj>
    <derivirana_varijabla naziv="DomainObject.Predmet.OstaliListFormated_1">
      <item>MIRA HAJDIĆ</item>
    </derivirana_varijabla>
  </DomainObject.Predmet.OstaliListFormated>
  <DomainObject.Predmet.OstaliListFormatedOIB>
    <izvorni_sadrzaj>
      <item>MIRA HAJDIĆ, OIB 33624188331</item>
    </izvorni_sadrzaj>
    <derivirana_varijabla naziv="DomainObject.Predmet.OstaliListFormatedOIB_1">
      <item>MIRA HAJDIĆ, OIB 33624188331</item>
    </derivirana_varijabla>
  </DomainObject.Predmet.OstaliListFormatedOIB>
  <DomainObject.Predmet.OstaliListFormatedWithAdress>
    <izvorni_sadrzaj>
      <item>MIRA HAJDIĆ, Smiljanićeva 2, 21000 Split</item>
    </izvorni_sadrzaj>
    <derivirana_varijabla naziv="DomainObject.Predmet.OstaliListFormatedWithAdress_1">
      <item>MIRA HAJDIĆ, Smiljanićeva 2, 21000 Split</item>
    </derivirana_varijabla>
  </DomainObject.Predmet.OstaliListFormatedWithAdress>
  <DomainObject.Predmet.OstaliListFormatedWithAdressOIB>
    <izvorni_sadrzaj>
      <item>MIRA HAJDIĆ, OIB 33624188331, Smiljanićeva 2, 21000 Split</item>
    </izvorni_sadrzaj>
    <derivirana_varijabla naziv="DomainObject.Predmet.OstaliListFormatedWithAdressOIB_1">
      <item>MIRA HAJDIĆ, OIB 33624188331, Smiljanićeva 2, 21000 Split</item>
    </derivirana_varijabla>
  </DomainObject.Predmet.OstaliListFormatedWithAdressOIB>
  <DomainObject.Predmet.OstaliListNazivFormated>
    <izvorni_sadrzaj>
      <item>MIRA HAJDIĆ</item>
    </izvorni_sadrzaj>
    <derivirana_varijabla naziv="DomainObject.Predmet.OstaliListNazivFormated_1">
      <item>MIRA HAJDIĆ</item>
    </derivirana_varijabla>
  </DomainObject.Predmet.OstaliListNazivFormated>
  <DomainObject.Predmet.OstaliListNazivFormatedOIB>
    <izvorni_sadrzaj>
      <item>MIRA HAJDIĆ, OIB 33624188331</item>
    </izvorni_sadrzaj>
    <derivirana_varijabla naziv="DomainObject.Predmet.OstaliListNazivFormatedOIB_1">
      <item>MIRA HAJDIĆ, OIB 33624188331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St-247/2012-100</izvorni_sadrzaj>
    <derivirana_varijabla naziv="DomainObject.PoslovniBrojDokumenta_1">St-247/2012-100</derivirana_varijabla>
  </DomainObject.PoslovniBrojDokumenta>
  <DomainObject.Predmet.StrankaIDrugi>
    <izvorni_sadrzaj>HYPO ALPE ADRIA BANK INTERNATIONAL AG</izvorni_sadrzaj>
    <derivirana_varijabla naziv="DomainObject.Predmet.StrankaIDrugi_1">HYPO ALPE ADRIA BANK INTERNATIONAL AG</derivirana_varijabla>
  </DomainObject.Predmet.StrankaIDrugi>
  <DomainObject.Predmet.ProtustrankaIDrugi>
    <izvorni_sadrzaj>LUCIS, d.o.o. za trgovinu i prijevoz</izvorni_sadrzaj>
    <derivirana_varijabla naziv="DomainObject.Predmet.ProtustrankaIDrugi_1">LUCIS, d.o.o. za trgovinu i prijevoz</derivirana_varijabla>
  </DomainObject.Predmet.ProtustrankaIDrugi>
  <DomainObject.Predmet.StrankaIDrugiAdressOIB>
    <izvorni_sadrzaj>HYPO ALPE ADRIA BANK INTERNATIONAL AG, OIB 93091360995, ALPEN-ADRIA-PLATZ 1, 9020 KLAGENFURT</izvorni_sadrzaj>
    <derivirana_varijabla naziv="DomainObject.Predmet.StrankaIDrugiAdressOIB_1">HYPO ALPE ADRIA BANK INTERNATIONAL AG, OIB 93091360995, ALPEN-ADRIA-PLATZ 1, 9020 KLAGENFURT</derivirana_varijabla>
  </DomainObject.Predmet.StrankaIDrugiAdressOIB>
  <DomainObject.Predmet.ProtustrankaIDrugiAdressOIB>
    <izvorni_sadrzaj>LUCIS, d.o.o. za trgovinu i prijevoz, OIB 89038966528, Put Dragulina 76/B, Trogir</izvorni_sadrzaj>
    <derivirana_varijabla naziv="DomainObject.Predmet.ProtustrankaIDrugiAdressOIB_1">LUCIS, d.o.o. za trgovinu i prijevoz, OIB 89038966528, Put Dragulina 76/B,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 ADRIA BANK INTERNATIONAL AG</item>
      <item>LUCIS, d.o.o. za trgovinu i prijevoz</item>
      <item>MIRA HAJDIĆ</item>
    </izvorni_sadrzaj>
    <derivirana_varijabla naziv="DomainObject.Predmet.SudioniciListNaziv_1">
      <item>HYPO ALPE ADRIA BANK INTERNATIONAL AG</item>
      <item>LUCIS, d.o.o. za trgovinu i prijevoz</item>
      <item>MIRA HAJDIĆ</item>
    </derivirana_varijabla>
  </DomainObject.Predmet.SudioniciListNaziv>
  <DomainObject.Predmet.SudioniciListAdressOIB>
    <izvorni_sadrzaj>
      <item>HYPO ALPE ADRIA BANK INTERNATIONAL AG, OIB 93091360995, ALPEN-ADRIA-PLATZ 1,9020 KLAGENFURT</item>
      <item>LUCIS, d.o.o. za trgovinu i prijevoz, OIB 89038966528, Put Dragulina 76/B,Trogir</item>
      <item>MIRA HAJDIĆ, OIB 33624188331, Smiljanićeva 2,21000 Split</item>
    </izvorni_sadrzaj>
    <derivirana_varijabla naziv="DomainObject.Predmet.SudioniciListAdressOIB_1">
      <item>HYPO ALPE ADRIA BANK INTERNATIONAL AG, OIB 93091360995, ALPEN-ADRIA-PLATZ 1,9020 KLAGENFURT</item>
      <item>LUCIS, d.o.o. za trgovinu i prijevoz, OIB 89038966528, Put Dragulina 76/B,Trogir</item>
      <item>MIRA HAJDIĆ, OIB 33624188331, Smiljanićeva 2,21000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8103DE-6F3B-45FF-840F-1723F5CA2D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14</properties:Pages>
  <properties:Words>5854</properties:Words>
  <properties:Characters>32998</properties:Characters>
  <properties:Lines>665</properties:Lines>
  <properties:Paragraphs>81</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2015-11-13T13:49:00Z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14</vt:i4>
  </prop:property>
  <prop:property name="Naslov" pid="5" fmtid="{D5CDD505-2E9C-101B-9397-08002B2CF9AE}">
    <vt:lpwstr>St-247/2012-100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