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8781a" w14:paraId="198781a" w:rsidRDefault="00A9668C" w:rsidP="00A9668C" w:rsidR="00A9668C" w:rsidRPr="00655B39">
      <w:pPr>
        <w:jc w:val="center"/>
        <w15:collapsed w:val="false"/>
        <w:rPr>
          <w:rFonts w:hAnsi="Times New Roman" w:ascii="Times New Roman"/>
          <w:b/>
          <w:sz w:val="28"/>
        </w:rPr>
      </w:pPr>
      <w:bookmarkStart w:name="_GoBack" w:id="0"/>
      <w:bookmarkEnd w:id="0"/>
      <w:r w:rsidRPr="00655B39">
        <w:rPr>
          <w:rFonts w:hAnsi="Times New Roman" w:ascii="Times New Roman"/>
          <w:b/>
          <w:sz w:val="28"/>
        </w:rPr>
        <w:t>Obrazac 20.</w:t>
      </w:r>
    </w:p>
    <w:p w:rsidRDefault="00A9668C" w:rsidP="00A9668C" w:rsidR="00A9668C" w:rsidRPr="00655B39">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A9668C" w:rsidP="00A9668C" w:rsidR="00A9668C">
      <w:pPr>
        <w:jc w:val="center"/>
        <w:rPr>
          <w:rFonts w:hAnsi="Times New Roman" w:ascii="Times New Roman"/>
          <w:sz w:val="24"/>
        </w:rPr>
      </w:pPr>
    </w:p>
    <w:p w:rsidRDefault="00A9668C" w:rsidP="00A9668C" w:rsidR="00A9668C" w:rsidRPr="003726DD">
      <w:pPr>
        <w:jc w:val="center"/>
        <w:rPr>
          <w:rFonts w:hAnsi="Times New Roman" w:ascii="Times New Roman"/>
          <w:sz w:val="24"/>
        </w:rPr>
      </w:pPr>
    </w:p>
    <w:p w:rsidRDefault="00A9668C" w:rsidP="00A9668C" w:rsidR="00A9668C" w:rsidRPr="008C7A84">
      <w:pPr>
        <w:jc w:val="both"/>
        <w:rPr>
          <w:rFonts w:hAnsi="Bookman Old Style" w:ascii="Bookman Old Style"/>
          <w:sz w:val="24"/>
        </w:rPr>
      </w:pPr>
      <w:r w:rsidRPr="008C7A84">
        <w:rPr>
          <w:rFonts w:hAnsi="Bookman Old Style" w:ascii="Bookman Old Style"/>
          <w:sz w:val="24"/>
          <w:szCs w:val="24"/>
          <w:lang w:val="pl-PL"/>
        </w:rPr>
        <w:t>Nadle</w:t>
      </w:r>
      <w:r w:rsidRPr="008C7A84">
        <w:rPr>
          <w:rFonts w:hAnsi="Bookman Old Style" w:ascii="Bookman Old Style"/>
          <w:sz w:val="24"/>
        </w:rPr>
        <w:t>ž</w:t>
      </w:r>
      <w:r w:rsidRPr="008C7A84">
        <w:rPr>
          <w:rFonts w:hAnsi="Bookman Old Style" w:ascii="Bookman Old Style"/>
          <w:sz w:val="24"/>
          <w:szCs w:val="24"/>
          <w:lang w:val="pl-PL"/>
        </w:rPr>
        <w:t>ni</w:t>
      </w:r>
      <w:r w:rsidRPr="008C7A84">
        <w:rPr>
          <w:rFonts w:hAnsi="Bookman Old Style" w:ascii="Bookman Old Style"/>
          <w:sz w:val="24"/>
        </w:rPr>
        <w:t xml:space="preserve"> </w:t>
      </w:r>
      <w:r w:rsidRPr="008C7A84">
        <w:rPr>
          <w:rFonts w:hAnsi="Bookman Old Style" w:ascii="Bookman Old Style"/>
          <w:sz w:val="24"/>
          <w:szCs w:val="24"/>
          <w:lang w:val="pl-PL"/>
        </w:rPr>
        <w:t>trgova</w:t>
      </w:r>
      <w:r w:rsidRPr="008C7A84">
        <w:rPr>
          <w:rFonts w:hAnsi="Bookman Old Style" w:ascii="Bookman Old Style"/>
          <w:sz w:val="24"/>
        </w:rPr>
        <w:t>č</w:t>
      </w:r>
      <w:r w:rsidRPr="008C7A84">
        <w:rPr>
          <w:rFonts w:hAnsi="Bookman Old Style" w:ascii="Bookman Old Style"/>
          <w:sz w:val="24"/>
          <w:szCs w:val="24"/>
          <w:lang w:val="pl-PL"/>
        </w:rPr>
        <w:t>ki</w:t>
      </w:r>
      <w:r w:rsidRPr="008C7A84">
        <w:rPr>
          <w:rFonts w:hAnsi="Bookman Old Style" w:ascii="Bookman Old Style"/>
          <w:sz w:val="24"/>
        </w:rPr>
        <w:t xml:space="preserve"> </w:t>
      </w:r>
      <w:r w:rsidRPr="008C7A84">
        <w:rPr>
          <w:rFonts w:hAnsi="Bookman Old Style" w:ascii="Bookman Old Style"/>
          <w:sz w:val="24"/>
          <w:szCs w:val="24"/>
          <w:lang w:val="pl-PL"/>
        </w:rPr>
        <w:t>sud</w:t>
      </w:r>
      <w:r w:rsidRPr="008C7A84">
        <w:rPr>
          <w:rFonts w:hAnsi="Bookman Old Style" w:ascii="Bookman Old Style"/>
          <w:sz w:val="24"/>
        </w:rPr>
        <w:t xml:space="preserve"> : Zagreb</w:t>
      </w:r>
    </w:p>
    <w:p w:rsidRDefault="00A9668C" w:rsidP="00A9668C" w:rsidR="00A9668C" w:rsidRPr="008C7A84">
      <w:pPr>
        <w:jc w:val="both"/>
        <w:rPr>
          <w:rFonts w:hAnsi="Bookman Old Style" w:ascii="Bookman Old Style"/>
          <w:sz w:val="24"/>
          <w:szCs w:val="24"/>
          <w:lang w:val="pl-PL"/>
        </w:rPr>
      </w:pPr>
      <w:r w:rsidRPr="008C7A84">
        <w:rPr>
          <w:rFonts w:hAnsi="Bookman Old Style" w:ascii="Bookman Old Style"/>
          <w:sz w:val="24"/>
          <w:szCs w:val="24"/>
          <w:lang w:val="pl-PL"/>
        </w:rPr>
        <w:t>Poslovni broj spisa: St-</w:t>
      </w:r>
      <w:r>
        <w:rPr>
          <w:rFonts w:hAnsi="Bookman Old Style" w:ascii="Bookman Old Style"/>
          <w:sz w:val="24"/>
          <w:szCs w:val="24"/>
          <w:lang w:val="pl-PL"/>
        </w:rPr>
        <w:t>6047</w:t>
      </w:r>
      <w:r w:rsidRPr="008C7A84">
        <w:rPr>
          <w:rFonts w:hAnsi="Bookman Old Style" w:ascii="Bookman Old Style"/>
          <w:sz w:val="24"/>
          <w:szCs w:val="24"/>
          <w:lang w:val="pl-PL"/>
        </w:rPr>
        <w:t>/</w:t>
      </w:r>
      <w:r>
        <w:rPr>
          <w:rFonts w:hAnsi="Bookman Old Style" w:ascii="Bookman Old Style"/>
          <w:sz w:val="24"/>
          <w:szCs w:val="24"/>
          <w:lang w:val="pl-PL"/>
        </w:rPr>
        <w:t>16</w:t>
      </w:r>
    </w:p>
    <w:p w:rsidRDefault="00A9668C" w:rsidP="00A9668C" w:rsidR="00A9668C" w:rsidRPr="008C7A84">
      <w:pPr>
        <w:rPr>
          <w:rFonts w:hAnsi="Bookman Old Style" w:ascii="Bookman Old Style"/>
          <w:sz w:val="24"/>
          <w:szCs w:val="24"/>
          <w:lang w:val="pl-PL"/>
        </w:rPr>
      </w:pPr>
      <w:r w:rsidRPr="008C7A84">
        <w:rPr>
          <w:rFonts w:hAnsi="Bookman Old Style" w:ascii="Bookman Old Style"/>
          <w:sz w:val="24"/>
          <w:szCs w:val="24"/>
          <w:lang w:val="pl-PL"/>
        </w:rPr>
        <w:t>Dužnik (ime i prezime / tvrtka ili naziv, OIB, adresa / sjedište):</w:t>
      </w:r>
    </w:p>
    <w:p w:rsidRDefault="00A9668C" w:rsidP="00A9668C" w:rsidR="00A9668C" w:rsidRPr="002D55C2">
      <w:pPr>
        <w:rPr>
          <w:rFonts w:hAnsi="Bookman Old Style" w:ascii="Bookman Old Style"/>
          <w:sz w:val="24"/>
          <w:szCs w:val="24"/>
        </w:rPr>
      </w:pPr>
      <w:r w:rsidRPr="00A92000">
        <w:rPr>
          <w:rFonts w:hAnsi="Bookman Old Style" w:ascii="Bookman Old Style"/>
          <w:b/>
          <w:sz w:val="24"/>
          <w:szCs w:val="24"/>
        </w:rPr>
        <w:t>SG SJEVER 1978 d.o.o. – u stečaju</w:t>
      </w:r>
      <w:r w:rsidRPr="002D55C2">
        <w:rPr>
          <w:rFonts w:hAnsi="Bookman Old Style" w:ascii="Bookman Old Style"/>
          <w:sz w:val="24"/>
          <w:szCs w:val="24"/>
        </w:rPr>
        <w:t xml:space="preserve">, </w:t>
      </w:r>
      <w:r>
        <w:rPr>
          <w:rFonts w:hAnsi="Bookman Old Style" w:ascii="Bookman Old Style"/>
          <w:sz w:val="24"/>
          <w:szCs w:val="24"/>
        </w:rPr>
        <w:t xml:space="preserve">Zagreb, </w:t>
      </w:r>
      <w:r w:rsidRPr="002D55C2">
        <w:rPr>
          <w:rFonts w:hAnsi="Bookman Old Style" w:ascii="Bookman Old Style"/>
          <w:sz w:val="24"/>
          <w:szCs w:val="24"/>
        </w:rPr>
        <w:t xml:space="preserve">Ilica 109, </w:t>
      </w:r>
    </w:p>
    <w:p w:rsidRDefault="00A9668C" w:rsidP="00A9668C" w:rsidR="00A9668C" w:rsidRPr="00E06628">
      <w:pPr>
        <w:rPr>
          <w:rFonts w:hAnsi="Bookman Old Style" w:ascii="Bookman Old Style"/>
          <w:sz w:val="24"/>
          <w:szCs w:val="24"/>
          <w:lang w:val="pl-PL"/>
        </w:rPr>
      </w:pPr>
      <w:r w:rsidRPr="00E06628">
        <w:rPr>
          <w:rFonts w:hAnsi="Bookman Old Style" w:ascii="Bookman Old Style"/>
          <w:sz w:val="24"/>
          <w:szCs w:val="24"/>
        </w:rPr>
        <w:t>OIB: 78737820823</w:t>
      </w:r>
    </w:p>
    <w:p w:rsidRDefault="00A9668C" w:rsidP="00A9668C" w:rsidR="00A9668C">
      <w:pPr>
        <w:jc w:val="center"/>
        <w:rPr>
          <w:rFonts w:hAnsi="Bookman Old Style" w:ascii="Bookman Old Style"/>
          <w:sz w:val="24"/>
          <w:szCs w:val="24"/>
          <w:lang w:val="pl-PL"/>
        </w:rPr>
      </w:pPr>
    </w:p>
    <w:p w:rsidRDefault="00A9668C" w:rsidP="00A9668C" w:rsidR="00A9668C" w:rsidRPr="008C7A84">
      <w:pPr>
        <w:jc w:val="center"/>
        <w:rPr>
          <w:rFonts w:hAnsi="Bookman Old Style" w:ascii="Bookman Old Style"/>
          <w:sz w:val="24"/>
          <w:szCs w:val="24"/>
          <w:lang w:val="pl-PL"/>
        </w:rPr>
      </w:pPr>
    </w:p>
    <w:p w:rsidRDefault="00A9668C" w:rsidP="00A9668C" w:rsidR="00A9668C">
      <w:pPr>
        <w:rPr>
          <w:rFonts w:hAnsi="Bookman Old Style" w:ascii="Bookman Old Style"/>
          <w:sz w:val="24"/>
          <w:szCs w:val="24"/>
          <w:lang w:val="pl-PL"/>
        </w:rPr>
      </w:pPr>
      <w:r w:rsidRPr="00D84877">
        <w:rPr>
          <w:rFonts w:hAnsi="Bookman Old Style" w:ascii="Bookman Old Style"/>
          <w:b/>
          <w:sz w:val="24"/>
          <w:szCs w:val="24"/>
          <w:lang w:val="pl-PL"/>
        </w:rPr>
        <w:t>I.  TIJEK STEČAJNOGA POSTUPKA</w:t>
      </w:r>
      <w:r w:rsidRPr="008C7A84">
        <w:rPr>
          <w:rFonts w:hAnsi="Bookman Old Style" w:ascii="Bookman Old Style"/>
          <w:sz w:val="24"/>
          <w:szCs w:val="24"/>
          <w:lang w:val="pl-PL"/>
        </w:rPr>
        <w:t xml:space="preserve"> U RAZDOBLJU OD </w:t>
      </w:r>
      <w:r>
        <w:rPr>
          <w:rFonts w:hAnsi="Bookman Old Style" w:ascii="Bookman Old Style"/>
          <w:sz w:val="24"/>
          <w:szCs w:val="24"/>
          <w:lang w:val="pl-PL"/>
        </w:rPr>
        <w:t>27.07.</w:t>
      </w:r>
      <w:r w:rsidRPr="008C7A84">
        <w:rPr>
          <w:rFonts w:hAnsi="Bookman Old Style" w:ascii="Bookman Old Style"/>
          <w:sz w:val="24"/>
          <w:szCs w:val="24"/>
          <w:lang w:val="pl-PL"/>
        </w:rPr>
        <w:t>201</w:t>
      </w:r>
      <w:r>
        <w:rPr>
          <w:rFonts w:hAnsi="Bookman Old Style" w:ascii="Bookman Old Style"/>
          <w:sz w:val="24"/>
          <w:szCs w:val="24"/>
          <w:lang w:val="pl-PL"/>
        </w:rPr>
        <w:t>7</w:t>
      </w:r>
      <w:r w:rsidRPr="008C7A84">
        <w:rPr>
          <w:rFonts w:hAnsi="Bookman Old Style" w:ascii="Bookman Old Style"/>
          <w:sz w:val="24"/>
          <w:szCs w:val="24"/>
          <w:lang w:val="pl-PL"/>
        </w:rPr>
        <w:t xml:space="preserve">. DO </w:t>
      </w:r>
      <w:r>
        <w:rPr>
          <w:rFonts w:hAnsi="Bookman Old Style" w:ascii="Bookman Old Style"/>
          <w:sz w:val="24"/>
          <w:szCs w:val="24"/>
          <w:lang w:val="pl-PL"/>
        </w:rPr>
        <w:t>27.10.2017. godine.</w:t>
      </w:r>
    </w:p>
    <w:p w:rsidRDefault="00A9668C" w:rsidP="00A9668C" w:rsidR="00A9668C" w:rsidRPr="008C7A84">
      <w:pPr>
        <w:rPr>
          <w:rFonts w:hAnsi="Bookman Old Style" w:ascii="Bookman Old Style"/>
          <w:sz w:val="24"/>
          <w:szCs w:val="24"/>
          <w:lang w:val="pl-PL"/>
        </w:rPr>
      </w:pPr>
    </w:p>
    <w:p w:rsidRDefault="00A9668C" w:rsidP="00A9668C" w:rsidR="00A9668C" w:rsidRPr="00D84877">
      <w:pPr>
        <w:pStyle w:val="Odlomakpopisa"/>
        <w:numPr>
          <w:ilvl w:val="1"/>
          <w:numId w:val="1"/>
        </w:numPr>
        <w:spacing w:after="0"/>
        <w:rPr>
          <w:rFonts w:hAnsi="Bookman Old Style" w:ascii="Bookman Old Style"/>
          <w:b/>
          <w:sz w:val="24"/>
          <w:szCs w:val="24"/>
          <w:lang w:val="pl-PL"/>
        </w:rPr>
      </w:pPr>
      <w:r w:rsidRPr="00D84877">
        <w:rPr>
          <w:rFonts w:hAnsi="Bookman Old Style" w:ascii="Bookman Old Style"/>
          <w:b/>
          <w:sz w:val="24"/>
          <w:szCs w:val="24"/>
          <w:lang w:val="pl-PL"/>
        </w:rPr>
        <w:t>UVOD</w:t>
      </w:r>
    </w:p>
    <w:p w:rsidRDefault="00A9668C" w:rsidP="00A9668C" w:rsidR="00A9668C">
      <w:pPr>
        <w:spacing w:after="0"/>
        <w:rPr>
          <w:rFonts w:hAnsi="Bookman Old Style" w:ascii="Bookman Old Style"/>
          <w:sz w:val="24"/>
          <w:szCs w:val="24"/>
          <w:lang w:val="pl-PL"/>
        </w:rPr>
      </w:pPr>
    </w:p>
    <w:p w:rsidRDefault="00A9668C" w:rsidP="00A9668C" w:rsidR="00A9668C">
      <w:pPr>
        <w:pStyle w:val="Tijeloteksta"/>
      </w:pPr>
      <w:r>
        <w:t>U protek</w:t>
      </w:r>
      <w:r w:rsidR="002D3076">
        <w:t>lom periodu nakon posljednjeg Izvješća, poduzela sam slijedeće aktivnosti:</w:t>
      </w:r>
      <w:r>
        <w:t>.</w:t>
      </w:r>
    </w:p>
    <w:p w:rsidRDefault="00A9668C" w:rsidP="00A9668C" w:rsidR="00A9668C">
      <w:pPr>
        <w:pStyle w:val="Tijeloteksta"/>
      </w:pPr>
    </w:p>
    <w:p w:rsidRDefault="002D3076" w:rsidP="002D3076" w:rsidR="002D3076">
      <w:pPr>
        <w:pStyle w:val="Tijeloteksta"/>
        <w:numPr>
          <w:ilvl w:val="0"/>
          <w:numId w:val="2"/>
        </w:numPr>
      </w:pPr>
      <w:r>
        <w:t xml:space="preserve">Nije data </w:t>
      </w:r>
      <w:r w:rsidR="00A9668C">
        <w:t>suglasnost stečajnoj upra</w:t>
      </w:r>
      <w:r>
        <w:t>viteljici za preuzimanje parnica:</w:t>
      </w:r>
      <w:r w:rsidR="00A9668C">
        <w:t xml:space="preserve"> </w:t>
      </w:r>
    </w:p>
    <w:p w:rsidRDefault="00A9668C" w:rsidP="00E54CC2" w:rsidR="002D3076">
      <w:pPr>
        <w:pStyle w:val="Tijeloteksta"/>
        <w:ind w:left="720"/>
      </w:pPr>
      <w:r w:rsidRPr="002D3076">
        <w:rPr>
          <w:b/>
        </w:rPr>
        <w:t>P-3996/2016</w:t>
      </w:r>
      <w:r>
        <w:t xml:space="preserve"> pred Trgovačkim sudom u Zagrebu, tužitelji: SG SJEVER 1978 d.o.o., STANOGRAD stambeno-graditeljska zadruga u likvidaciji, Zagreb, Ilica 109, OIB: 48821947982, SG GRADITELJSTVO d.o.o., Zagreb, Ilica 109, OIB: 54566680973, tuženici: NOVA KREDITNA BANKA MARIBOR d.d., Maribor, Vita Kraigherja 4, Republika Slovenija, OIB: 58602216763, ADRIA ABWICKLUNGS GMBH in Liqu., A-1010 Beč, Kramergrasse 9/14, Republika Austrija (pravni sljednik ADRIA BANK AG), radi utvrđenja i uspostave ranijeg zemljišno-knjižnog stanja, VPS 201.000,00 </w:t>
      </w:r>
      <w:r w:rsidR="002D3076">
        <w:t xml:space="preserve">kn, </w:t>
      </w:r>
    </w:p>
    <w:p w:rsidRDefault="002D3076" w:rsidP="002D3076" w:rsidR="00A9668C">
      <w:pPr>
        <w:pStyle w:val="Tijeloteksta"/>
        <w:ind w:left="720"/>
      </w:pPr>
      <w:r>
        <w:t xml:space="preserve">i </w:t>
      </w:r>
    </w:p>
    <w:p w:rsidRDefault="00A9668C" w:rsidP="00E54CC2" w:rsidR="00A9668C">
      <w:pPr>
        <w:pStyle w:val="Tijeloteksta"/>
        <w:ind w:left="720"/>
      </w:pPr>
      <w:r w:rsidRPr="002D3076">
        <w:rPr>
          <w:b/>
        </w:rPr>
        <w:t>P-4185/2016</w:t>
      </w:r>
      <w:r>
        <w:t xml:space="preserve"> pred Općinskim sudom u Zagrebu, tužitelji: SG SJEVER 1978 d.o.o., ANDREJA HRUPAČKI iz Zagreba, Majke Terezije, OIB: 41856986819, MLADEN FILJAK iz Zagreba, Ilica 214, OUB: 27390769538, tuženik: NOVA KREDITNA BANKA MARIBOR, Ulica Vita Kragherja 4, 2505 Maribor, Slovenija, OIB: 58602216763, radi izdavanja brisovnog očitovanja, VPS 5.000,00 </w:t>
      </w:r>
      <w:r w:rsidR="002D3076">
        <w:t>kn,</w:t>
      </w:r>
    </w:p>
    <w:p w:rsidRDefault="002D3076" w:rsidP="002D3076" w:rsidR="002D3076" w:rsidRPr="002D3076">
      <w:pPr>
        <w:pStyle w:val="Tijeloteksta"/>
        <w:ind w:left="720"/>
      </w:pPr>
      <w:r>
        <w:rPr>
          <w:b/>
        </w:rPr>
        <w:t xml:space="preserve">iz razloga </w:t>
      </w:r>
      <w:r>
        <w:t>što vjerovnici nisu postupili po odluci Skupštine i pozivu stečajnog suca od 02. svibnja 2017. godine</w:t>
      </w:r>
      <w:r w:rsidR="00ED714A">
        <w:t>,</w:t>
      </w:r>
      <w:r>
        <w:t xml:space="preserve"> na solidarnu uplatu predujma za nastavak vođenja gore navedenih parničnih postupaka.</w:t>
      </w:r>
    </w:p>
    <w:p w:rsidRDefault="00A9668C" w:rsidP="00A9668C" w:rsidR="00A9668C">
      <w:pPr>
        <w:pStyle w:val="Zaglavlje"/>
        <w:tabs>
          <w:tab w:pos="708" w:val="left"/>
        </w:tabs>
        <w:jc w:val="both"/>
        <w:rPr>
          <w:rFonts w:hAnsi="Bookman Old Style" w:ascii="Bookman Old Style"/>
          <w:lang w:val="hr-HR"/>
        </w:rPr>
      </w:pPr>
    </w:p>
    <w:p w:rsidRDefault="00ED714A" w:rsidP="00ED714A" w:rsidR="00ED714A">
      <w:pPr>
        <w:pStyle w:val="Zaglavlje"/>
        <w:numPr>
          <w:ilvl w:val="0"/>
          <w:numId w:val="2"/>
        </w:numPr>
        <w:tabs>
          <w:tab w:pos="708" w:val="left"/>
        </w:tabs>
        <w:jc w:val="both"/>
        <w:rPr>
          <w:rFonts w:hAnsi="Bookman Old Style" w:ascii="Bookman Old Style"/>
          <w:lang w:val="hr-HR"/>
        </w:rPr>
      </w:pPr>
      <w:r>
        <w:rPr>
          <w:rFonts w:hAnsi="Bookman Old Style" w:ascii="Bookman Old Style"/>
          <w:lang w:val="hr-HR"/>
        </w:rPr>
        <w:t>U tijeku je procjena nekretnina stečajnog dužnika. Procjena je povjerena stalnoj sudskoj vještakinji Nedjeljki Čengija iz IvNe građevina d.o.o.</w:t>
      </w:r>
    </w:p>
    <w:p w:rsidRDefault="009F02F3" w:rsidP="00A9668C" w:rsidR="009F02F3">
      <w:pPr>
        <w:spacing w:after="0"/>
        <w:rPr>
          <w:rFonts w:eastAsia="Times New Roman" w:hAnsi="Bookman Old Style" w:ascii="Bookman Old Style"/>
          <w:sz w:val="24"/>
          <w:szCs w:val="20"/>
          <w:lang w:eastAsia="hr-HR"/>
        </w:rPr>
      </w:pPr>
    </w:p>
    <w:p w:rsidRDefault="00A9668C" w:rsidP="00A9668C" w:rsidR="00A9668C" w:rsidRPr="00A26156">
      <w:pPr>
        <w:spacing w:after="0"/>
        <w:rPr>
          <w:rFonts w:hAnsi="Bookman Old Style" w:ascii="Bookman Old Style"/>
          <w:b/>
          <w:sz w:val="24"/>
          <w:szCs w:val="24"/>
          <w:lang w:val="pl-PL"/>
        </w:rPr>
      </w:pPr>
      <w:r w:rsidRPr="00A26156">
        <w:rPr>
          <w:rFonts w:hAnsi="Bookman Old Style" w:ascii="Bookman Old Style"/>
          <w:b/>
          <w:sz w:val="24"/>
          <w:szCs w:val="24"/>
          <w:lang w:val="pl-PL"/>
        </w:rPr>
        <w:lastRenderedPageBreak/>
        <w:t>II STANJE STEČAJNE MASE</w:t>
      </w:r>
    </w:p>
    <w:p w:rsidRDefault="00A9668C" w:rsidP="00A9668C" w:rsidR="00A9668C">
      <w:pPr>
        <w:spacing w:after="0"/>
        <w:rPr>
          <w:rFonts w:hAnsi="Bookman Old Style" w:ascii="Bookman Old Style"/>
          <w:b/>
          <w:sz w:val="24"/>
          <w:szCs w:val="24"/>
          <w:lang w:val="pl-PL"/>
        </w:rPr>
      </w:pPr>
    </w:p>
    <w:p w:rsidRDefault="00A9668C" w:rsidP="00A9668C" w:rsidR="00A9668C">
      <w:pPr>
        <w:spacing w:after="0"/>
        <w:rPr>
          <w:rFonts w:hAnsi="Bookman Old Style" w:ascii="Bookman Old Style"/>
          <w:b/>
          <w:sz w:val="24"/>
          <w:szCs w:val="24"/>
          <w:lang w:val="pl-PL"/>
        </w:rPr>
      </w:pPr>
    </w:p>
    <w:p w:rsidRDefault="00A9668C" w:rsidP="00A9668C" w:rsidR="00A9668C">
      <w:pPr>
        <w:spacing w:after="0"/>
        <w:rPr>
          <w:rFonts w:hAnsi="Bookman Old Style" w:ascii="Bookman Old Style"/>
          <w:b/>
          <w:sz w:val="24"/>
          <w:szCs w:val="24"/>
          <w:lang w:val="pl-PL"/>
        </w:rPr>
      </w:pPr>
      <w:r>
        <w:rPr>
          <w:rFonts w:hAnsi="Bookman Old Style" w:ascii="Bookman Old Style"/>
          <w:b/>
          <w:sz w:val="24"/>
          <w:szCs w:val="24"/>
          <w:lang w:val="pl-PL"/>
        </w:rPr>
        <w:t>1.</w:t>
      </w:r>
      <w:r w:rsidRPr="004638D2">
        <w:rPr>
          <w:rFonts w:hAnsi="Bookman Old Style" w:ascii="Bookman Old Style"/>
          <w:b/>
          <w:sz w:val="24"/>
          <w:szCs w:val="24"/>
          <w:lang w:val="pl-PL"/>
        </w:rPr>
        <w:t>NEKRETNINE</w:t>
      </w:r>
    </w:p>
    <w:p w:rsidRDefault="00A9668C" w:rsidP="00A9668C" w:rsidR="00A9668C">
      <w:pPr>
        <w:spacing w:after="0"/>
        <w:rPr>
          <w:rFonts w:hAnsi="Bookman Old Style" w:ascii="Bookman Old Style"/>
          <w:sz w:val="24"/>
          <w:szCs w:val="24"/>
          <w:lang w:val="pl-PL"/>
        </w:rPr>
      </w:pP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1. Nekretnina upisana u zemljišnu knjigu zemljišnoknjižnog odjela ZAGREB, Općinski građanski sud u Zagrebu, z.k.ul. 15705, k.o. 999901 GRAD ZAGREB i to stambena zgrada br. 131 Sveti duh (površine 260m2) i dvorište  (površine 525m2), sagrađena na kat. čest. 8915/17 k.o. Grad Zagreb i to:</w:t>
      </w:r>
    </w:p>
    <w:p w:rsidRDefault="00A9668C" w:rsidP="00A9668C" w:rsidR="00A9668C" w:rsidRPr="004869DD">
      <w:pPr>
        <w:jc w:val="both"/>
        <w:rPr>
          <w:rFonts w:hAnsi="Bookman Old Style" w:ascii="Bookman Old Style"/>
          <w:sz w:val="24"/>
          <w:szCs w:val="24"/>
          <w:lang w:val="pl-PL"/>
        </w:rPr>
      </w:pP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1. Suvlasnički dio: 1106/10000 ETAŽNO VLASNIŠTVO (E-1), trosobni stan oznake S1 u podrumu, površine zatvorenog prostora 59,69 m2 sastavljen od ulaznog prostora, dvije sobe, kupaonice, dnevnog boravka sa blagovaonom i kuhinje, te dvije natkrivene terase površine 10,79 m2, nenatkrivene terase površine 31,59 m2, prohodnog vrta površine 18,63 m2 i neprohodnog vrta površine 166,56 m2, spremište u prizemlju oznake SP1 površine 5,62 m2, ukupne površine 292,88 m2 u nacrtu posebnih dijelova označeno svijetloplavom bojom,</w:t>
      </w:r>
    </w:p>
    <w:p w:rsidRDefault="00A9668C" w:rsidP="00A9668C" w:rsidR="00A9668C" w:rsidRPr="004869DD">
      <w:pPr>
        <w:jc w:val="both"/>
        <w:rPr>
          <w:rFonts w:hAnsi="Bookman Old Style" w:ascii="Bookman Old Style"/>
          <w:sz w:val="24"/>
          <w:szCs w:val="24"/>
          <w:lang w:val="pl-PL"/>
        </w:rPr>
      </w:pP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2. Suvlasnički dio: 1025/10000 ETAŽNO VLASNIŠTVO (E-2), trosobni stan oznake S2 u podrumu, površine zatvorenog prostora 59,09 m2 sastavljen od ulaznog prostora, dvije sobe, kupaonice, dnevnog boravka sa blagovaonom i kuhinje, te natkrivene terase površine 8,00 m2, nenatkrivene terase površine 14,88 m2, prohodnog vrta površine 19,82 m2 i neprohodnog vrta površine 75,10 m2, spremište u prizemlju oznake SP2 površine 5,58 m2, ukupne površine 182,47 m2 u nacrtu posebnih dijelova označeno zelenom bojom</w:t>
      </w:r>
    </w:p>
    <w:p w:rsidRDefault="00A9668C" w:rsidP="00A9668C" w:rsidR="00A9668C" w:rsidRPr="004869DD">
      <w:pPr>
        <w:jc w:val="both"/>
        <w:rPr>
          <w:rFonts w:hAnsi="Bookman Old Style" w:ascii="Bookman Old Style"/>
          <w:sz w:val="24"/>
          <w:szCs w:val="24"/>
          <w:lang w:val="pl-PL"/>
        </w:rPr>
      </w:pP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4. Suvlasnički dio: 869/10000 ETAŽNO VLASNIŠTVO (E-4), dvoiposobni stan oznake S4 na I (prvom) katu površine zatvorenog prostora 53,83 m2 sastavljen od ulaznog prostora, dvije sobe, kupaonice, dnevnog boravka sa blagovaonicom i kuhinje, te dvije logie površine 8,67 m2, spremište u prizemlju oznake SP3 površine 5,62 m2, ukupne površine 68,12 m2 u nacrtu posebnih dijelova označeno ljubičastom bojom,</w:t>
      </w:r>
    </w:p>
    <w:p w:rsidRDefault="00A9668C" w:rsidP="00A9668C" w:rsidR="00A9668C" w:rsidRPr="004869DD">
      <w:pPr>
        <w:jc w:val="both"/>
        <w:rPr>
          <w:rFonts w:hAnsi="Bookman Old Style" w:ascii="Bookman Old Style"/>
          <w:sz w:val="24"/>
          <w:szCs w:val="24"/>
          <w:lang w:val="pl-PL"/>
        </w:rPr>
      </w:pP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5. Suvlasnički dio: 600/10000 ETAŽNO VLASNIŠTVO (E-5), jednoipolsobni stan oznake S5 na I (prvom) katu površine zatvorenog prostora 37,12 m2 sastavljen od ulaznog prostora, sobe, kupaonice, dnevnog boravka sa blagovaonicom i kuhinje, te loggie površine 5,02 m2, spremište u prizemlju oznake SP4 površine 5,58 m2, ukupne površine 68,08 m2 u nacrtu posebnih dijelova označeno plavom bojom</w:t>
      </w:r>
    </w:p>
    <w:p w:rsidRDefault="00A9668C" w:rsidP="00A9668C" w:rsidR="009F02F3">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7. Suvlasnički dio: 1006/10000 ETAŽNO VLASNIŠTVO (E-7),   dvoiposobni stan oznake S7 na II (drugom) katu površine zatvorenog prostora 65,46 m2 sastavljen od ulaznog prostora, dvije sobe, kupaonice, dnevnog boravka, blagovaone, izbe i kuhinje, te dvije logie površine 7,33 m2, spremište u prizemlju oznake SP7 površine 4,42 m2, ukupne površine 77,21 m2 u nacrtu posebnih dijelova označeno narančastom bojom,</w:t>
      </w: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lastRenderedPageBreak/>
        <w:t>-</w:t>
      </w:r>
      <w:r w:rsidRPr="004869DD">
        <w:rPr>
          <w:rFonts w:hAnsi="Bookman Old Style" w:ascii="Bookman Old Style"/>
          <w:sz w:val="24"/>
          <w:szCs w:val="24"/>
          <w:lang w:val="pl-PL"/>
        </w:rPr>
        <w:tab/>
        <w:t>9. Suvlasnički dio: 907/10000 ETAŽNO VLASNIŠTVO (E-9),  dvoiposobni stan oznake S9 u potkrovlju površine zatvorenog prostora 56,57 m2 sastavljen od ulaznog prostora, dvije sobe, kupaonice, dnevnog boravka, blagovaone, kuhinje i izbe, te dvije logie površine 8,01 m2, spremište u prizemlju oznake SP9 površine 6,46 m2, ukupne površine 71,22 m2 u nacrtu posebnih dijelova označeno sivom bojom,</w:t>
      </w:r>
    </w:p>
    <w:p w:rsidRDefault="00A9668C" w:rsidP="00A9668C" w:rsidR="00A9668C" w:rsidRPr="004869DD">
      <w:pPr>
        <w:jc w:val="both"/>
        <w:rPr>
          <w:rFonts w:hAnsi="Bookman Old Style" w:ascii="Bookman Old Style"/>
          <w:sz w:val="24"/>
          <w:szCs w:val="24"/>
          <w:lang w:val="pl-PL"/>
        </w:rPr>
      </w:pP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11. Suvlasnički dio: 109/10000 ETAŽNO VLASNIŠTVO (E-11), garaža oznake G2 u nivou I (prvog) kata, površine 13,27 m2 u nacrtu posebnih dijelova označeno tamnozelenom bojom.</w:t>
      </w:r>
    </w:p>
    <w:p w:rsidRDefault="00A9668C" w:rsidP="00A9668C" w:rsidR="00A9668C" w:rsidRPr="004869DD">
      <w:pPr>
        <w:jc w:val="both"/>
        <w:rPr>
          <w:rFonts w:hAnsi="Bookman Old Style" w:ascii="Bookman Old Style"/>
          <w:sz w:val="24"/>
          <w:szCs w:val="24"/>
          <w:lang w:val="pl-PL"/>
        </w:rPr>
      </w:pP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2. Nekretnina upisana u zemljišnu knjigu zemljišnoknjižnog odjela ZAGREB, Općinski građanski sud u Zagrebu, z.k.ul. 109234, k.o. 999901 GRAD ZAGREB i to stambena zgrada br. 131A Sveti duh (površine 258m2) i dvorište  (površine 512m2), sagrađena na kat. čest. 8915/16 k.o. Grad Zagreb i to:</w:t>
      </w:r>
    </w:p>
    <w:p w:rsidRDefault="00A9668C" w:rsidP="00A9668C" w:rsidR="00A9668C" w:rsidRPr="004869DD">
      <w:pPr>
        <w:jc w:val="both"/>
        <w:rPr>
          <w:rFonts w:hAnsi="Bookman Old Style" w:ascii="Bookman Old Style"/>
          <w:sz w:val="24"/>
          <w:szCs w:val="24"/>
          <w:lang w:val="pl-PL"/>
        </w:rPr>
      </w:pP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1. Suvlasnički dio: 1053/10000 ETAŽNO VLASNIŠTVO (E-1), trosobni stan oznake S1 u podrumu, površine zatvorenog prostora 60,38 m2, sastavljen od ulaznog prostora, dvije sobe, kupaonice, dnevnog boravka sa blagovaonom i kuhinje, te dvije natkrivene terase površine 10,62 m2, nenatkrivene terase površine 16,04 m2, prohodnog vrta površine 17,10 m2 i neprohodnog vrta površine 33,80 m2, spremište u prizemlju oznake SP1 površine 5,75 m2, ukupno površine 143,70 m2 u nacrtu posebnih dijelova označeno zelenom bojom,   </w:t>
      </w:r>
    </w:p>
    <w:p w:rsidRDefault="00A9668C" w:rsidP="00A9668C" w:rsidR="00A9668C" w:rsidRPr="004869DD">
      <w:pPr>
        <w:jc w:val="both"/>
        <w:rPr>
          <w:rFonts w:hAnsi="Bookman Old Style" w:ascii="Bookman Old Style"/>
          <w:sz w:val="24"/>
          <w:szCs w:val="24"/>
          <w:lang w:val="pl-PL"/>
        </w:rPr>
      </w:pP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2. Suvlasnički dio: 1040/10000 ETAŽNO VLASNIŠTVO (E-2), trosobni stan oznake S2 u podrumu, površine zatvorenog prostora 59,07 m2 sastavljen od ulaznog prostora, dvije sobe, kupaonice, dnevnog boravka sa blagovaonom i kuhinje, te natkrivene terase površine 8.78 m2, nenatkrivene terase površine 15,70 m2 i prohodnog vrta površine 22,5 m2, spremište u prizemlju oznake SP2 površine 5,76 m2, ukupno površine 111,81 m2 u nacrtu posebnih dijelova označeno svjetlopravom bojom,    </w:t>
      </w:r>
    </w:p>
    <w:p w:rsidRDefault="00A9668C" w:rsidP="00A9668C" w:rsidR="00A9668C" w:rsidRPr="004869DD">
      <w:pPr>
        <w:jc w:val="both"/>
        <w:rPr>
          <w:rFonts w:hAnsi="Bookman Old Style" w:ascii="Bookman Old Style"/>
          <w:sz w:val="24"/>
          <w:szCs w:val="24"/>
          <w:lang w:val="pl-PL"/>
        </w:rPr>
      </w:pP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3. Suvlasnički dio: 1764/10000 ETAŽNO VLASNIŠTVO (E-3),  peterosobni stan oznake S3 u prizemlju, površine zatvorenog prostora 102,57 m2 sastavljen od ulaznog prostora, tri sobe, dvije kupaonice, dnevnog boravka, blagovaonice, kuhinje, izbe, te natkrivene terase površine 5,58 m2, dvije logie površine 6,62 m2, balkona površine 9,40 m2, nenatkrivene terase površine 16,32 m2, prohodnog vrta površine 19,80 m2 i neprohodnog vrta površine 15,40 m2, spremište u prizemlju     oznake SP10 površine 9,39 m2 ukupno površine 185,08 m2 u nacrtu    posebnih dijelova označeno crvenom bojom,   </w:t>
      </w: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4. Suvlasnički dio: 854/10000 ETAŽNO VLASNIŠTVO (E-4),   dvoiposobni stan oznake S4 na I. katu, površine zatvorenog prostora 52,70 </w:t>
      </w:r>
      <w:r w:rsidRPr="004869DD">
        <w:rPr>
          <w:rFonts w:hAnsi="Bookman Old Style" w:ascii="Bookman Old Style"/>
          <w:sz w:val="24"/>
          <w:szCs w:val="24"/>
          <w:lang w:val="pl-PL"/>
        </w:rPr>
        <w:lastRenderedPageBreak/>
        <w:t xml:space="preserve">m2 sastavljen od ulaznog prostora, dvije sobe, kupaonice, dnevnog boravka sa blagovaonom i kuhinje, te dvije logie površine 9,04 m2, spremište u prizemlju oznake SP3 površine 5,72 m2, ukupno površine 67,46 m2 u nacrtu posebnih dijelova označeno plavom bojom,    </w:t>
      </w:r>
    </w:p>
    <w:p w:rsidRDefault="00A9668C" w:rsidP="00A9668C" w:rsidR="00A9668C" w:rsidRPr="004869DD">
      <w:pPr>
        <w:jc w:val="both"/>
        <w:rPr>
          <w:rFonts w:hAnsi="Bookman Old Style" w:ascii="Bookman Old Style"/>
          <w:sz w:val="24"/>
          <w:szCs w:val="24"/>
          <w:lang w:val="pl-PL"/>
        </w:rPr>
      </w:pP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5. Suvlasnički dio: 607/10000 ETAŽNO VLASNIŠTVO (E-5),   jednoipolsobni stan oznake S5 na I.katu, površine zatvorenog prostora 52,70 m2 sastavljen od ulaznog prostora, sobe, kupaonice, dnevnog boravka sa blagovaonom i kuhinje, te loggie površine 6,43 m2, spremište u prizemlju oznake SP4 površine 5,72 m2, ukupno površine 67,46 m2 u nacrtu posebnih dijelova označeno ljubičastom bojom,  </w:t>
      </w: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6. Suvlasnički dio: 1257/10000 ETAŽNO VLASNIŠTVO (E-6),   trosobni stan oznake S6 na II.katu, površine zatvorenog prostora 81,43 m2 sastavljen od ulaznog prostora, dvije sobe, kupaonice, dnevnog boravka, blagovaone, Wca, izbe, predsoblja i kuhinje, te dvije logie površine 10,82 m2, spremište u prizemlju oznake SP6 površine 4,32 m2, ukupno površine 96,57 m2 u nacrtu posebnih dijelova označeno narančastom bojom,  </w:t>
      </w: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7. Suvlasnički dio: 997/10000 ETAŽNO VLASNIŠTVO (E-7),   dvoiposobni stan oznake S7 na II.katu, površine zatvorenog prostora 81,43 m2, sastavljen od ulaznog prostora, dvije sobe, kupaonice, dnevnog boravka, blagovaone, izbe i kuhinje, te dvije logie površine 6,98 m2, spremište u prizemlju oznake SP7 površine 4,36 m2, ukupno površine 76,65 m2 u nacrtu posebnih dijelova označeno roza bojom,  </w:t>
      </w: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8. Suvlasnički dio: 998/10000 ETAŽNO VLASNIŠTVO (E-8),  dvoiposobni stan oznake S8 u potkrovlju, površine zatvorenog prostora 69,35 m2 sastavljen od ulaznog prostora, dvije sobe, kupaonice, dnevnog boravka, blagovaone, kuhinje i tavanskog prostora visine manje od 1 m, te dvije logie površine 13,22 m2, spremište u prizemlju oznake SP8 površine 4,36 m2, ukupno površine 86,93 m2 u nacrtu posebnih dijelova označeno sivom bojom,   </w:t>
      </w:r>
    </w:p>
    <w:p w:rsidRDefault="00A9668C" w:rsidP="00A9668C" w:rsidR="00A9668C" w:rsidRPr="004869DD">
      <w:pPr>
        <w:jc w:val="both"/>
        <w:rPr>
          <w:rFonts w:hAnsi="Bookman Old Style" w:ascii="Bookman Old Style"/>
          <w:sz w:val="24"/>
          <w:szCs w:val="24"/>
          <w:lang w:val="pl-PL"/>
        </w:rPr>
      </w:pP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9. Suvlasnički dio: 934/10000 ETAŽNO VLASNIŠTVO (E-9),  dvoiposobni stan oznake S9 u potkrovlju, površine zatvorenog prostora 59,11 m2 sastavljen od ulaznog prostora, dvije sobe, kupaonice, dnevnog boravka, blagovaone, kuhinje i izbe, te dvije logie površine 8,16 m2, spremište u prizemlju oznake SP9 površine 5,86 m2, ukupno površine 73,13 m2 u nacrtu posebnih dijelova označeno smeđom bojom,   </w:t>
      </w: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10. Suvlasnički dio: 125/10000 ETAŽNO VLASNIŠTVO (E-10), garaža oznake G1 u nivou I.katu, površine 15,21 m2 u nacrtu posebnih dijelova označeno svjetlosmeđom bojom,</w:t>
      </w: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lastRenderedPageBreak/>
        <w:t>-</w:t>
      </w:r>
      <w:r w:rsidRPr="004869DD">
        <w:rPr>
          <w:rFonts w:hAnsi="Bookman Old Style" w:ascii="Bookman Old Style"/>
          <w:sz w:val="24"/>
          <w:szCs w:val="24"/>
          <w:lang w:val="pl-PL"/>
        </w:rPr>
        <w:tab/>
        <w:t xml:space="preserve">11. Suvlasnički dio: 121/10000 ETAŽNO VLASNIŠTVO (E-11), garaža oznake G2 u nivou I.kata, površine 14,68 m2, u nacrtu posebnih dijelova označeno tamnoplavom bojom,    </w:t>
      </w:r>
    </w:p>
    <w:p w:rsidRDefault="00A9668C" w:rsidP="00A9668C" w:rsidR="00A9668C" w:rsidRPr="004869DD">
      <w:pPr>
        <w:jc w:val="both"/>
        <w:rPr>
          <w:rFonts w:hAnsi="Bookman Old Style" w:ascii="Bookman Old Style"/>
          <w:sz w:val="24"/>
          <w:szCs w:val="24"/>
          <w:lang w:val="pl-PL"/>
        </w:rPr>
      </w:pP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12. Suvlasnički dio: 124/10000 ETAŽNO VLASNIŠTVO (E-12), garaža oznake G3 u nivou I.kata površine 15,03 m2, u nacrtu posebnih dijelova označeno tamnozelenom bojom,    </w:t>
      </w: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13. Suvlasnički dio: 126/10000 ETAŽNO VLASNIŠTVO (E-13), garaža oznake G4 u nivou I.kata površine 15,29 m2, u nacrtu posebnih dijelova označeno tamnosivom bojom.</w:t>
      </w: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3. Nekretnina upisana u zemljišnu knjigu zemljišnoknjižnog odjela ZAGREB, Općinski građanski sud u Zagrebu, z.k.ul. 8888, k.o. 999901 GRAD ZAGREB i to stambena zgrada br. 131B i dvorište, Sveti duh površine 757m2, sagrađena na kat. čest. 8915/15 k.o. Grad Zagreb i to:</w:t>
      </w:r>
    </w:p>
    <w:p w:rsidRDefault="00A9668C" w:rsidP="00A9668C" w:rsidR="00A9668C" w:rsidRPr="004869DD">
      <w:pPr>
        <w:jc w:val="both"/>
        <w:rPr>
          <w:rFonts w:hAnsi="Bookman Old Style" w:ascii="Bookman Old Style"/>
          <w:sz w:val="24"/>
          <w:szCs w:val="24"/>
          <w:lang w:val="pl-PL"/>
        </w:rPr>
      </w:pP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1. Suvlasnički dio: 1134/10000 ETAŽNO VLASNIŠTVO (E-1), trosobni stan oznake S1 u podrumu, površine zatvorenog prostora 59,86 m2 sastavljen od ulaznog prostora, dvije sobe, kupaonice, dnevnog boravka sa blagovaonom i kuhinje, te dvije natkrivene terase površine 11,02 m2, nenatkrivene terase površine 41,15 m2, prohodnog vrta površine 75,21 m2 i neprohodnog vrta površine 138,24 m2, spremišta u prizemlju oznake SP1 površine 5,67 m2, ukupno površine 331,15 m2, u nacrtu posebnih dijelova označeno ljubičastom bojom,  </w:t>
      </w: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2. Suvlasnički dio: 1037/10000 ETAŽNO VLASNIŠTVO (E-2), trosobni stan oznake S2 u podrumu, površine zatvorenog prostora 59,00 m2 sastavljen od ulaznog prostora, dvije sobe, kupaonice, dnevnog boravka sa blagovaonom i kuhinje, te dvije natkrivene terase površine 8,00 m2, nenatkrivene terase površine 26,05 m2, prohodnog vrta površine 57,71 m2 i neprohodnog vrta površine 53,44 m2, spremišta u prizemlju oznake SP2 površine 5,67 m2, ukupno površine 209,87 m2, u nacrtu posebnih dijelova označeno plavom bojom,   </w:t>
      </w:r>
    </w:p>
    <w:p w:rsidRDefault="00A9668C" w:rsidP="00A9668C" w:rsidR="00A9668C" w:rsidRPr="004869DD">
      <w:pPr>
        <w:jc w:val="both"/>
        <w:rPr>
          <w:rFonts w:hAnsi="Bookman Old Style" w:ascii="Bookman Old Style"/>
          <w:sz w:val="24"/>
          <w:szCs w:val="24"/>
          <w:lang w:val="pl-PL"/>
        </w:rPr>
      </w:pP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3. Suvlasnički dio: 1706/10000 ETAŽNO VLASNIŠTVO (E-3),   peterosobni stan oznake S3 u prizemlju, površine zatvorenog prostora 102,65 m2 sastavljen od ulaznog prostora, tri sobe, dvije kupaonice, dnevnog boravka, blagovaonice, kuhinje i izbe, te natkrivene terase površine 5,38 m2, dvije logie površine 6,74 m2, balkona površine 12,2 m2, nenatkrivene terase površine 18,48 m2, prohodnog vrta površine 13,77 m2 i neprohodnog vrta površine 36,54 m2, spremišta u prizemlju oznake SP10 površine 9,51 m2, ukupno površine 213,71 m2, u nacrtu posebnih dijelova označeno svijetloplavom bojom,   </w:t>
      </w:r>
    </w:p>
    <w:p w:rsidRDefault="00A9668C" w:rsidP="00A9668C" w:rsidR="00A9668C" w:rsidRPr="004869DD">
      <w:pPr>
        <w:jc w:val="both"/>
        <w:rPr>
          <w:rFonts w:hAnsi="Bookman Old Style" w:ascii="Bookman Old Style"/>
          <w:sz w:val="24"/>
          <w:szCs w:val="24"/>
          <w:lang w:val="pl-PL"/>
        </w:rPr>
      </w:pPr>
    </w:p>
    <w:p w:rsidRDefault="00A9668C" w:rsidP="00A9668C" w:rsidR="00A9668C" w:rsidRPr="004869DD">
      <w:pPr>
        <w:jc w:val="both"/>
        <w:rPr>
          <w:rFonts w:hAnsi="Bookman Old Style" w:ascii="Bookman Old Style"/>
          <w:sz w:val="24"/>
          <w:szCs w:val="24"/>
          <w:lang w:val="pl-PL"/>
        </w:rPr>
      </w:pP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lastRenderedPageBreak/>
        <w:t>-</w:t>
      </w:r>
      <w:r w:rsidRPr="004869DD">
        <w:rPr>
          <w:rFonts w:hAnsi="Bookman Old Style" w:ascii="Bookman Old Style"/>
          <w:sz w:val="24"/>
          <w:szCs w:val="24"/>
          <w:lang w:val="pl-PL"/>
        </w:rPr>
        <w:tab/>
        <w:t xml:space="preserve">4. Suvlasnički dio: 866/10000 ETAŽNO VLASNIŠTVO (E-4),   dvoiposobni stan oznake S4 na I katu,  površine zatvorenog prostora 53,87 m2 sastavljen od ulaznog prostora, dvije sobe, kupaonice, dnevnog boravka s blagovaonom i kuhinje, te dvije logie površine 9,77 m2, spremišta u prizemlju oznake SP3 površine 5,67 m2, ukupno površine 69,31 m2, u nacrtu posebnih dijelova označeno zelenom bojom, </w:t>
      </w: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5. Suvlasnički dio: 598/10000 ETAŽNO VLASNIŠTVO (E-5),   jednoipolsobni stan oznake S5 na I katu,  površine zatvorenog prostora 36,64 m2 sastavljen od ulaznog prostora, sobe, kupaonice, dnevnog boravka s blagovaonom i kuhinje, te logie površine 6,43 m2, spremišta u prizemlju oznake SP4 površine 5,59 m2, ukupno površine 48,66 m2, u nacrtu posebnih dijelova označeno smeđom bojom,   </w:t>
      </w:r>
    </w:p>
    <w:p w:rsidRDefault="00A9668C" w:rsidP="00A9668C" w:rsidR="00A9668C" w:rsidRPr="004869DD">
      <w:pPr>
        <w:jc w:val="both"/>
        <w:rPr>
          <w:rFonts w:hAnsi="Bookman Old Style" w:ascii="Bookman Old Style"/>
          <w:sz w:val="24"/>
          <w:szCs w:val="24"/>
          <w:lang w:val="pl-PL"/>
        </w:rPr>
      </w:pP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6. Suvlasnički dio: 1246/10000 ETAŽNO VLASNIŠTVO (E-6), trosobni stan oznake S6 na II katu,  površine zatvorenog prostora 81,43 m2 sastavljen od ulaznog prostora, dvije sobe, kupaonice, dnevnog boravka, blagovaone, WC-a, izbe, predsoblja i kuhinje, te dvije logie površine 11,65 m2, spremišta u prizemlju oznake SP6 površine 4,21 m2, ukupno površine 97,29 m2, u nacrtu posebnih dijelova označeno narančastom bojom, </w:t>
      </w: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7. Suvlasnički dio: 1010/10000 ETAŽNO VLASNIŠTVO (E-7),   dvoiposobni stan oznake S7 na II katu,  površine zatvorenog prostora 66,02 m2 sastavljen od ulaznog prostora, dvije sobe, kupaonice, dnevnog boravka s blagovaonom, izbe i kuhinje, te dvije logie površine 8,86 m2, spremišta u prizemlju oznake SP7 površine 4,3 m2, ukupno površine 79,18 m2, u nacrtu posebnih dijelova označeno tamnoljubičastom bojom,   </w:t>
      </w:r>
    </w:p>
    <w:p w:rsidRDefault="00A9668C" w:rsidP="00A9668C" w:rsidR="00A9668C" w:rsidRPr="004869DD">
      <w:pPr>
        <w:jc w:val="both"/>
        <w:rPr>
          <w:rFonts w:hAnsi="Bookman Old Style" w:ascii="Bookman Old Style"/>
          <w:sz w:val="24"/>
          <w:szCs w:val="24"/>
          <w:lang w:val="pl-PL"/>
        </w:rPr>
      </w:pP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9. Suvlasnički dio: 491/10000 ETAŽNO VLASNIŠTVO (E-9),   jednosobni stan oznake S9 u potkrovlju, površine zatvorenog prostora 32,62 m2 sastavljen od kupaonice, dnevnog boravka, kuhinje i izbe, te logie površine 0,64 m2, spremišta u prizemlju oznake SP9 površine 6,49 m2, ukupno površine 39,75 m2, u nacrtu posebnih dijelova označeno crvenom bojom,  </w:t>
      </w:r>
    </w:p>
    <w:p w:rsidRDefault="00A9668C" w:rsidP="00A9668C" w:rsidR="00A9668C" w:rsidRPr="004869DD">
      <w:pPr>
        <w:jc w:val="both"/>
        <w:rPr>
          <w:rFonts w:hAnsi="Bookman Old Style" w:ascii="Bookman Old Style"/>
          <w:sz w:val="24"/>
          <w:szCs w:val="24"/>
          <w:lang w:val="pl-PL"/>
        </w:rPr>
      </w:pP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10. Suvlasnički dio: 125/10000 ETAŽNO VLASNIŠTVO (E-10), garaža oznake G1 u nivou I kata, površine 15,45 m2, u nacrtu  posebnih dijelova označeno svijetlosmeđom bojom,   </w:t>
      </w: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11. Suvlasnički dio: 125/10000 ETAŽNO VLASNIŠTVO (E-11), garaža oznake G2 u nivou I kata, površine 15,41 m2, u nacrtu  posebnih dijelova označeno svijetlozelenom bojom,  </w:t>
      </w: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A9668C" w:rsidP="00A9668C" w:rsidR="009F02F3">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13. Suvlasnički dio: 125/10000 ETAŽNO VLASNIŠTVO (E-13), garaža oznake G4 u nivou I kata, površine 15,37 m2, u nacrtu  posebnih dijelova označeno sivom bojom. </w:t>
      </w: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lastRenderedPageBreak/>
        <w:t>4.</w:t>
      </w:r>
      <w:r w:rsidRPr="004869DD">
        <w:rPr>
          <w:rFonts w:hAnsi="Bookman Old Style" w:ascii="Bookman Old Style"/>
          <w:sz w:val="24"/>
          <w:szCs w:val="24"/>
          <w:lang w:val="pl-PL"/>
        </w:rPr>
        <w:tab/>
        <w:t xml:space="preserve">Nekretnina upisana u zemljišnu knjigu zemljišnoknjižnog odjela ZAGREB, Općinski građanski sud u Zagrebu, z.k.ul. 110005, k.o. 999901 GRAD ZAGREB i to stambena zgrada br. 131C,Sveti duh površine 269m2 i dvorište površine 393m2, sagrađena na kat. čest. 8915/14 k.o. Grad Zagreb i to: </w:t>
      </w:r>
    </w:p>
    <w:p w:rsidRDefault="00A9668C" w:rsidP="00A9668C" w:rsidR="00A9668C" w:rsidRPr="004869DD">
      <w:pPr>
        <w:jc w:val="both"/>
        <w:rPr>
          <w:rFonts w:hAnsi="Bookman Old Style" w:ascii="Bookman Old Style"/>
          <w:sz w:val="24"/>
          <w:szCs w:val="24"/>
          <w:lang w:val="pl-PL"/>
        </w:rPr>
      </w:pP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1. Suvlasnički dio: 1145/10000 ETAŽNO VLASNIŠTVO (E-1), trosobni stan oznake S1 u podrumu, površine zatvorenog prostora 62,91 m2 sastavljen od ulaznog prostora, dvije sobe, kupaonice, dnevnog boravka sa blagovaonom i kuhinje, te dvije natkrivene terase površine 8,79 m2, nenatkrivene terase površine 31,61 m2, prohodnog vrta površine 66,33 m2 i neprohodnog vrta površine 64,46 m2, spremište u prizemlju oznake SP1 površine 5,67 m2, ukupno površine 245,62 m2, u nacrtu posebnih dijelova označeno crvenom bojom,   </w:t>
      </w:r>
    </w:p>
    <w:p w:rsidRDefault="00A9668C" w:rsidP="00A9668C" w:rsidR="00A9668C" w:rsidRPr="004869DD">
      <w:pPr>
        <w:jc w:val="both"/>
        <w:rPr>
          <w:rFonts w:hAnsi="Bookman Old Style" w:ascii="Bookman Old Style"/>
          <w:sz w:val="24"/>
          <w:szCs w:val="24"/>
          <w:lang w:val="pl-PL"/>
        </w:rPr>
      </w:pP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2. Suvlasnički dio: 1017/10000 ETAŽNO VLASNIŠTVO (E-2), trosobni stan oznake S2 u podrumu, površine zatvorenog prostora 57,18 m2 sastavljen od ulaznog prostora, dvije sobe, kupaonice, dnevnog boravka sa blagovaonom i kuhinje, te natkrivene terase površine 7,62 m2, nenatkrivene terase površine 26,66 m2, prohodnog vrta površine 56,73 m2 i neprohodnog vrta površine 47,71 m2, spremište u prizemlju oznake SP2 površine 5,67 m2, ukupno površine 201,57 m2, u nacrtu posebnih dijelova označeno zelenom bojom,</w:t>
      </w: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3. Suvlasnički dio: 1665/10000 ETAŽNO VLASNIŠTVO (E-3),   peterosobni stan oznake S3 u prizemlju, površine zatvorenog prostora 100,53 m2 sastavljen od ulaznog prostora, tri sobe, dvije kupaonice, dnevnog boravka, blagovaonice, kuhinje, izbe, te natkrivene terase površine 6,09 m2, dvije logie površine 6,70 m2, balkona površine 12,49 m2, nenatkrivene terase površine 9,20 m2, prohodnog vrta površine 10,40 m2 i neprohodnog vrta površine 7,10 m2, spremište u prizemlju oznake SP10 površine 9,64 m2, ukupno površine 162,15 m2, u nacrtu posebnih dijelova označeno smeđožutom bojom,   </w:t>
      </w:r>
    </w:p>
    <w:p w:rsidRDefault="00A9668C" w:rsidP="00A9668C" w:rsidR="00A9668C" w:rsidRPr="004869DD">
      <w:pPr>
        <w:jc w:val="both"/>
        <w:rPr>
          <w:rFonts w:hAnsi="Bookman Old Style" w:ascii="Bookman Old Style"/>
          <w:sz w:val="24"/>
          <w:szCs w:val="24"/>
          <w:lang w:val="pl-PL"/>
        </w:rPr>
      </w:pP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4. Suvlasnički dio: 865/10000 ETAŽNO VLASNIŠTVO (E-4),   dvoiposobni stan oznake S4 na I katu, površine zatvorenog prostora 54,13 m2 sastavljen od ulaznog prostora, dvije sobe, kupaonice, dnevnog boravka sa blagovaonom i kuhinje, te dvije logie površine 8,94 m2, spremište u prizemlju oznake SP3 površine 5,67 m2, ukupno površine 68,74 m2, u nacrtu posebnih dijelova označeno svijetloplavom bojom,   </w:t>
      </w:r>
    </w:p>
    <w:p w:rsidRDefault="00A9668C" w:rsidP="00A9668C" w:rsidR="00A9668C" w:rsidRPr="004869DD">
      <w:pPr>
        <w:jc w:val="both"/>
        <w:rPr>
          <w:rFonts w:hAnsi="Bookman Old Style" w:ascii="Bookman Old Style"/>
          <w:sz w:val="24"/>
          <w:szCs w:val="24"/>
          <w:lang w:val="pl-PL"/>
        </w:rPr>
      </w:pP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5. Suvlasnički dio: 621/10000 ETAŽNO VLASNIŠTVO (E-5) jednoipolsobni stan oznake S5 na I katu, površine zatvorenog prostora 36,82 m2 sastavljen od ulaznog prostora, sobe, kupaonice, dnevnog boravka sa blagovaonom i kuhinje, te loggie površine 8,14 m2, spremište u prizemlju </w:t>
      </w:r>
      <w:r w:rsidRPr="004869DD">
        <w:rPr>
          <w:rFonts w:hAnsi="Bookman Old Style" w:ascii="Bookman Old Style"/>
          <w:sz w:val="24"/>
          <w:szCs w:val="24"/>
          <w:lang w:val="pl-PL"/>
        </w:rPr>
        <w:lastRenderedPageBreak/>
        <w:t xml:space="preserve">oznake SP4 površine 5,59 m2, ukupno površine 50,55 m2, u nacrtu posebnih dijelova označeno plavom bojom,  </w:t>
      </w: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6. Suvlasnički dio: 1238/10000 ETAŽNO VLASNIŠTVO (E-6), trosobni stan oznake S6 na II katu, površine zatvorenog prostora 80,37 m2 sastavljen od ulaznog prostora, dvije sobe, kupaonice, dnevnog boravka, blagovaone, wc-a, izbe, predsoblja i kuhinje, te dvije logie površine 11,51 m2, spremište u prizemlju oznake SP6 površine 4,11 m2, ukupno površine 96,04 m2, u nacrtu posebnih dijelova označeno ljubičastom bojom, </w:t>
      </w: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7. Suvlasnički dio: 970/10000 ETAŽNO VLASNIŠTVO (E-7),   dvoiposobni stan oznake S7 na II katu, površine zatvorenog prostora 62,63 m2 sastavljen od ulaznog prostora, dvije sobe, kupaonice, dnevnog boravka, blagovaone, izbe i kuhinje, te dvije logie površine 8,84 m2, spremište u prizemlju oznake SP7 površine 4,30 m2, ukupno površine 75,77 m2, u nacrtu posebnih dijelova označeno sivom bojom, </w:t>
      </w: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8. Suvlasnički dio: 1052/10000 ETAŽNO VLASNIŠTVO (E-8),   dvoiposobni stan oznake S8 u potkrovlju, površine zatvorenog prostora 69,30 m2 sastavljen od ulaznog prostora, dvije sobe, kupaonice, dnevnog boravka, blagovaone, kuhinje i tavanskog prostora visine manje od 1 m, te loggie površine 19,54 m2, spremište u prizemlju oznake SP8 površine 4,12 m2, ukupno površine 92,96 m2, u nacrtu posebnih dijelova označeno svijetlosivom bojom,   </w:t>
      </w:r>
    </w:p>
    <w:p w:rsidRDefault="00A9668C" w:rsidP="00A9668C" w:rsidR="00A9668C" w:rsidRPr="004869DD">
      <w:pPr>
        <w:jc w:val="both"/>
        <w:rPr>
          <w:rFonts w:hAnsi="Bookman Old Style" w:ascii="Bookman Old Style"/>
          <w:sz w:val="24"/>
          <w:szCs w:val="24"/>
          <w:lang w:val="pl-PL"/>
        </w:rPr>
      </w:pP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9. Suvlasnički dio: 929/10000 ETAŽNO VLASNIŠTVO (E-9),   dvoiposobni stan oznake S9 u potkrovlju, površine zatvorenog prostora 57,03 m2 sastavljen od ulaznog prostora, dvije sobe, kupaonice, dnevnog boravka, blagovaone, kuhinje i izbe, te dvije logie površine 10,78 m2, spremište u prizemlju oznake SP9 površine 6,49 m2, ukupno površine 74,30 m2, u nacrtu posebnih dijelova označeno tamnozelenom bojom,  </w:t>
      </w: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 10. Suvlasnički dio: 126/10000 ETAŽNO VLASNIŠTVO (E-10), garaža oznake G4 u nivou I kata, površine 15,45 m2, u nacrtu posebnih dijelova označeno svijetlosmeđom bojom, </w:t>
      </w: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 11. Suvlasnički dio: 120/10000 ETAŽNO VLASNIŠTVO (E-11), garaža oznake G3 u nivou I kata, površine 14,68 m2, u nacrtu posebnih dijelova označeno ljubičastom bojom,   </w:t>
      </w:r>
    </w:p>
    <w:p w:rsidRDefault="00A9668C" w:rsidP="00A9668C" w:rsidR="00A9668C" w:rsidRPr="004869DD">
      <w:pPr>
        <w:jc w:val="both"/>
        <w:rPr>
          <w:rFonts w:hAnsi="Bookman Old Style" w:ascii="Bookman Old Style"/>
          <w:sz w:val="24"/>
          <w:szCs w:val="24"/>
          <w:lang w:val="pl-PL"/>
        </w:rPr>
      </w:pP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12. Suvlasnički dio: 127/10000 ETAŽNO VLASNIŠTVO (E-12), garaža oznake G2 u nivou I kata, površine 15,54 m2, u nacrtu posebnih dijelova označeno roza bojom,   </w:t>
      </w:r>
    </w:p>
    <w:p w:rsidRDefault="00A9668C" w:rsidP="00A9668C" w:rsidR="00A9668C" w:rsidRPr="004869DD">
      <w:pPr>
        <w:jc w:val="both"/>
        <w:rPr>
          <w:rFonts w:hAnsi="Bookman Old Style" w:ascii="Bookman Old Style"/>
          <w:sz w:val="24"/>
          <w:szCs w:val="24"/>
          <w:lang w:val="pl-PL"/>
        </w:rPr>
      </w:pP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lastRenderedPageBreak/>
        <w:t>-</w:t>
      </w:r>
      <w:r w:rsidRPr="004869DD">
        <w:rPr>
          <w:rFonts w:hAnsi="Bookman Old Style" w:ascii="Bookman Old Style"/>
          <w:sz w:val="24"/>
          <w:szCs w:val="24"/>
          <w:lang w:val="pl-PL"/>
        </w:rPr>
        <w:tab/>
        <w:t>13. Suvlasnički dio: 125/10000 ETAŽNO VLASNIŠTVO (E-13), garaža oznake G1 u nivou I kata, površine 15,38 m2, u nacrtu posebnih dijelova označeno tamnožutom bojom.</w:t>
      </w:r>
    </w:p>
    <w:p w:rsidRDefault="00A9668C" w:rsidP="00A9668C" w:rsidR="00A9668C" w:rsidRPr="004869DD">
      <w:pPr>
        <w:jc w:val="both"/>
        <w:rPr>
          <w:rFonts w:hAnsi="Bookman Old Style" w:ascii="Bookman Old Style"/>
          <w:sz w:val="24"/>
          <w:szCs w:val="24"/>
          <w:lang w:val="pl-PL"/>
        </w:rPr>
      </w:pPr>
    </w:p>
    <w:p w:rsidRDefault="00A9668C" w:rsidP="00A9668C" w:rsidR="00A9668C">
      <w:pPr>
        <w:jc w:val="both"/>
        <w:rPr>
          <w:rFonts w:hAnsi="Bookman Old Style" w:ascii="Bookman Old Style"/>
          <w:sz w:val="24"/>
          <w:szCs w:val="24"/>
          <w:lang w:val="pl-PL"/>
        </w:rPr>
      </w:pPr>
      <w:r w:rsidRPr="004869DD">
        <w:rPr>
          <w:rFonts w:hAnsi="Bookman Old Style" w:ascii="Bookman Old Style"/>
          <w:sz w:val="24"/>
          <w:szCs w:val="24"/>
          <w:lang w:val="pl-PL"/>
        </w:rPr>
        <w:t>Na  nekretninama  upisano je razlučno pravo u korist NOVA KREDITNA BANKA MARIBOR D.D., OIB: 58602216763, MARIBOR, ULICA VITA KRAIGHERIJA 4, REPUBLIKA SLOVENIJA, te SG KONZALT J.D.O.O. OIB: 12372925940, Draškovićeva ulica 53, 10 000 Zagreb i REPUBLIKA HRVATSKA- Porezna uprava.</w:t>
      </w:r>
    </w:p>
    <w:p w:rsidRDefault="00A9668C" w:rsidP="00A9668C" w:rsidR="00A9668C">
      <w:pPr>
        <w:jc w:val="both"/>
        <w:rPr>
          <w:rFonts w:hAnsi="Bookman Old Style" w:ascii="Bookman Old Style"/>
          <w:sz w:val="24"/>
          <w:szCs w:val="24"/>
          <w:lang w:val="pl-PL"/>
        </w:rPr>
      </w:pPr>
    </w:p>
    <w:p w:rsidRDefault="00E54CC2" w:rsidP="00A9668C" w:rsidR="00E54CC2">
      <w:pPr>
        <w:jc w:val="both"/>
        <w:rPr>
          <w:rFonts w:hAnsi="Bookman Old Style" w:ascii="Bookman Old Style"/>
          <w:sz w:val="24"/>
          <w:szCs w:val="24"/>
          <w:lang w:val="pl-PL"/>
        </w:rPr>
      </w:pPr>
    </w:p>
    <w:p w:rsidRDefault="00A9668C" w:rsidP="00A9668C" w:rsidR="00A9668C" w:rsidRPr="004638D2">
      <w:pPr>
        <w:pStyle w:val="Tijeloteksta"/>
        <w:rPr>
          <w:b/>
          <w:color w:val="FF0000"/>
          <w:szCs w:val="24"/>
        </w:rPr>
      </w:pPr>
      <w:r>
        <w:rPr>
          <w:b/>
          <w:szCs w:val="24"/>
        </w:rPr>
        <w:t>2.</w:t>
      </w:r>
      <w:r w:rsidRPr="004638D2">
        <w:rPr>
          <w:b/>
          <w:szCs w:val="24"/>
        </w:rPr>
        <w:t>POKRETNINE</w:t>
      </w:r>
    </w:p>
    <w:p w:rsidRDefault="00A9668C" w:rsidP="00A9668C" w:rsidR="00A9668C">
      <w:pPr>
        <w:pStyle w:val="Tijeloteksta"/>
        <w:rPr>
          <w:szCs w:val="24"/>
        </w:rPr>
      </w:pPr>
    </w:p>
    <w:p w:rsidRDefault="00A9668C" w:rsidP="00A9668C" w:rsidR="00A9668C">
      <w:pPr>
        <w:pStyle w:val="Tijeloteksta"/>
        <w:rPr>
          <w:szCs w:val="24"/>
        </w:rPr>
      </w:pPr>
      <w:r>
        <w:rPr>
          <w:szCs w:val="24"/>
        </w:rPr>
        <w:t>Dužnik nema u vlasništvu nikakve pokretne imovine.</w:t>
      </w:r>
    </w:p>
    <w:p w:rsidRDefault="00A9668C" w:rsidP="00A9668C" w:rsidR="00A9668C">
      <w:pPr>
        <w:pStyle w:val="Tijeloteksta"/>
        <w:rPr>
          <w:szCs w:val="24"/>
        </w:rPr>
      </w:pPr>
    </w:p>
    <w:p w:rsidRDefault="00A9668C" w:rsidP="00A9668C" w:rsidR="00A9668C" w:rsidRPr="004638D2">
      <w:pPr>
        <w:pStyle w:val="Tijeloteksta"/>
        <w:rPr>
          <w:szCs w:val="24"/>
        </w:rPr>
      </w:pPr>
      <w:r w:rsidRPr="004638D2">
        <w:rPr>
          <w:szCs w:val="24"/>
        </w:rPr>
        <w:t>Prema Uvjerenju RH Ministarstva unutarnjih poslova, Policijska uprava Zagrebačka, Broj: 511-19-22/4-66-6604/2016 od</w:t>
      </w:r>
      <w:r>
        <w:rPr>
          <w:szCs w:val="24"/>
        </w:rPr>
        <w:t xml:space="preserve"> 19.10.2016. godine  dužnik NIJE</w:t>
      </w:r>
      <w:r w:rsidRPr="004638D2">
        <w:rPr>
          <w:szCs w:val="24"/>
        </w:rPr>
        <w:t xml:space="preserve"> EVIDENTIRAN KAO VLASNIK vozila.</w:t>
      </w:r>
    </w:p>
    <w:p w:rsidRDefault="00A9668C" w:rsidP="00A9668C" w:rsidR="00A9668C">
      <w:pPr>
        <w:pStyle w:val="Tijeloteksta"/>
        <w:rPr>
          <w:szCs w:val="24"/>
        </w:rPr>
      </w:pPr>
    </w:p>
    <w:p w:rsidRDefault="00A9668C" w:rsidP="00A9668C" w:rsidR="00A9668C" w:rsidRPr="004638D2">
      <w:pPr>
        <w:spacing w:after="0"/>
        <w:rPr>
          <w:rFonts w:hAnsi="Bookman Old Style" w:ascii="Bookman Old Style"/>
          <w:sz w:val="24"/>
          <w:szCs w:val="24"/>
          <w:lang w:val="pl-PL"/>
        </w:rPr>
      </w:pPr>
    </w:p>
    <w:p w:rsidRDefault="00A9668C" w:rsidP="00A9668C" w:rsidR="00A9668C">
      <w:pPr>
        <w:spacing w:after="0"/>
        <w:jc w:val="both"/>
        <w:rPr>
          <w:rFonts w:hAnsi="Bookman Old Style" w:ascii="Bookman Old Style"/>
          <w:b/>
          <w:sz w:val="24"/>
          <w:szCs w:val="24"/>
          <w:lang w:val="pl-PL"/>
        </w:rPr>
      </w:pPr>
    </w:p>
    <w:p w:rsidRDefault="00A9668C" w:rsidP="00A9668C" w:rsidR="00A9668C">
      <w:pPr>
        <w:spacing w:after="0"/>
        <w:jc w:val="both"/>
        <w:rPr>
          <w:rFonts w:hAnsi="Bookman Old Style" w:ascii="Bookman Old Style"/>
          <w:b/>
          <w:sz w:val="24"/>
          <w:szCs w:val="24"/>
          <w:lang w:val="pl-PL"/>
        </w:rPr>
      </w:pPr>
    </w:p>
    <w:tbl>
      <w:tblPr>
        <w:tblW w:type="dxa" w:w="9102"/>
        <w:tblInd w:type="dxa" w:w="93"/>
        <w:tblLook w:val="04A0" w:noVBand="1" w:noHBand="0" w:lastColumn="0" w:firstColumn="1" w:lastRow="0" w:firstRow="1"/>
      </w:tblPr>
      <w:tblGrid>
        <w:gridCol w:w="1097"/>
        <w:gridCol w:w="3179"/>
        <w:gridCol w:w="264"/>
        <w:gridCol w:w="264"/>
        <w:gridCol w:w="264"/>
        <w:gridCol w:w="222"/>
        <w:gridCol w:w="3904"/>
      </w:tblGrid>
      <w:tr w:rsidTr="00C80F11" w:rsidR="00C80F11" w:rsidRPr="00C80F11">
        <w:trPr>
          <w:trHeight w:val="255"/>
        </w:trPr>
        <w:tc>
          <w:tcPr>
            <w:tcW w:type="dxa" w:w="9102"/>
            <w:gridSpan w:val="7"/>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sz w:val="20"/>
                <w:szCs w:val="20"/>
                <w:lang w:eastAsia="hr-HR"/>
              </w:rPr>
            </w:pPr>
            <w:r w:rsidRPr="00C80F11">
              <w:rPr>
                <w:rFonts w:cs="Arial" w:eastAsia="Times New Roman" w:hAnsi="Arial" w:ascii="Arial"/>
                <w:sz w:val="20"/>
                <w:szCs w:val="20"/>
                <w:lang w:eastAsia="hr-HR"/>
              </w:rPr>
              <w:t>Nastavno tome dajemo pregled priljeva i odljeva sredstava sa žiro-računa stečajnog dužnika</w:t>
            </w:r>
          </w:p>
        </w:tc>
      </w:tr>
      <w:tr w:rsidTr="00C80F11" w:rsidR="00C80F11" w:rsidRPr="00C80F11">
        <w:trPr>
          <w:trHeight w:val="255"/>
        </w:trPr>
        <w:tc>
          <w:tcPr>
            <w:tcW w:type="dxa" w:w="5074"/>
            <w:gridSpan w:val="5"/>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sz w:val="20"/>
                <w:szCs w:val="20"/>
                <w:lang w:eastAsia="hr-HR"/>
              </w:rPr>
            </w:pPr>
            <w:r w:rsidRPr="00C80F11">
              <w:rPr>
                <w:rFonts w:cs="Arial" w:eastAsia="Times New Roman" w:hAnsi="Arial" w:ascii="Arial"/>
                <w:sz w:val="20"/>
                <w:szCs w:val="20"/>
                <w:lang w:eastAsia="hr-HR"/>
              </w:rPr>
              <w:t>u razdoblju od  25.07.2017.godine do 27.10.2017. godine.</w:t>
            </w:r>
          </w:p>
        </w:tc>
        <w:tc>
          <w:tcPr>
            <w:tcW w:type="dxa" w:w="118"/>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sz w:val="20"/>
                <w:szCs w:val="20"/>
                <w:lang w:eastAsia="hr-HR"/>
              </w:rPr>
            </w:pPr>
          </w:p>
        </w:tc>
        <w:tc>
          <w:tcPr>
            <w:tcW w:type="dxa" w:w="3910"/>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sz w:val="20"/>
                <w:szCs w:val="20"/>
                <w:lang w:eastAsia="hr-HR"/>
              </w:rPr>
            </w:pPr>
          </w:p>
        </w:tc>
      </w:tr>
      <w:tr w:rsidTr="00C80F11" w:rsidR="00C80F11" w:rsidRPr="00C80F11">
        <w:trPr>
          <w:trHeight w:val="255"/>
        </w:trPr>
        <w:tc>
          <w:tcPr>
            <w:tcW w:type="dxa" w:w="1098"/>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sz w:val="20"/>
                <w:szCs w:val="20"/>
                <w:lang w:eastAsia="hr-HR"/>
              </w:rPr>
            </w:pPr>
          </w:p>
        </w:tc>
        <w:tc>
          <w:tcPr>
            <w:tcW w:type="dxa" w:w="3184"/>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sz w:val="20"/>
                <w:szCs w:val="20"/>
                <w:lang w:eastAsia="hr-HR"/>
              </w:rPr>
            </w:pPr>
          </w:p>
        </w:tc>
        <w:tc>
          <w:tcPr>
            <w:tcW w:type="dxa" w:w="264"/>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sz w:val="20"/>
                <w:szCs w:val="20"/>
                <w:lang w:eastAsia="hr-HR"/>
              </w:rPr>
            </w:pPr>
          </w:p>
        </w:tc>
        <w:tc>
          <w:tcPr>
            <w:tcW w:type="dxa" w:w="264"/>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sz w:val="20"/>
                <w:szCs w:val="20"/>
                <w:lang w:eastAsia="hr-HR"/>
              </w:rPr>
            </w:pPr>
          </w:p>
        </w:tc>
        <w:tc>
          <w:tcPr>
            <w:tcW w:type="dxa" w:w="264"/>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sz w:val="20"/>
                <w:szCs w:val="20"/>
                <w:lang w:eastAsia="hr-HR"/>
              </w:rPr>
            </w:pPr>
          </w:p>
        </w:tc>
        <w:tc>
          <w:tcPr>
            <w:tcW w:type="dxa" w:w="118"/>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sz w:val="20"/>
                <w:szCs w:val="20"/>
                <w:lang w:eastAsia="hr-HR"/>
              </w:rPr>
            </w:pPr>
          </w:p>
        </w:tc>
        <w:tc>
          <w:tcPr>
            <w:tcW w:type="dxa" w:w="3910"/>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sz w:val="18"/>
                <w:szCs w:val="18"/>
                <w:lang w:eastAsia="hr-HR"/>
              </w:rPr>
            </w:pPr>
            <w:r w:rsidRPr="00C80F11">
              <w:rPr>
                <w:rFonts w:cs="Arial" w:eastAsia="Times New Roman" w:hAnsi="Arial" w:ascii="Arial"/>
                <w:sz w:val="18"/>
                <w:szCs w:val="18"/>
                <w:lang w:eastAsia="hr-HR"/>
              </w:rPr>
              <w:t>Red. žiro račun</w:t>
            </w:r>
          </w:p>
        </w:tc>
      </w:tr>
      <w:tr w:rsidTr="00C80F11" w:rsidR="00C80F11" w:rsidRPr="00C80F11">
        <w:trPr>
          <w:trHeight w:val="255"/>
        </w:trPr>
        <w:tc>
          <w:tcPr>
            <w:tcW w:type="dxa" w:w="1098"/>
            <w:tcBorders>
              <w:top w:val="nil"/>
              <w:left w:val="nil"/>
              <w:bottom w:val="nil"/>
              <w:right w:val="nil"/>
            </w:tcBorders>
            <w:shd w:fill="auto" w:color="auto" w:val="clear"/>
            <w:noWrap/>
            <w:vAlign w:val="bottom"/>
            <w:hideMark/>
          </w:tcPr>
          <w:p w:rsidRDefault="00C80F11" w:rsidP="00C80F11" w:rsidR="00C80F11" w:rsidRPr="00C80F11">
            <w:pPr>
              <w:spacing w:after="0"/>
              <w:jc w:val="center"/>
              <w:rPr>
                <w:rFonts w:cs="Arial" w:eastAsia="Times New Roman" w:hAnsi="Arial" w:ascii="Arial"/>
                <w:b/>
                <w:bCs/>
                <w:sz w:val="20"/>
                <w:szCs w:val="20"/>
                <w:lang w:eastAsia="hr-HR"/>
              </w:rPr>
            </w:pPr>
            <w:r w:rsidRPr="00C80F11">
              <w:rPr>
                <w:rFonts w:cs="Arial" w:eastAsia="Times New Roman" w:hAnsi="Arial" w:ascii="Arial"/>
                <w:b/>
                <w:bCs/>
                <w:sz w:val="20"/>
                <w:szCs w:val="20"/>
                <w:lang w:eastAsia="hr-HR"/>
              </w:rPr>
              <w:t>1.</w:t>
            </w:r>
          </w:p>
        </w:tc>
        <w:tc>
          <w:tcPr>
            <w:tcW w:type="dxa" w:w="3976"/>
            <w:gridSpan w:val="4"/>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b/>
                <w:bCs/>
                <w:sz w:val="20"/>
                <w:szCs w:val="20"/>
                <w:lang w:eastAsia="hr-HR"/>
              </w:rPr>
            </w:pPr>
            <w:r w:rsidRPr="00C80F11">
              <w:rPr>
                <w:rFonts w:cs="Arial" w:eastAsia="Times New Roman" w:hAnsi="Arial" w:ascii="Arial"/>
                <w:b/>
                <w:bCs/>
                <w:sz w:val="20"/>
                <w:szCs w:val="20"/>
                <w:lang w:eastAsia="hr-HR"/>
              </w:rPr>
              <w:t>STANJE NA RAČUNU NA DAN  25.07.2017. GODINE</w:t>
            </w:r>
          </w:p>
        </w:tc>
        <w:tc>
          <w:tcPr>
            <w:tcW w:type="dxa" w:w="118"/>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b/>
                <w:bCs/>
                <w:sz w:val="20"/>
                <w:szCs w:val="20"/>
                <w:lang w:eastAsia="hr-HR"/>
              </w:rPr>
            </w:pPr>
          </w:p>
        </w:tc>
        <w:tc>
          <w:tcPr>
            <w:tcW w:type="dxa" w:w="3910"/>
            <w:tcBorders>
              <w:top w:val="nil"/>
              <w:left w:val="nil"/>
              <w:bottom w:val="nil"/>
              <w:right w:val="nil"/>
            </w:tcBorders>
            <w:shd w:fill="auto" w:color="auto" w:val="clear"/>
            <w:noWrap/>
            <w:vAlign w:val="bottom"/>
            <w:hideMark/>
          </w:tcPr>
          <w:p w:rsidRDefault="00C80F11" w:rsidP="00C80F11" w:rsidR="00C80F11" w:rsidRPr="00C80F11">
            <w:pPr>
              <w:spacing w:after="0"/>
              <w:jc w:val="right"/>
              <w:rPr>
                <w:rFonts w:cs="Arial" w:eastAsia="Times New Roman" w:hAnsi="Arial" w:ascii="Arial"/>
                <w:b/>
                <w:bCs/>
                <w:sz w:val="20"/>
                <w:szCs w:val="20"/>
                <w:lang w:eastAsia="hr-HR"/>
              </w:rPr>
            </w:pPr>
            <w:r w:rsidRPr="00C80F11">
              <w:rPr>
                <w:rFonts w:cs="Arial" w:eastAsia="Times New Roman" w:hAnsi="Arial" w:ascii="Arial"/>
                <w:b/>
                <w:bCs/>
                <w:sz w:val="20"/>
                <w:szCs w:val="20"/>
                <w:lang w:eastAsia="hr-HR"/>
              </w:rPr>
              <w:t>1.453,20</w:t>
            </w:r>
          </w:p>
        </w:tc>
      </w:tr>
      <w:tr w:rsidTr="00C80F11" w:rsidR="00C80F11" w:rsidRPr="00C80F11">
        <w:trPr>
          <w:trHeight w:val="255"/>
        </w:trPr>
        <w:tc>
          <w:tcPr>
            <w:tcW w:type="dxa" w:w="1098"/>
            <w:tcBorders>
              <w:top w:val="nil"/>
              <w:left w:val="nil"/>
              <w:bottom w:val="nil"/>
              <w:right w:val="nil"/>
            </w:tcBorders>
            <w:shd w:fill="auto" w:color="auto" w:val="clear"/>
            <w:noWrap/>
            <w:vAlign w:val="bottom"/>
            <w:hideMark/>
          </w:tcPr>
          <w:p w:rsidRDefault="00C80F11" w:rsidP="00C80F11" w:rsidR="00C80F11" w:rsidRPr="00C80F11">
            <w:pPr>
              <w:spacing w:after="0"/>
              <w:jc w:val="center"/>
              <w:rPr>
                <w:rFonts w:cs="Arial" w:eastAsia="Times New Roman" w:hAnsi="Arial" w:ascii="Arial"/>
                <w:b/>
                <w:bCs/>
                <w:sz w:val="20"/>
                <w:szCs w:val="20"/>
                <w:lang w:eastAsia="hr-HR"/>
              </w:rPr>
            </w:pPr>
          </w:p>
        </w:tc>
        <w:tc>
          <w:tcPr>
            <w:tcW w:type="dxa" w:w="3448"/>
            <w:gridSpan w:val="2"/>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sz w:val="20"/>
                <w:szCs w:val="20"/>
                <w:lang w:eastAsia="hr-HR"/>
              </w:rPr>
            </w:pPr>
            <w:r w:rsidRPr="00C80F11">
              <w:rPr>
                <w:rFonts w:cs="Arial" w:eastAsia="Times New Roman" w:hAnsi="Arial" w:ascii="Arial"/>
                <w:sz w:val="20"/>
                <w:szCs w:val="20"/>
                <w:lang w:eastAsia="hr-HR"/>
              </w:rPr>
              <w:t>žiro račun</w:t>
            </w:r>
          </w:p>
        </w:tc>
        <w:tc>
          <w:tcPr>
            <w:tcW w:type="dxa" w:w="264"/>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sz w:val="20"/>
                <w:szCs w:val="20"/>
                <w:lang w:eastAsia="hr-HR"/>
              </w:rPr>
            </w:pPr>
          </w:p>
        </w:tc>
        <w:tc>
          <w:tcPr>
            <w:tcW w:type="dxa" w:w="264"/>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b/>
                <w:bCs/>
                <w:sz w:val="20"/>
                <w:szCs w:val="20"/>
                <w:lang w:eastAsia="hr-HR"/>
              </w:rPr>
            </w:pPr>
          </w:p>
        </w:tc>
        <w:tc>
          <w:tcPr>
            <w:tcW w:type="dxa" w:w="118"/>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b/>
                <w:bCs/>
                <w:sz w:val="20"/>
                <w:szCs w:val="20"/>
                <w:lang w:eastAsia="hr-HR"/>
              </w:rPr>
            </w:pPr>
          </w:p>
        </w:tc>
        <w:tc>
          <w:tcPr>
            <w:tcW w:type="dxa" w:w="3910"/>
            <w:tcBorders>
              <w:top w:val="nil"/>
              <w:left w:val="nil"/>
              <w:bottom w:val="nil"/>
              <w:right w:val="nil"/>
            </w:tcBorders>
            <w:shd w:fill="auto" w:color="auto" w:val="clear"/>
            <w:noWrap/>
            <w:vAlign w:val="bottom"/>
            <w:hideMark/>
          </w:tcPr>
          <w:p w:rsidRDefault="00C80F11" w:rsidP="00C80F11" w:rsidR="00C80F11" w:rsidRPr="00C80F11">
            <w:pPr>
              <w:spacing w:after="0"/>
              <w:jc w:val="right"/>
              <w:rPr>
                <w:rFonts w:cs="Arial" w:eastAsia="Times New Roman" w:hAnsi="Arial" w:ascii="Arial"/>
                <w:sz w:val="20"/>
                <w:szCs w:val="20"/>
                <w:lang w:eastAsia="hr-HR"/>
              </w:rPr>
            </w:pPr>
            <w:r w:rsidRPr="00C80F11">
              <w:rPr>
                <w:rFonts w:cs="Arial" w:eastAsia="Times New Roman" w:hAnsi="Arial" w:ascii="Arial"/>
                <w:sz w:val="20"/>
                <w:szCs w:val="20"/>
                <w:lang w:eastAsia="hr-HR"/>
              </w:rPr>
              <w:t>1.124,40</w:t>
            </w:r>
          </w:p>
        </w:tc>
      </w:tr>
      <w:tr w:rsidTr="00C80F11" w:rsidR="00C80F11" w:rsidRPr="00C80F11">
        <w:trPr>
          <w:trHeight w:val="255"/>
        </w:trPr>
        <w:tc>
          <w:tcPr>
            <w:tcW w:type="dxa" w:w="1098"/>
            <w:tcBorders>
              <w:top w:val="nil"/>
              <w:left w:val="nil"/>
              <w:bottom w:val="nil"/>
              <w:right w:val="nil"/>
            </w:tcBorders>
            <w:shd w:fill="auto" w:color="auto" w:val="clear"/>
            <w:noWrap/>
            <w:vAlign w:val="bottom"/>
            <w:hideMark/>
          </w:tcPr>
          <w:p w:rsidRDefault="00C80F11" w:rsidP="00C80F11" w:rsidR="00C80F11" w:rsidRPr="00C80F11">
            <w:pPr>
              <w:spacing w:after="0"/>
              <w:jc w:val="center"/>
              <w:rPr>
                <w:rFonts w:cs="Arial" w:eastAsia="Times New Roman" w:hAnsi="Arial" w:ascii="Arial"/>
                <w:b/>
                <w:bCs/>
                <w:sz w:val="20"/>
                <w:szCs w:val="20"/>
                <w:lang w:eastAsia="hr-HR"/>
              </w:rPr>
            </w:pPr>
          </w:p>
        </w:tc>
        <w:tc>
          <w:tcPr>
            <w:tcW w:type="dxa" w:w="3448"/>
            <w:gridSpan w:val="2"/>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sz w:val="20"/>
                <w:szCs w:val="20"/>
                <w:lang w:eastAsia="hr-HR"/>
              </w:rPr>
            </w:pPr>
            <w:r w:rsidRPr="00C80F11">
              <w:rPr>
                <w:rFonts w:cs="Arial" w:eastAsia="Times New Roman" w:hAnsi="Arial" w:ascii="Arial"/>
                <w:sz w:val="20"/>
                <w:szCs w:val="20"/>
                <w:lang w:eastAsia="hr-HR"/>
              </w:rPr>
              <w:t xml:space="preserve">blagajna </w:t>
            </w:r>
          </w:p>
        </w:tc>
        <w:tc>
          <w:tcPr>
            <w:tcW w:type="dxa" w:w="264"/>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sz w:val="20"/>
                <w:szCs w:val="20"/>
                <w:lang w:eastAsia="hr-HR"/>
              </w:rPr>
            </w:pPr>
          </w:p>
        </w:tc>
        <w:tc>
          <w:tcPr>
            <w:tcW w:type="dxa" w:w="264"/>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b/>
                <w:bCs/>
                <w:sz w:val="20"/>
                <w:szCs w:val="20"/>
                <w:lang w:eastAsia="hr-HR"/>
              </w:rPr>
            </w:pPr>
          </w:p>
        </w:tc>
        <w:tc>
          <w:tcPr>
            <w:tcW w:type="dxa" w:w="118"/>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b/>
                <w:bCs/>
                <w:sz w:val="20"/>
                <w:szCs w:val="20"/>
                <w:lang w:eastAsia="hr-HR"/>
              </w:rPr>
            </w:pPr>
          </w:p>
        </w:tc>
        <w:tc>
          <w:tcPr>
            <w:tcW w:type="dxa" w:w="3910"/>
            <w:tcBorders>
              <w:top w:val="nil"/>
              <w:left w:val="nil"/>
              <w:bottom w:val="nil"/>
              <w:right w:val="nil"/>
            </w:tcBorders>
            <w:shd w:fill="auto" w:color="auto" w:val="clear"/>
            <w:noWrap/>
            <w:vAlign w:val="bottom"/>
            <w:hideMark/>
          </w:tcPr>
          <w:p w:rsidRDefault="00C80F11" w:rsidP="00C80F11" w:rsidR="00C80F11" w:rsidRPr="00C80F11">
            <w:pPr>
              <w:spacing w:after="0"/>
              <w:jc w:val="right"/>
              <w:rPr>
                <w:rFonts w:cs="Arial" w:eastAsia="Times New Roman" w:hAnsi="Arial" w:ascii="Arial"/>
                <w:sz w:val="20"/>
                <w:szCs w:val="20"/>
                <w:lang w:eastAsia="hr-HR"/>
              </w:rPr>
            </w:pPr>
            <w:r w:rsidRPr="00C80F11">
              <w:rPr>
                <w:rFonts w:cs="Arial" w:eastAsia="Times New Roman" w:hAnsi="Arial" w:ascii="Arial"/>
                <w:sz w:val="20"/>
                <w:szCs w:val="20"/>
                <w:lang w:eastAsia="hr-HR"/>
              </w:rPr>
              <w:t>328,80</w:t>
            </w:r>
          </w:p>
        </w:tc>
      </w:tr>
      <w:tr w:rsidTr="00C80F11" w:rsidR="00C80F11" w:rsidRPr="00C80F11">
        <w:trPr>
          <w:trHeight w:val="255"/>
        </w:trPr>
        <w:tc>
          <w:tcPr>
            <w:tcW w:type="dxa" w:w="1098"/>
            <w:tcBorders>
              <w:top w:val="nil"/>
              <w:left w:val="nil"/>
              <w:bottom w:val="nil"/>
              <w:right w:val="nil"/>
            </w:tcBorders>
            <w:shd w:fill="auto" w:color="auto" w:val="clear"/>
            <w:noWrap/>
            <w:vAlign w:val="bottom"/>
            <w:hideMark/>
          </w:tcPr>
          <w:p w:rsidRDefault="00C80F11" w:rsidP="00C80F11" w:rsidR="00C80F11" w:rsidRPr="00C80F11">
            <w:pPr>
              <w:spacing w:after="0"/>
              <w:jc w:val="center"/>
              <w:rPr>
                <w:rFonts w:cs="Arial" w:eastAsia="Times New Roman" w:hAnsi="Arial" w:ascii="Arial"/>
                <w:b/>
                <w:bCs/>
                <w:sz w:val="20"/>
                <w:szCs w:val="20"/>
                <w:lang w:eastAsia="hr-HR"/>
              </w:rPr>
            </w:pPr>
            <w:r w:rsidRPr="00C80F11">
              <w:rPr>
                <w:rFonts w:cs="Arial" w:eastAsia="Times New Roman" w:hAnsi="Arial" w:ascii="Arial"/>
                <w:b/>
                <w:bCs/>
                <w:sz w:val="20"/>
                <w:szCs w:val="20"/>
                <w:lang w:eastAsia="hr-HR"/>
              </w:rPr>
              <w:t>2.</w:t>
            </w:r>
          </w:p>
        </w:tc>
        <w:tc>
          <w:tcPr>
            <w:tcW w:type="dxa" w:w="3712"/>
            <w:gridSpan w:val="3"/>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b/>
                <w:bCs/>
                <w:sz w:val="20"/>
                <w:szCs w:val="20"/>
                <w:lang w:eastAsia="hr-HR"/>
              </w:rPr>
            </w:pPr>
            <w:r w:rsidRPr="00C80F11">
              <w:rPr>
                <w:rFonts w:cs="Arial" w:eastAsia="Times New Roman" w:hAnsi="Arial" w:ascii="Arial"/>
                <w:b/>
                <w:bCs/>
                <w:sz w:val="20"/>
                <w:szCs w:val="20"/>
                <w:lang w:eastAsia="hr-HR"/>
              </w:rPr>
              <w:t xml:space="preserve">PRILJEV SREDSTAVA </w:t>
            </w:r>
          </w:p>
        </w:tc>
        <w:tc>
          <w:tcPr>
            <w:tcW w:type="dxa" w:w="264"/>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b/>
                <w:bCs/>
                <w:sz w:val="20"/>
                <w:szCs w:val="20"/>
                <w:lang w:eastAsia="hr-HR"/>
              </w:rPr>
            </w:pPr>
          </w:p>
        </w:tc>
        <w:tc>
          <w:tcPr>
            <w:tcW w:type="dxa" w:w="118"/>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b/>
                <w:bCs/>
                <w:sz w:val="20"/>
                <w:szCs w:val="20"/>
                <w:lang w:eastAsia="hr-HR"/>
              </w:rPr>
            </w:pPr>
          </w:p>
        </w:tc>
        <w:tc>
          <w:tcPr>
            <w:tcW w:type="dxa" w:w="3910"/>
            <w:tcBorders>
              <w:top w:val="nil"/>
              <w:left w:val="nil"/>
              <w:bottom w:val="nil"/>
              <w:right w:val="nil"/>
            </w:tcBorders>
            <w:shd w:fill="auto" w:color="auto" w:val="clear"/>
            <w:noWrap/>
            <w:vAlign w:val="bottom"/>
            <w:hideMark/>
          </w:tcPr>
          <w:p w:rsidRDefault="00C80F11" w:rsidP="00C80F11" w:rsidR="00C80F11" w:rsidRPr="00C80F11">
            <w:pPr>
              <w:spacing w:after="0"/>
              <w:jc w:val="right"/>
              <w:rPr>
                <w:rFonts w:cs="Arial" w:eastAsia="Times New Roman" w:hAnsi="Arial" w:ascii="Arial"/>
                <w:b/>
                <w:bCs/>
                <w:sz w:val="20"/>
                <w:szCs w:val="20"/>
                <w:lang w:eastAsia="hr-HR"/>
              </w:rPr>
            </w:pPr>
            <w:r w:rsidRPr="00C80F11">
              <w:rPr>
                <w:rFonts w:cs="Arial" w:eastAsia="Times New Roman" w:hAnsi="Arial" w:ascii="Arial"/>
                <w:b/>
                <w:bCs/>
                <w:sz w:val="20"/>
                <w:szCs w:val="20"/>
                <w:lang w:eastAsia="hr-HR"/>
              </w:rPr>
              <w:t>6.750,60</w:t>
            </w:r>
          </w:p>
        </w:tc>
      </w:tr>
      <w:tr w:rsidTr="00C80F11" w:rsidR="00C80F11" w:rsidRPr="00C80F11">
        <w:trPr>
          <w:trHeight w:val="255"/>
        </w:trPr>
        <w:tc>
          <w:tcPr>
            <w:tcW w:type="dxa" w:w="1098"/>
            <w:tcBorders>
              <w:top w:val="nil"/>
              <w:left w:val="nil"/>
              <w:bottom w:val="nil"/>
              <w:right w:val="nil"/>
            </w:tcBorders>
            <w:shd w:fill="auto" w:color="auto" w:val="clear"/>
            <w:noWrap/>
            <w:vAlign w:val="bottom"/>
            <w:hideMark/>
          </w:tcPr>
          <w:p w:rsidRDefault="00C80F11" w:rsidP="00C80F11" w:rsidR="00C80F11" w:rsidRPr="00C80F11">
            <w:pPr>
              <w:spacing w:after="0"/>
              <w:jc w:val="center"/>
              <w:rPr>
                <w:rFonts w:cs="Arial" w:eastAsia="Times New Roman" w:hAnsi="Arial" w:ascii="Arial"/>
                <w:b/>
                <w:bCs/>
                <w:sz w:val="20"/>
                <w:szCs w:val="20"/>
                <w:lang w:eastAsia="hr-HR"/>
              </w:rPr>
            </w:pPr>
          </w:p>
        </w:tc>
        <w:tc>
          <w:tcPr>
            <w:tcW w:type="dxa" w:w="3448"/>
            <w:gridSpan w:val="2"/>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sz w:val="20"/>
                <w:szCs w:val="20"/>
                <w:lang w:eastAsia="hr-HR"/>
              </w:rPr>
            </w:pPr>
            <w:r w:rsidRPr="00C80F11">
              <w:rPr>
                <w:rFonts w:cs="Arial" w:eastAsia="Times New Roman" w:hAnsi="Arial" w:ascii="Arial"/>
                <w:sz w:val="20"/>
                <w:szCs w:val="20"/>
                <w:lang w:eastAsia="hr-HR"/>
              </w:rPr>
              <w:t>HPB-kamate</w:t>
            </w:r>
          </w:p>
        </w:tc>
        <w:tc>
          <w:tcPr>
            <w:tcW w:type="dxa" w:w="264"/>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sz w:val="20"/>
                <w:szCs w:val="20"/>
                <w:lang w:eastAsia="hr-HR"/>
              </w:rPr>
            </w:pPr>
          </w:p>
        </w:tc>
        <w:tc>
          <w:tcPr>
            <w:tcW w:type="dxa" w:w="264"/>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sz w:val="20"/>
                <w:szCs w:val="20"/>
                <w:lang w:eastAsia="hr-HR"/>
              </w:rPr>
            </w:pPr>
          </w:p>
        </w:tc>
        <w:tc>
          <w:tcPr>
            <w:tcW w:type="dxa" w:w="118"/>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sz w:val="20"/>
                <w:szCs w:val="20"/>
                <w:lang w:eastAsia="hr-HR"/>
              </w:rPr>
            </w:pPr>
          </w:p>
        </w:tc>
        <w:tc>
          <w:tcPr>
            <w:tcW w:type="dxa" w:w="3910"/>
            <w:tcBorders>
              <w:top w:val="nil"/>
              <w:left w:val="nil"/>
              <w:bottom w:val="nil"/>
              <w:right w:val="nil"/>
            </w:tcBorders>
            <w:shd w:fill="auto" w:color="auto" w:val="clear"/>
            <w:noWrap/>
            <w:vAlign w:val="bottom"/>
            <w:hideMark/>
          </w:tcPr>
          <w:p w:rsidRDefault="00C80F11" w:rsidP="00C80F11" w:rsidR="00C80F11" w:rsidRPr="00C80F11">
            <w:pPr>
              <w:spacing w:after="0"/>
              <w:jc w:val="right"/>
              <w:rPr>
                <w:rFonts w:cs="Arial" w:eastAsia="Times New Roman" w:hAnsi="Arial" w:ascii="Arial"/>
                <w:sz w:val="20"/>
                <w:szCs w:val="20"/>
                <w:lang w:eastAsia="hr-HR"/>
              </w:rPr>
            </w:pPr>
            <w:r w:rsidRPr="00C80F11">
              <w:rPr>
                <w:rFonts w:cs="Arial" w:eastAsia="Times New Roman" w:hAnsi="Arial" w:ascii="Arial"/>
                <w:sz w:val="20"/>
                <w:szCs w:val="20"/>
                <w:lang w:eastAsia="hr-HR"/>
              </w:rPr>
              <w:t>0,60</w:t>
            </w:r>
          </w:p>
        </w:tc>
      </w:tr>
      <w:tr w:rsidTr="00C80F11" w:rsidR="00C80F11" w:rsidRPr="00C80F11">
        <w:trPr>
          <w:trHeight w:val="255"/>
        </w:trPr>
        <w:tc>
          <w:tcPr>
            <w:tcW w:type="dxa" w:w="1098"/>
            <w:tcBorders>
              <w:top w:val="nil"/>
              <w:left w:val="nil"/>
              <w:bottom w:val="nil"/>
              <w:right w:val="nil"/>
            </w:tcBorders>
            <w:shd w:fill="auto" w:color="auto" w:val="clear"/>
            <w:noWrap/>
            <w:vAlign w:val="bottom"/>
            <w:hideMark/>
          </w:tcPr>
          <w:p w:rsidRDefault="00C80F11" w:rsidP="00C80F11" w:rsidR="00C80F11" w:rsidRPr="00C80F11">
            <w:pPr>
              <w:spacing w:after="0"/>
              <w:jc w:val="center"/>
              <w:rPr>
                <w:rFonts w:cs="Arial" w:eastAsia="Times New Roman" w:hAnsi="Arial" w:ascii="Arial"/>
                <w:b/>
                <w:bCs/>
                <w:sz w:val="20"/>
                <w:szCs w:val="20"/>
                <w:lang w:eastAsia="hr-HR"/>
              </w:rPr>
            </w:pPr>
          </w:p>
        </w:tc>
        <w:tc>
          <w:tcPr>
            <w:tcW w:type="dxa" w:w="3712"/>
            <w:gridSpan w:val="3"/>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sz w:val="20"/>
                <w:szCs w:val="20"/>
                <w:lang w:eastAsia="hr-HR"/>
              </w:rPr>
            </w:pPr>
            <w:r w:rsidRPr="00C80F11">
              <w:rPr>
                <w:rFonts w:cs="Arial" w:eastAsia="Times New Roman" w:hAnsi="Arial" w:ascii="Arial"/>
                <w:sz w:val="20"/>
                <w:szCs w:val="20"/>
                <w:lang w:eastAsia="hr-HR"/>
              </w:rPr>
              <w:t>Priliv od najma imovine</w:t>
            </w:r>
          </w:p>
        </w:tc>
        <w:tc>
          <w:tcPr>
            <w:tcW w:type="dxa" w:w="264"/>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sz w:val="20"/>
                <w:szCs w:val="20"/>
                <w:lang w:eastAsia="hr-HR"/>
              </w:rPr>
            </w:pPr>
          </w:p>
        </w:tc>
        <w:tc>
          <w:tcPr>
            <w:tcW w:type="dxa" w:w="118"/>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sz w:val="20"/>
                <w:szCs w:val="20"/>
                <w:lang w:eastAsia="hr-HR"/>
              </w:rPr>
            </w:pPr>
          </w:p>
        </w:tc>
        <w:tc>
          <w:tcPr>
            <w:tcW w:type="dxa" w:w="3910"/>
            <w:tcBorders>
              <w:top w:val="nil"/>
              <w:left w:val="nil"/>
              <w:bottom w:val="nil"/>
              <w:right w:val="nil"/>
            </w:tcBorders>
            <w:shd w:fill="auto" w:color="auto" w:val="clear"/>
            <w:noWrap/>
            <w:vAlign w:val="bottom"/>
            <w:hideMark/>
          </w:tcPr>
          <w:p w:rsidRDefault="00C80F11" w:rsidP="00C80F11" w:rsidR="00C80F11" w:rsidRPr="00C80F11">
            <w:pPr>
              <w:spacing w:after="0"/>
              <w:jc w:val="right"/>
              <w:rPr>
                <w:rFonts w:cs="Arial" w:eastAsia="Times New Roman" w:hAnsi="Arial" w:ascii="Arial"/>
                <w:sz w:val="20"/>
                <w:szCs w:val="20"/>
                <w:lang w:eastAsia="hr-HR"/>
              </w:rPr>
            </w:pPr>
            <w:r w:rsidRPr="00C80F11">
              <w:rPr>
                <w:rFonts w:cs="Arial" w:eastAsia="Times New Roman" w:hAnsi="Arial" w:ascii="Arial"/>
                <w:sz w:val="20"/>
                <w:szCs w:val="20"/>
                <w:lang w:eastAsia="hr-HR"/>
              </w:rPr>
              <w:t>6.750,00</w:t>
            </w:r>
          </w:p>
        </w:tc>
      </w:tr>
      <w:tr w:rsidTr="00C80F11" w:rsidR="00C80F11" w:rsidRPr="00C80F11">
        <w:trPr>
          <w:trHeight w:val="255"/>
        </w:trPr>
        <w:tc>
          <w:tcPr>
            <w:tcW w:type="dxa" w:w="1098"/>
            <w:tcBorders>
              <w:top w:val="nil"/>
              <w:left w:val="nil"/>
              <w:bottom w:val="nil"/>
              <w:right w:val="nil"/>
            </w:tcBorders>
            <w:shd w:fill="auto" w:color="auto" w:val="clear"/>
            <w:noWrap/>
            <w:vAlign w:val="bottom"/>
            <w:hideMark/>
          </w:tcPr>
          <w:p w:rsidRDefault="00C80F11" w:rsidP="00C80F11" w:rsidR="00C80F11" w:rsidRPr="00C80F11">
            <w:pPr>
              <w:spacing w:after="0"/>
              <w:jc w:val="center"/>
              <w:rPr>
                <w:rFonts w:cs="Arial" w:eastAsia="Times New Roman" w:hAnsi="Arial" w:ascii="Arial"/>
                <w:b/>
                <w:bCs/>
                <w:sz w:val="20"/>
                <w:szCs w:val="20"/>
                <w:lang w:eastAsia="hr-HR"/>
              </w:rPr>
            </w:pPr>
          </w:p>
        </w:tc>
        <w:tc>
          <w:tcPr>
            <w:tcW w:type="dxa" w:w="3712"/>
            <w:gridSpan w:val="3"/>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sz w:val="20"/>
                <w:szCs w:val="20"/>
                <w:lang w:eastAsia="hr-HR"/>
              </w:rPr>
            </w:pPr>
            <w:r w:rsidRPr="00C80F11">
              <w:rPr>
                <w:rFonts w:cs="Arial" w:eastAsia="Times New Roman" w:hAnsi="Arial" w:ascii="Arial"/>
                <w:sz w:val="20"/>
                <w:szCs w:val="20"/>
                <w:lang w:eastAsia="hr-HR"/>
              </w:rPr>
              <w:t>Povrat od pozajmica</w:t>
            </w:r>
          </w:p>
        </w:tc>
        <w:tc>
          <w:tcPr>
            <w:tcW w:type="dxa" w:w="264"/>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sz w:val="20"/>
                <w:szCs w:val="20"/>
                <w:lang w:eastAsia="hr-HR"/>
              </w:rPr>
            </w:pPr>
          </w:p>
        </w:tc>
        <w:tc>
          <w:tcPr>
            <w:tcW w:type="dxa" w:w="118"/>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sz w:val="20"/>
                <w:szCs w:val="20"/>
                <w:lang w:eastAsia="hr-HR"/>
              </w:rPr>
            </w:pPr>
          </w:p>
        </w:tc>
        <w:tc>
          <w:tcPr>
            <w:tcW w:type="dxa" w:w="3910"/>
            <w:tcBorders>
              <w:top w:val="nil"/>
              <w:left w:val="nil"/>
              <w:bottom w:val="nil"/>
              <w:right w:val="nil"/>
            </w:tcBorders>
            <w:shd w:fill="auto" w:color="auto" w:val="clear"/>
            <w:noWrap/>
            <w:vAlign w:val="bottom"/>
            <w:hideMark/>
          </w:tcPr>
          <w:p w:rsidRDefault="00C80F11" w:rsidP="00C80F11" w:rsidR="00C80F11" w:rsidRPr="00C80F11">
            <w:pPr>
              <w:spacing w:after="0"/>
              <w:jc w:val="right"/>
              <w:rPr>
                <w:rFonts w:cs="Arial" w:eastAsia="Times New Roman" w:hAnsi="Arial" w:ascii="Arial"/>
                <w:sz w:val="20"/>
                <w:szCs w:val="20"/>
                <w:lang w:eastAsia="hr-HR"/>
              </w:rPr>
            </w:pPr>
            <w:r w:rsidRPr="00C80F11">
              <w:rPr>
                <w:rFonts w:cs="Arial" w:eastAsia="Times New Roman" w:hAnsi="Arial" w:ascii="Arial"/>
                <w:sz w:val="20"/>
                <w:szCs w:val="20"/>
                <w:lang w:eastAsia="hr-HR"/>
              </w:rPr>
              <w:t>0,00</w:t>
            </w:r>
          </w:p>
        </w:tc>
      </w:tr>
      <w:tr w:rsidTr="00C80F11" w:rsidR="00C80F11" w:rsidRPr="00C80F11">
        <w:trPr>
          <w:trHeight w:val="255"/>
        </w:trPr>
        <w:tc>
          <w:tcPr>
            <w:tcW w:type="dxa" w:w="1098"/>
            <w:tcBorders>
              <w:top w:val="nil"/>
              <w:left w:val="nil"/>
              <w:bottom w:val="nil"/>
              <w:right w:val="nil"/>
            </w:tcBorders>
            <w:shd w:fill="auto" w:color="auto" w:val="clear"/>
            <w:noWrap/>
            <w:vAlign w:val="bottom"/>
            <w:hideMark/>
          </w:tcPr>
          <w:p w:rsidRDefault="00C80F11" w:rsidP="00C80F11" w:rsidR="00C80F11" w:rsidRPr="00C80F11">
            <w:pPr>
              <w:spacing w:after="0"/>
              <w:jc w:val="center"/>
              <w:rPr>
                <w:rFonts w:cs="Arial" w:eastAsia="Times New Roman" w:hAnsi="Arial" w:ascii="Arial"/>
                <w:b/>
                <w:bCs/>
                <w:sz w:val="20"/>
                <w:szCs w:val="20"/>
                <w:lang w:eastAsia="hr-HR"/>
              </w:rPr>
            </w:pPr>
          </w:p>
        </w:tc>
        <w:tc>
          <w:tcPr>
            <w:tcW w:type="dxa" w:w="3712"/>
            <w:gridSpan w:val="3"/>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sz w:val="20"/>
                <w:szCs w:val="20"/>
                <w:lang w:eastAsia="hr-HR"/>
              </w:rPr>
            </w:pPr>
            <w:r w:rsidRPr="00C80F11">
              <w:rPr>
                <w:rFonts w:cs="Arial" w:eastAsia="Times New Roman" w:hAnsi="Arial" w:ascii="Arial"/>
                <w:sz w:val="20"/>
                <w:szCs w:val="20"/>
                <w:lang w:eastAsia="hr-HR"/>
              </w:rPr>
              <w:t>Priliv od kupaca prije stečaja</w:t>
            </w:r>
          </w:p>
        </w:tc>
        <w:tc>
          <w:tcPr>
            <w:tcW w:type="dxa" w:w="264"/>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sz w:val="20"/>
                <w:szCs w:val="20"/>
                <w:lang w:eastAsia="hr-HR"/>
              </w:rPr>
            </w:pPr>
          </w:p>
        </w:tc>
        <w:tc>
          <w:tcPr>
            <w:tcW w:type="dxa" w:w="118"/>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sz w:val="20"/>
                <w:szCs w:val="20"/>
                <w:lang w:eastAsia="hr-HR"/>
              </w:rPr>
            </w:pPr>
          </w:p>
        </w:tc>
        <w:tc>
          <w:tcPr>
            <w:tcW w:type="dxa" w:w="3910"/>
            <w:tcBorders>
              <w:top w:val="nil"/>
              <w:left w:val="nil"/>
              <w:bottom w:val="nil"/>
              <w:right w:val="nil"/>
            </w:tcBorders>
            <w:shd w:fill="auto" w:color="auto" w:val="clear"/>
            <w:noWrap/>
            <w:vAlign w:val="bottom"/>
            <w:hideMark/>
          </w:tcPr>
          <w:p w:rsidRDefault="00C80F11" w:rsidP="00C80F11" w:rsidR="00C80F11" w:rsidRPr="00C80F11">
            <w:pPr>
              <w:spacing w:after="0"/>
              <w:jc w:val="right"/>
              <w:rPr>
                <w:rFonts w:cs="Arial" w:eastAsia="Times New Roman" w:hAnsi="Arial" w:ascii="Arial"/>
                <w:sz w:val="20"/>
                <w:szCs w:val="20"/>
                <w:lang w:eastAsia="hr-HR"/>
              </w:rPr>
            </w:pPr>
            <w:r w:rsidRPr="00C80F11">
              <w:rPr>
                <w:rFonts w:cs="Arial" w:eastAsia="Times New Roman" w:hAnsi="Arial" w:ascii="Arial"/>
                <w:sz w:val="20"/>
                <w:szCs w:val="20"/>
                <w:lang w:eastAsia="hr-HR"/>
              </w:rPr>
              <w:t>0,00</w:t>
            </w:r>
          </w:p>
        </w:tc>
      </w:tr>
      <w:tr w:rsidTr="00C80F11" w:rsidR="00C80F11" w:rsidRPr="00C80F11">
        <w:trPr>
          <w:trHeight w:val="255"/>
        </w:trPr>
        <w:tc>
          <w:tcPr>
            <w:tcW w:type="dxa" w:w="1098"/>
            <w:tcBorders>
              <w:top w:val="nil"/>
              <w:left w:val="nil"/>
              <w:bottom w:val="nil"/>
              <w:right w:val="nil"/>
            </w:tcBorders>
            <w:shd w:fill="auto" w:color="auto" w:val="clear"/>
            <w:noWrap/>
            <w:vAlign w:val="bottom"/>
            <w:hideMark/>
          </w:tcPr>
          <w:p w:rsidRDefault="00C80F11" w:rsidP="00C80F11" w:rsidR="00C80F11" w:rsidRPr="00C80F11">
            <w:pPr>
              <w:spacing w:after="0"/>
              <w:jc w:val="center"/>
              <w:rPr>
                <w:rFonts w:cs="Arial" w:eastAsia="Times New Roman" w:hAnsi="Arial" w:ascii="Arial"/>
                <w:b/>
                <w:bCs/>
                <w:sz w:val="20"/>
                <w:szCs w:val="20"/>
                <w:lang w:eastAsia="hr-HR"/>
              </w:rPr>
            </w:pPr>
          </w:p>
        </w:tc>
        <w:tc>
          <w:tcPr>
            <w:tcW w:type="dxa" w:w="3184"/>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sz w:val="20"/>
                <w:szCs w:val="20"/>
                <w:lang w:eastAsia="hr-HR"/>
              </w:rPr>
            </w:pPr>
          </w:p>
        </w:tc>
        <w:tc>
          <w:tcPr>
            <w:tcW w:type="dxa" w:w="264"/>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sz w:val="20"/>
                <w:szCs w:val="20"/>
                <w:lang w:eastAsia="hr-HR"/>
              </w:rPr>
            </w:pPr>
          </w:p>
        </w:tc>
        <w:tc>
          <w:tcPr>
            <w:tcW w:type="dxa" w:w="264"/>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sz w:val="20"/>
                <w:szCs w:val="20"/>
                <w:lang w:eastAsia="hr-HR"/>
              </w:rPr>
            </w:pPr>
          </w:p>
        </w:tc>
        <w:tc>
          <w:tcPr>
            <w:tcW w:type="dxa" w:w="264"/>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sz w:val="20"/>
                <w:szCs w:val="20"/>
                <w:lang w:eastAsia="hr-HR"/>
              </w:rPr>
            </w:pPr>
          </w:p>
        </w:tc>
        <w:tc>
          <w:tcPr>
            <w:tcW w:type="dxa" w:w="118"/>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sz w:val="20"/>
                <w:szCs w:val="20"/>
                <w:lang w:eastAsia="hr-HR"/>
              </w:rPr>
            </w:pPr>
          </w:p>
        </w:tc>
        <w:tc>
          <w:tcPr>
            <w:tcW w:type="dxa" w:w="3910"/>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sz w:val="20"/>
                <w:szCs w:val="20"/>
                <w:lang w:eastAsia="hr-HR"/>
              </w:rPr>
            </w:pPr>
          </w:p>
        </w:tc>
      </w:tr>
      <w:tr w:rsidTr="00C80F11" w:rsidR="00C80F11" w:rsidRPr="00C80F11">
        <w:trPr>
          <w:trHeight w:val="255"/>
        </w:trPr>
        <w:tc>
          <w:tcPr>
            <w:tcW w:type="dxa" w:w="1098"/>
            <w:tcBorders>
              <w:top w:val="nil"/>
              <w:left w:val="nil"/>
              <w:bottom w:val="nil"/>
              <w:right w:val="nil"/>
            </w:tcBorders>
            <w:shd w:fill="auto" w:color="auto" w:val="clear"/>
            <w:noWrap/>
            <w:vAlign w:val="bottom"/>
            <w:hideMark/>
          </w:tcPr>
          <w:p w:rsidRDefault="00C80F11" w:rsidP="00C80F11" w:rsidR="00C80F11" w:rsidRPr="00C80F11">
            <w:pPr>
              <w:spacing w:after="0"/>
              <w:jc w:val="center"/>
              <w:rPr>
                <w:rFonts w:cs="Arial" w:eastAsia="Times New Roman" w:hAnsi="Arial" w:ascii="Arial"/>
                <w:b/>
                <w:bCs/>
                <w:sz w:val="20"/>
                <w:szCs w:val="20"/>
                <w:lang w:eastAsia="hr-HR"/>
              </w:rPr>
            </w:pPr>
            <w:r w:rsidRPr="00C80F11">
              <w:rPr>
                <w:rFonts w:cs="Arial" w:eastAsia="Times New Roman" w:hAnsi="Arial" w:ascii="Arial"/>
                <w:b/>
                <w:bCs/>
                <w:sz w:val="20"/>
                <w:szCs w:val="20"/>
                <w:lang w:eastAsia="hr-HR"/>
              </w:rPr>
              <w:t>3.</w:t>
            </w:r>
          </w:p>
        </w:tc>
        <w:tc>
          <w:tcPr>
            <w:tcW w:type="dxa" w:w="3712"/>
            <w:gridSpan w:val="3"/>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b/>
                <w:bCs/>
                <w:sz w:val="20"/>
                <w:szCs w:val="20"/>
                <w:lang w:eastAsia="hr-HR"/>
              </w:rPr>
            </w:pPr>
            <w:r w:rsidRPr="00C80F11">
              <w:rPr>
                <w:rFonts w:cs="Arial" w:eastAsia="Times New Roman" w:hAnsi="Arial" w:ascii="Arial"/>
                <w:b/>
                <w:bCs/>
                <w:sz w:val="20"/>
                <w:szCs w:val="20"/>
                <w:lang w:eastAsia="hr-HR"/>
              </w:rPr>
              <w:t>KONTROLNI ZBROJ (1+2)</w:t>
            </w:r>
          </w:p>
        </w:tc>
        <w:tc>
          <w:tcPr>
            <w:tcW w:type="dxa" w:w="264"/>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b/>
                <w:bCs/>
                <w:sz w:val="20"/>
                <w:szCs w:val="20"/>
                <w:lang w:eastAsia="hr-HR"/>
              </w:rPr>
            </w:pPr>
          </w:p>
        </w:tc>
        <w:tc>
          <w:tcPr>
            <w:tcW w:type="dxa" w:w="118"/>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b/>
                <w:bCs/>
                <w:sz w:val="20"/>
                <w:szCs w:val="20"/>
                <w:lang w:eastAsia="hr-HR"/>
              </w:rPr>
            </w:pPr>
          </w:p>
        </w:tc>
        <w:tc>
          <w:tcPr>
            <w:tcW w:type="dxa" w:w="3910"/>
            <w:tcBorders>
              <w:top w:val="nil"/>
              <w:left w:val="nil"/>
              <w:bottom w:val="nil"/>
              <w:right w:val="nil"/>
            </w:tcBorders>
            <w:shd w:fill="auto" w:color="auto" w:val="clear"/>
            <w:noWrap/>
            <w:vAlign w:val="bottom"/>
            <w:hideMark/>
          </w:tcPr>
          <w:p w:rsidRDefault="00C80F11" w:rsidP="00C80F11" w:rsidR="00C80F11" w:rsidRPr="00C80F11">
            <w:pPr>
              <w:spacing w:after="0"/>
              <w:jc w:val="right"/>
              <w:rPr>
                <w:rFonts w:cs="Arial" w:eastAsia="Times New Roman" w:hAnsi="Arial" w:ascii="Arial"/>
                <w:b/>
                <w:bCs/>
                <w:sz w:val="20"/>
                <w:szCs w:val="20"/>
                <w:lang w:eastAsia="hr-HR"/>
              </w:rPr>
            </w:pPr>
            <w:r w:rsidRPr="00C80F11">
              <w:rPr>
                <w:rFonts w:cs="Arial" w:eastAsia="Times New Roman" w:hAnsi="Arial" w:ascii="Arial"/>
                <w:b/>
                <w:bCs/>
                <w:sz w:val="20"/>
                <w:szCs w:val="20"/>
                <w:lang w:eastAsia="hr-HR"/>
              </w:rPr>
              <w:t>8.203,80</w:t>
            </w:r>
          </w:p>
        </w:tc>
      </w:tr>
      <w:tr w:rsidTr="00C80F11" w:rsidR="00C80F11" w:rsidRPr="00C80F11">
        <w:trPr>
          <w:trHeight w:val="255"/>
        </w:trPr>
        <w:tc>
          <w:tcPr>
            <w:tcW w:type="dxa" w:w="1098"/>
            <w:tcBorders>
              <w:top w:val="nil"/>
              <w:left w:val="nil"/>
              <w:bottom w:val="nil"/>
              <w:right w:val="nil"/>
            </w:tcBorders>
            <w:shd w:fill="auto" w:color="auto" w:val="clear"/>
            <w:noWrap/>
            <w:vAlign w:val="bottom"/>
            <w:hideMark/>
          </w:tcPr>
          <w:p w:rsidRDefault="00C80F11" w:rsidP="00C80F11" w:rsidR="00C80F11" w:rsidRPr="00C80F11">
            <w:pPr>
              <w:spacing w:after="0"/>
              <w:jc w:val="center"/>
              <w:rPr>
                <w:rFonts w:cs="Arial" w:eastAsia="Times New Roman" w:hAnsi="Arial" w:ascii="Arial"/>
                <w:b/>
                <w:bCs/>
                <w:sz w:val="20"/>
                <w:szCs w:val="20"/>
                <w:lang w:eastAsia="hr-HR"/>
              </w:rPr>
            </w:pPr>
          </w:p>
        </w:tc>
        <w:tc>
          <w:tcPr>
            <w:tcW w:type="dxa" w:w="3184"/>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sz w:val="20"/>
                <w:szCs w:val="20"/>
                <w:lang w:eastAsia="hr-HR"/>
              </w:rPr>
            </w:pPr>
          </w:p>
        </w:tc>
        <w:tc>
          <w:tcPr>
            <w:tcW w:type="dxa" w:w="264"/>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sz w:val="20"/>
                <w:szCs w:val="20"/>
                <w:lang w:eastAsia="hr-HR"/>
              </w:rPr>
            </w:pPr>
          </w:p>
        </w:tc>
        <w:tc>
          <w:tcPr>
            <w:tcW w:type="dxa" w:w="264"/>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sz w:val="20"/>
                <w:szCs w:val="20"/>
                <w:lang w:eastAsia="hr-HR"/>
              </w:rPr>
            </w:pPr>
          </w:p>
        </w:tc>
        <w:tc>
          <w:tcPr>
            <w:tcW w:type="dxa" w:w="264"/>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sz w:val="20"/>
                <w:szCs w:val="20"/>
                <w:lang w:eastAsia="hr-HR"/>
              </w:rPr>
            </w:pPr>
          </w:p>
        </w:tc>
        <w:tc>
          <w:tcPr>
            <w:tcW w:type="dxa" w:w="118"/>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sz w:val="20"/>
                <w:szCs w:val="20"/>
                <w:lang w:eastAsia="hr-HR"/>
              </w:rPr>
            </w:pPr>
          </w:p>
        </w:tc>
        <w:tc>
          <w:tcPr>
            <w:tcW w:type="dxa" w:w="3910"/>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sz w:val="20"/>
                <w:szCs w:val="20"/>
                <w:lang w:eastAsia="hr-HR"/>
              </w:rPr>
            </w:pPr>
          </w:p>
        </w:tc>
      </w:tr>
      <w:tr w:rsidTr="00C80F11" w:rsidR="00C80F11" w:rsidRPr="00C80F11">
        <w:trPr>
          <w:trHeight w:val="255"/>
        </w:trPr>
        <w:tc>
          <w:tcPr>
            <w:tcW w:type="dxa" w:w="1098"/>
            <w:tcBorders>
              <w:top w:val="nil"/>
              <w:left w:val="nil"/>
              <w:bottom w:val="nil"/>
              <w:right w:val="nil"/>
            </w:tcBorders>
            <w:shd w:fill="auto" w:color="auto" w:val="clear"/>
            <w:noWrap/>
            <w:vAlign w:val="bottom"/>
            <w:hideMark/>
          </w:tcPr>
          <w:p w:rsidRDefault="00C80F11" w:rsidP="00C80F11" w:rsidR="00C80F11" w:rsidRPr="00C80F11">
            <w:pPr>
              <w:spacing w:after="0"/>
              <w:jc w:val="center"/>
              <w:rPr>
                <w:rFonts w:cs="Arial" w:eastAsia="Times New Roman" w:hAnsi="Arial" w:ascii="Arial"/>
                <w:b/>
                <w:bCs/>
                <w:sz w:val="20"/>
                <w:szCs w:val="20"/>
                <w:lang w:eastAsia="hr-HR"/>
              </w:rPr>
            </w:pPr>
            <w:r w:rsidRPr="00C80F11">
              <w:rPr>
                <w:rFonts w:cs="Arial" w:eastAsia="Times New Roman" w:hAnsi="Arial" w:ascii="Arial"/>
                <w:b/>
                <w:bCs/>
                <w:sz w:val="20"/>
                <w:szCs w:val="20"/>
                <w:lang w:eastAsia="hr-HR"/>
              </w:rPr>
              <w:t>4.</w:t>
            </w:r>
          </w:p>
        </w:tc>
        <w:tc>
          <w:tcPr>
            <w:tcW w:type="dxa" w:w="3712"/>
            <w:gridSpan w:val="3"/>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b/>
                <w:bCs/>
                <w:sz w:val="20"/>
                <w:szCs w:val="20"/>
                <w:lang w:eastAsia="hr-HR"/>
              </w:rPr>
            </w:pPr>
            <w:r w:rsidRPr="00C80F11">
              <w:rPr>
                <w:rFonts w:cs="Arial" w:eastAsia="Times New Roman" w:hAnsi="Arial" w:ascii="Arial"/>
                <w:b/>
                <w:bCs/>
                <w:sz w:val="20"/>
                <w:szCs w:val="20"/>
                <w:lang w:eastAsia="hr-HR"/>
              </w:rPr>
              <w:t>ODLJEV SREDSTAVA</w:t>
            </w:r>
          </w:p>
        </w:tc>
        <w:tc>
          <w:tcPr>
            <w:tcW w:type="dxa" w:w="264"/>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b/>
                <w:bCs/>
                <w:sz w:val="20"/>
                <w:szCs w:val="20"/>
                <w:lang w:eastAsia="hr-HR"/>
              </w:rPr>
            </w:pPr>
          </w:p>
        </w:tc>
        <w:tc>
          <w:tcPr>
            <w:tcW w:type="dxa" w:w="118"/>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b/>
                <w:bCs/>
                <w:sz w:val="20"/>
                <w:szCs w:val="20"/>
                <w:lang w:eastAsia="hr-HR"/>
              </w:rPr>
            </w:pPr>
          </w:p>
        </w:tc>
        <w:tc>
          <w:tcPr>
            <w:tcW w:type="dxa" w:w="3910"/>
            <w:tcBorders>
              <w:top w:val="nil"/>
              <w:left w:val="nil"/>
              <w:bottom w:val="nil"/>
              <w:right w:val="nil"/>
            </w:tcBorders>
            <w:shd w:fill="auto" w:color="auto" w:val="clear"/>
            <w:noWrap/>
            <w:vAlign w:val="bottom"/>
            <w:hideMark/>
          </w:tcPr>
          <w:p w:rsidRDefault="00C80F11" w:rsidP="00C80F11" w:rsidR="00C80F11" w:rsidRPr="00C80F11">
            <w:pPr>
              <w:spacing w:after="0"/>
              <w:jc w:val="right"/>
              <w:rPr>
                <w:rFonts w:cs="Arial" w:eastAsia="Times New Roman" w:hAnsi="Arial" w:ascii="Arial"/>
                <w:b/>
                <w:bCs/>
                <w:sz w:val="20"/>
                <w:szCs w:val="20"/>
                <w:lang w:eastAsia="hr-HR"/>
              </w:rPr>
            </w:pPr>
            <w:r w:rsidRPr="00C80F11">
              <w:rPr>
                <w:rFonts w:cs="Arial" w:eastAsia="Times New Roman" w:hAnsi="Arial" w:ascii="Arial"/>
                <w:b/>
                <w:bCs/>
                <w:sz w:val="20"/>
                <w:szCs w:val="20"/>
                <w:lang w:eastAsia="hr-HR"/>
              </w:rPr>
              <w:t>70,90</w:t>
            </w:r>
          </w:p>
        </w:tc>
      </w:tr>
      <w:tr w:rsidTr="00C80F11" w:rsidR="00C80F11" w:rsidRPr="00C80F11">
        <w:trPr>
          <w:trHeight w:val="255"/>
        </w:trPr>
        <w:tc>
          <w:tcPr>
            <w:tcW w:type="dxa" w:w="1098"/>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sz w:val="20"/>
                <w:szCs w:val="20"/>
                <w:lang w:eastAsia="hr-HR"/>
              </w:rPr>
            </w:pPr>
          </w:p>
        </w:tc>
        <w:tc>
          <w:tcPr>
            <w:tcW w:type="dxa" w:w="3976"/>
            <w:gridSpan w:val="4"/>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sz w:val="20"/>
                <w:szCs w:val="20"/>
                <w:lang w:eastAsia="hr-HR"/>
              </w:rPr>
            </w:pPr>
            <w:r w:rsidRPr="00C80F11">
              <w:rPr>
                <w:rFonts w:cs="Arial" w:eastAsia="Times New Roman" w:hAnsi="Arial" w:ascii="Arial"/>
                <w:sz w:val="20"/>
                <w:szCs w:val="20"/>
                <w:lang w:eastAsia="hr-HR"/>
              </w:rPr>
              <w:t>Troškovi oglasa za prodaju imovine</w:t>
            </w:r>
          </w:p>
        </w:tc>
        <w:tc>
          <w:tcPr>
            <w:tcW w:type="dxa" w:w="118"/>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sz w:val="20"/>
                <w:szCs w:val="20"/>
                <w:lang w:eastAsia="hr-HR"/>
              </w:rPr>
            </w:pPr>
          </w:p>
        </w:tc>
        <w:tc>
          <w:tcPr>
            <w:tcW w:type="dxa" w:w="3910"/>
            <w:tcBorders>
              <w:top w:val="nil"/>
              <w:left w:val="nil"/>
              <w:bottom w:val="nil"/>
              <w:right w:val="nil"/>
            </w:tcBorders>
            <w:shd w:fill="auto" w:color="auto" w:val="clear"/>
            <w:noWrap/>
            <w:vAlign w:val="bottom"/>
            <w:hideMark/>
          </w:tcPr>
          <w:p w:rsidRDefault="00C80F11" w:rsidP="00C80F11" w:rsidR="00C80F11" w:rsidRPr="00C80F11">
            <w:pPr>
              <w:spacing w:after="0"/>
              <w:jc w:val="right"/>
              <w:rPr>
                <w:rFonts w:cs="Arial" w:eastAsia="Times New Roman" w:hAnsi="Arial" w:ascii="Arial"/>
                <w:sz w:val="20"/>
                <w:szCs w:val="20"/>
                <w:lang w:eastAsia="hr-HR"/>
              </w:rPr>
            </w:pPr>
            <w:r w:rsidRPr="00C80F11">
              <w:rPr>
                <w:rFonts w:cs="Arial" w:eastAsia="Times New Roman" w:hAnsi="Arial" w:ascii="Arial"/>
                <w:sz w:val="20"/>
                <w:szCs w:val="20"/>
                <w:lang w:eastAsia="hr-HR"/>
              </w:rPr>
              <w:t>0,00</w:t>
            </w:r>
          </w:p>
        </w:tc>
      </w:tr>
      <w:tr w:rsidTr="00C80F11" w:rsidR="00C80F11" w:rsidRPr="00C80F11">
        <w:trPr>
          <w:trHeight w:val="255"/>
        </w:trPr>
        <w:tc>
          <w:tcPr>
            <w:tcW w:type="dxa" w:w="1098"/>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b/>
                <w:bCs/>
                <w:sz w:val="20"/>
                <w:szCs w:val="20"/>
                <w:lang w:eastAsia="hr-HR"/>
              </w:rPr>
            </w:pPr>
          </w:p>
        </w:tc>
        <w:tc>
          <w:tcPr>
            <w:tcW w:type="dxa" w:w="3712"/>
            <w:gridSpan w:val="3"/>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sz w:val="20"/>
                <w:szCs w:val="20"/>
                <w:lang w:eastAsia="hr-HR"/>
              </w:rPr>
            </w:pPr>
            <w:r w:rsidRPr="00C80F11">
              <w:rPr>
                <w:rFonts w:cs="Arial" w:eastAsia="Times New Roman" w:hAnsi="Arial" w:ascii="Arial"/>
                <w:sz w:val="20"/>
                <w:szCs w:val="20"/>
                <w:lang w:eastAsia="hr-HR"/>
              </w:rPr>
              <w:t xml:space="preserve">Troškovi poštarine </w:t>
            </w:r>
          </w:p>
        </w:tc>
        <w:tc>
          <w:tcPr>
            <w:tcW w:type="dxa" w:w="264"/>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b/>
                <w:bCs/>
                <w:sz w:val="20"/>
                <w:szCs w:val="20"/>
                <w:lang w:eastAsia="hr-HR"/>
              </w:rPr>
            </w:pPr>
          </w:p>
        </w:tc>
        <w:tc>
          <w:tcPr>
            <w:tcW w:type="dxa" w:w="118"/>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b/>
                <w:bCs/>
                <w:sz w:val="20"/>
                <w:szCs w:val="20"/>
                <w:lang w:eastAsia="hr-HR"/>
              </w:rPr>
            </w:pPr>
          </w:p>
        </w:tc>
        <w:tc>
          <w:tcPr>
            <w:tcW w:type="dxa" w:w="3910"/>
            <w:tcBorders>
              <w:top w:val="nil"/>
              <w:left w:val="nil"/>
              <w:bottom w:val="nil"/>
              <w:right w:val="nil"/>
            </w:tcBorders>
            <w:shd w:fill="auto" w:color="auto" w:val="clear"/>
            <w:noWrap/>
            <w:vAlign w:val="bottom"/>
            <w:hideMark/>
          </w:tcPr>
          <w:p w:rsidRDefault="00C80F11" w:rsidP="00C80F11" w:rsidR="00C80F11" w:rsidRPr="00C80F11">
            <w:pPr>
              <w:spacing w:after="0"/>
              <w:jc w:val="right"/>
              <w:rPr>
                <w:rFonts w:cs="Arial" w:eastAsia="Times New Roman" w:hAnsi="Arial" w:ascii="Arial"/>
                <w:sz w:val="20"/>
                <w:szCs w:val="20"/>
                <w:lang w:eastAsia="hr-HR"/>
              </w:rPr>
            </w:pPr>
            <w:r w:rsidRPr="00C80F11">
              <w:rPr>
                <w:rFonts w:cs="Arial" w:eastAsia="Times New Roman" w:hAnsi="Arial" w:ascii="Arial"/>
                <w:sz w:val="20"/>
                <w:szCs w:val="20"/>
                <w:lang w:eastAsia="hr-HR"/>
              </w:rPr>
              <w:t>0,00</w:t>
            </w:r>
          </w:p>
        </w:tc>
      </w:tr>
      <w:tr w:rsidTr="00C80F11" w:rsidR="00C80F11" w:rsidRPr="00C80F11">
        <w:trPr>
          <w:trHeight w:val="255"/>
        </w:trPr>
        <w:tc>
          <w:tcPr>
            <w:tcW w:type="dxa" w:w="1098"/>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b/>
                <w:bCs/>
                <w:sz w:val="20"/>
                <w:szCs w:val="20"/>
                <w:lang w:eastAsia="hr-HR"/>
              </w:rPr>
            </w:pPr>
          </w:p>
        </w:tc>
        <w:tc>
          <w:tcPr>
            <w:tcW w:type="dxa" w:w="3712"/>
            <w:gridSpan w:val="3"/>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sz w:val="20"/>
                <w:szCs w:val="20"/>
                <w:lang w:eastAsia="hr-HR"/>
              </w:rPr>
            </w:pPr>
            <w:r w:rsidRPr="00C80F11">
              <w:rPr>
                <w:rFonts w:cs="Arial" w:eastAsia="Times New Roman" w:hAnsi="Arial" w:ascii="Arial"/>
                <w:sz w:val="20"/>
                <w:szCs w:val="20"/>
                <w:lang w:eastAsia="hr-HR"/>
              </w:rPr>
              <w:t>Materijalni troškovi</w:t>
            </w:r>
          </w:p>
        </w:tc>
        <w:tc>
          <w:tcPr>
            <w:tcW w:type="dxa" w:w="264"/>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b/>
                <w:bCs/>
                <w:sz w:val="20"/>
                <w:szCs w:val="20"/>
                <w:lang w:eastAsia="hr-HR"/>
              </w:rPr>
            </w:pPr>
          </w:p>
        </w:tc>
        <w:tc>
          <w:tcPr>
            <w:tcW w:type="dxa" w:w="118"/>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b/>
                <w:bCs/>
                <w:sz w:val="20"/>
                <w:szCs w:val="20"/>
                <w:lang w:eastAsia="hr-HR"/>
              </w:rPr>
            </w:pPr>
          </w:p>
        </w:tc>
        <w:tc>
          <w:tcPr>
            <w:tcW w:type="dxa" w:w="3910"/>
            <w:tcBorders>
              <w:top w:val="nil"/>
              <w:left w:val="nil"/>
              <w:bottom w:val="nil"/>
              <w:right w:val="nil"/>
            </w:tcBorders>
            <w:shd w:fill="auto" w:color="auto" w:val="clear"/>
            <w:noWrap/>
            <w:vAlign w:val="bottom"/>
            <w:hideMark/>
          </w:tcPr>
          <w:p w:rsidRDefault="00C80F11" w:rsidP="00C80F11" w:rsidR="00C80F11" w:rsidRPr="00C80F11">
            <w:pPr>
              <w:spacing w:after="0"/>
              <w:jc w:val="right"/>
              <w:rPr>
                <w:rFonts w:cs="Arial" w:eastAsia="Times New Roman" w:hAnsi="Arial" w:ascii="Arial"/>
                <w:sz w:val="20"/>
                <w:szCs w:val="20"/>
                <w:lang w:eastAsia="hr-HR"/>
              </w:rPr>
            </w:pPr>
            <w:r w:rsidRPr="00C80F11">
              <w:rPr>
                <w:rFonts w:cs="Arial" w:eastAsia="Times New Roman" w:hAnsi="Arial" w:ascii="Arial"/>
                <w:sz w:val="20"/>
                <w:szCs w:val="20"/>
                <w:lang w:eastAsia="hr-HR"/>
              </w:rPr>
              <w:t>0,00</w:t>
            </w:r>
          </w:p>
        </w:tc>
      </w:tr>
      <w:tr w:rsidTr="00C80F11" w:rsidR="00C80F11" w:rsidRPr="00C80F11">
        <w:trPr>
          <w:trHeight w:val="255"/>
        </w:trPr>
        <w:tc>
          <w:tcPr>
            <w:tcW w:type="dxa" w:w="1098"/>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b/>
                <w:bCs/>
                <w:sz w:val="20"/>
                <w:szCs w:val="20"/>
                <w:lang w:eastAsia="hr-HR"/>
              </w:rPr>
            </w:pPr>
          </w:p>
        </w:tc>
        <w:tc>
          <w:tcPr>
            <w:tcW w:type="dxa" w:w="3712"/>
            <w:gridSpan w:val="3"/>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sz w:val="20"/>
                <w:szCs w:val="20"/>
                <w:lang w:eastAsia="hr-HR"/>
              </w:rPr>
            </w:pPr>
            <w:r w:rsidRPr="00C80F11">
              <w:rPr>
                <w:rFonts w:cs="Arial" w:eastAsia="Times New Roman" w:hAnsi="Arial" w:ascii="Arial"/>
                <w:sz w:val="20"/>
                <w:szCs w:val="20"/>
                <w:lang w:eastAsia="hr-HR"/>
              </w:rPr>
              <w:t>Administrativni troškovi</w:t>
            </w:r>
          </w:p>
        </w:tc>
        <w:tc>
          <w:tcPr>
            <w:tcW w:type="dxa" w:w="264"/>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b/>
                <w:bCs/>
                <w:sz w:val="20"/>
                <w:szCs w:val="20"/>
                <w:lang w:eastAsia="hr-HR"/>
              </w:rPr>
            </w:pPr>
          </w:p>
        </w:tc>
        <w:tc>
          <w:tcPr>
            <w:tcW w:type="dxa" w:w="118"/>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b/>
                <w:bCs/>
                <w:sz w:val="20"/>
                <w:szCs w:val="20"/>
                <w:lang w:eastAsia="hr-HR"/>
              </w:rPr>
            </w:pPr>
          </w:p>
        </w:tc>
        <w:tc>
          <w:tcPr>
            <w:tcW w:type="dxa" w:w="3910"/>
            <w:tcBorders>
              <w:top w:val="nil"/>
              <w:left w:val="nil"/>
              <w:bottom w:val="nil"/>
              <w:right w:val="nil"/>
            </w:tcBorders>
            <w:shd w:fill="auto" w:color="auto" w:val="clear"/>
            <w:noWrap/>
            <w:vAlign w:val="bottom"/>
            <w:hideMark/>
          </w:tcPr>
          <w:p w:rsidRDefault="00C80F11" w:rsidP="00C80F11" w:rsidR="00C80F11" w:rsidRPr="00C80F11">
            <w:pPr>
              <w:spacing w:after="0"/>
              <w:jc w:val="right"/>
              <w:rPr>
                <w:rFonts w:cs="Arial" w:eastAsia="Times New Roman" w:hAnsi="Arial" w:ascii="Arial"/>
                <w:sz w:val="20"/>
                <w:szCs w:val="20"/>
                <w:lang w:eastAsia="hr-HR"/>
              </w:rPr>
            </w:pPr>
            <w:r w:rsidRPr="00C80F11">
              <w:rPr>
                <w:rFonts w:cs="Arial" w:eastAsia="Times New Roman" w:hAnsi="Arial" w:ascii="Arial"/>
                <w:sz w:val="20"/>
                <w:szCs w:val="20"/>
                <w:lang w:eastAsia="hr-HR"/>
              </w:rPr>
              <w:t>0,00</w:t>
            </w:r>
          </w:p>
        </w:tc>
      </w:tr>
      <w:tr w:rsidTr="00C80F11" w:rsidR="00C80F11" w:rsidRPr="00C80F11">
        <w:trPr>
          <w:trHeight w:val="255"/>
        </w:trPr>
        <w:tc>
          <w:tcPr>
            <w:tcW w:type="dxa" w:w="1098"/>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b/>
                <w:bCs/>
                <w:sz w:val="20"/>
                <w:szCs w:val="20"/>
                <w:lang w:eastAsia="hr-HR"/>
              </w:rPr>
            </w:pPr>
          </w:p>
        </w:tc>
        <w:tc>
          <w:tcPr>
            <w:tcW w:type="dxa" w:w="3712"/>
            <w:gridSpan w:val="3"/>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sz w:val="20"/>
                <w:szCs w:val="20"/>
                <w:lang w:eastAsia="hr-HR"/>
              </w:rPr>
            </w:pPr>
            <w:r w:rsidRPr="00C80F11">
              <w:rPr>
                <w:rFonts w:cs="Arial" w:eastAsia="Times New Roman" w:hAnsi="Arial" w:ascii="Arial"/>
                <w:sz w:val="20"/>
                <w:szCs w:val="20"/>
                <w:lang w:eastAsia="hr-HR"/>
              </w:rPr>
              <w:t>Troškovi FINE i statistike</w:t>
            </w:r>
          </w:p>
        </w:tc>
        <w:tc>
          <w:tcPr>
            <w:tcW w:type="dxa" w:w="264"/>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b/>
                <w:bCs/>
                <w:sz w:val="20"/>
                <w:szCs w:val="20"/>
                <w:lang w:eastAsia="hr-HR"/>
              </w:rPr>
            </w:pPr>
          </w:p>
        </w:tc>
        <w:tc>
          <w:tcPr>
            <w:tcW w:type="dxa" w:w="118"/>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b/>
                <w:bCs/>
                <w:sz w:val="20"/>
                <w:szCs w:val="20"/>
                <w:lang w:eastAsia="hr-HR"/>
              </w:rPr>
            </w:pPr>
          </w:p>
        </w:tc>
        <w:tc>
          <w:tcPr>
            <w:tcW w:type="dxa" w:w="3910"/>
            <w:tcBorders>
              <w:top w:val="nil"/>
              <w:left w:val="nil"/>
              <w:bottom w:val="nil"/>
              <w:right w:val="nil"/>
            </w:tcBorders>
            <w:shd w:fill="auto" w:color="auto" w:val="clear"/>
            <w:noWrap/>
            <w:vAlign w:val="bottom"/>
            <w:hideMark/>
          </w:tcPr>
          <w:p w:rsidRDefault="00C80F11" w:rsidP="00C80F11" w:rsidR="00C80F11" w:rsidRPr="00C80F11">
            <w:pPr>
              <w:spacing w:after="0"/>
              <w:jc w:val="right"/>
              <w:rPr>
                <w:rFonts w:cs="Arial" w:eastAsia="Times New Roman" w:hAnsi="Arial" w:ascii="Arial"/>
                <w:sz w:val="20"/>
                <w:szCs w:val="20"/>
                <w:lang w:eastAsia="hr-HR"/>
              </w:rPr>
            </w:pPr>
            <w:r w:rsidRPr="00C80F11">
              <w:rPr>
                <w:rFonts w:cs="Arial" w:eastAsia="Times New Roman" w:hAnsi="Arial" w:ascii="Arial"/>
                <w:sz w:val="20"/>
                <w:szCs w:val="20"/>
                <w:lang w:eastAsia="hr-HR"/>
              </w:rPr>
              <w:t>70,90</w:t>
            </w:r>
          </w:p>
        </w:tc>
      </w:tr>
      <w:tr w:rsidTr="00C80F11" w:rsidR="00C80F11" w:rsidRPr="00C80F11">
        <w:trPr>
          <w:trHeight w:val="255"/>
        </w:trPr>
        <w:tc>
          <w:tcPr>
            <w:tcW w:type="dxa" w:w="1098"/>
            <w:tcBorders>
              <w:top w:val="nil"/>
              <w:left w:val="nil"/>
              <w:bottom w:val="nil"/>
              <w:right w:val="nil"/>
            </w:tcBorders>
            <w:shd w:fill="auto" w:color="auto" w:val="clear"/>
            <w:noWrap/>
            <w:vAlign w:val="bottom"/>
            <w:hideMark/>
          </w:tcPr>
          <w:p w:rsidRDefault="00C80F11" w:rsidP="00C80F11" w:rsidR="00C80F11" w:rsidRPr="00C80F11">
            <w:pPr>
              <w:spacing w:after="0"/>
              <w:jc w:val="center"/>
              <w:rPr>
                <w:rFonts w:cs="Arial" w:eastAsia="Times New Roman" w:hAnsi="Arial" w:ascii="Arial"/>
                <w:sz w:val="20"/>
                <w:szCs w:val="20"/>
                <w:lang w:eastAsia="hr-HR"/>
              </w:rPr>
            </w:pPr>
          </w:p>
        </w:tc>
        <w:tc>
          <w:tcPr>
            <w:tcW w:type="dxa" w:w="3976"/>
            <w:gridSpan w:val="4"/>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sz w:val="20"/>
                <w:szCs w:val="20"/>
                <w:lang w:eastAsia="hr-HR"/>
              </w:rPr>
            </w:pPr>
            <w:r w:rsidRPr="00C80F11">
              <w:rPr>
                <w:rFonts w:cs="Arial" w:eastAsia="Times New Roman" w:hAnsi="Arial" w:ascii="Arial"/>
                <w:sz w:val="20"/>
                <w:szCs w:val="20"/>
                <w:lang w:eastAsia="hr-HR"/>
              </w:rPr>
              <w:t>Troškovi vođenja knjigovodstva</w:t>
            </w:r>
          </w:p>
        </w:tc>
        <w:tc>
          <w:tcPr>
            <w:tcW w:type="dxa" w:w="118"/>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sz w:val="20"/>
                <w:szCs w:val="20"/>
                <w:lang w:eastAsia="hr-HR"/>
              </w:rPr>
            </w:pPr>
          </w:p>
        </w:tc>
        <w:tc>
          <w:tcPr>
            <w:tcW w:type="dxa" w:w="3910"/>
            <w:tcBorders>
              <w:top w:val="nil"/>
              <w:left w:val="nil"/>
              <w:bottom w:val="nil"/>
              <w:right w:val="nil"/>
            </w:tcBorders>
            <w:shd w:fill="auto" w:color="auto" w:val="clear"/>
            <w:noWrap/>
            <w:vAlign w:val="bottom"/>
            <w:hideMark/>
          </w:tcPr>
          <w:p w:rsidRDefault="00C80F11" w:rsidP="00C80F11" w:rsidR="00C80F11" w:rsidRPr="00C80F11">
            <w:pPr>
              <w:spacing w:after="0"/>
              <w:jc w:val="right"/>
              <w:rPr>
                <w:rFonts w:cs="Arial" w:eastAsia="Times New Roman" w:hAnsi="Arial" w:ascii="Arial"/>
                <w:sz w:val="20"/>
                <w:szCs w:val="20"/>
                <w:lang w:eastAsia="hr-HR"/>
              </w:rPr>
            </w:pPr>
            <w:r w:rsidRPr="00C80F11">
              <w:rPr>
                <w:rFonts w:cs="Arial" w:eastAsia="Times New Roman" w:hAnsi="Arial" w:ascii="Arial"/>
                <w:sz w:val="20"/>
                <w:szCs w:val="20"/>
                <w:lang w:eastAsia="hr-HR"/>
              </w:rPr>
              <w:t>0,00</w:t>
            </w:r>
          </w:p>
        </w:tc>
      </w:tr>
      <w:tr w:rsidTr="00C80F11" w:rsidR="00C80F11" w:rsidRPr="00C80F11">
        <w:trPr>
          <w:trHeight w:val="255"/>
        </w:trPr>
        <w:tc>
          <w:tcPr>
            <w:tcW w:type="dxa" w:w="1098"/>
            <w:tcBorders>
              <w:top w:val="nil"/>
              <w:left w:val="nil"/>
              <w:bottom w:val="nil"/>
              <w:right w:val="nil"/>
            </w:tcBorders>
            <w:shd w:fill="auto" w:color="auto" w:val="clear"/>
            <w:noWrap/>
            <w:vAlign w:val="bottom"/>
            <w:hideMark/>
          </w:tcPr>
          <w:p w:rsidRDefault="00C80F11" w:rsidP="00C80F11" w:rsidR="00C80F11" w:rsidRPr="00C80F11">
            <w:pPr>
              <w:spacing w:after="0"/>
              <w:jc w:val="center"/>
              <w:rPr>
                <w:rFonts w:cs="Arial" w:eastAsia="Times New Roman" w:hAnsi="Arial" w:ascii="Arial"/>
                <w:sz w:val="20"/>
                <w:szCs w:val="20"/>
                <w:lang w:eastAsia="hr-HR"/>
              </w:rPr>
            </w:pPr>
          </w:p>
        </w:tc>
        <w:tc>
          <w:tcPr>
            <w:tcW w:type="dxa" w:w="3712"/>
            <w:gridSpan w:val="3"/>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sz w:val="20"/>
                <w:szCs w:val="20"/>
                <w:lang w:eastAsia="hr-HR"/>
              </w:rPr>
            </w:pPr>
            <w:r w:rsidRPr="00C80F11">
              <w:rPr>
                <w:rFonts w:cs="Arial" w:eastAsia="Times New Roman" w:hAnsi="Arial" w:ascii="Arial"/>
                <w:sz w:val="20"/>
                <w:szCs w:val="20"/>
                <w:lang w:eastAsia="hr-HR"/>
              </w:rPr>
              <w:t>Troškovi odvjetnika</w:t>
            </w:r>
          </w:p>
        </w:tc>
        <w:tc>
          <w:tcPr>
            <w:tcW w:type="dxa" w:w="264"/>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sz w:val="20"/>
                <w:szCs w:val="20"/>
                <w:lang w:eastAsia="hr-HR"/>
              </w:rPr>
            </w:pPr>
          </w:p>
        </w:tc>
        <w:tc>
          <w:tcPr>
            <w:tcW w:type="dxa" w:w="118"/>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sz w:val="20"/>
                <w:szCs w:val="20"/>
                <w:lang w:eastAsia="hr-HR"/>
              </w:rPr>
            </w:pPr>
          </w:p>
        </w:tc>
        <w:tc>
          <w:tcPr>
            <w:tcW w:type="dxa" w:w="3910"/>
            <w:tcBorders>
              <w:top w:val="nil"/>
              <w:left w:val="nil"/>
              <w:bottom w:val="nil"/>
              <w:right w:val="nil"/>
            </w:tcBorders>
            <w:shd w:fill="auto" w:color="auto" w:val="clear"/>
            <w:noWrap/>
            <w:vAlign w:val="bottom"/>
            <w:hideMark/>
          </w:tcPr>
          <w:p w:rsidRDefault="00C80F11" w:rsidP="00C80F11" w:rsidR="00C80F11" w:rsidRPr="00C80F11">
            <w:pPr>
              <w:spacing w:after="0"/>
              <w:jc w:val="right"/>
              <w:rPr>
                <w:rFonts w:cs="Arial" w:eastAsia="Times New Roman" w:hAnsi="Arial" w:ascii="Arial"/>
                <w:sz w:val="20"/>
                <w:szCs w:val="20"/>
                <w:lang w:eastAsia="hr-HR"/>
              </w:rPr>
            </w:pPr>
            <w:r w:rsidRPr="00C80F11">
              <w:rPr>
                <w:rFonts w:cs="Arial" w:eastAsia="Times New Roman" w:hAnsi="Arial" w:ascii="Arial"/>
                <w:sz w:val="20"/>
                <w:szCs w:val="20"/>
                <w:lang w:eastAsia="hr-HR"/>
              </w:rPr>
              <w:t>0,00</w:t>
            </w:r>
          </w:p>
        </w:tc>
      </w:tr>
      <w:tr w:rsidTr="00C80F11" w:rsidR="00C80F11" w:rsidRPr="00C80F11">
        <w:trPr>
          <w:trHeight w:val="255"/>
        </w:trPr>
        <w:tc>
          <w:tcPr>
            <w:tcW w:type="dxa" w:w="1098"/>
            <w:tcBorders>
              <w:top w:val="nil"/>
              <w:left w:val="nil"/>
              <w:bottom w:val="nil"/>
              <w:right w:val="nil"/>
            </w:tcBorders>
            <w:shd w:fill="auto" w:color="auto" w:val="clear"/>
            <w:noWrap/>
            <w:vAlign w:val="bottom"/>
            <w:hideMark/>
          </w:tcPr>
          <w:p w:rsidRDefault="00C80F11" w:rsidP="00C80F11" w:rsidR="00C80F11" w:rsidRPr="00C80F11">
            <w:pPr>
              <w:spacing w:after="0"/>
              <w:jc w:val="center"/>
              <w:rPr>
                <w:rFonts w:cs="Arial" w:eastAsia="Times New Roman" w:hAnsi="Arial" w:ascii="Arial"/>
                <w:sz w:val="20"/>
                <w:szCs w:val="20"/>
                <w:lang w:eastAsia="hr-HR"/>
              </w:rPr>
            </w:pPr>
          </w:p>
        </w:tc>
        <w:tc>
          <w:tcPr>
            <w:tcW w:type="dxa" w:w="3448"/>
            <w:gridSpan w:val="2"/>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sz w:val="20"/>
                <w:szCs w:val="20"/>
                <w:lang w:eastAsia="hr-HR"/>
              </w:rPr>
            </w:pPr>
            <w:r w:rsidRPr="00C80F11">
              <w:rPr>
                <w:rFonts w:cs="Arial" w:eastAsia="Times New Roman" w:hAnsi="Arial" w:ascii="Arial"/>
                <w:sz w:val="20"/>
                <w:szCs w:val="20"/>
                <w:lang w:eastAsia="hr-HR"/>
              </w:rPr>
              <w:t>Povrat pozajmica</w:t>
            </w:r>
          </w:p>
        </w:tc>
        <w:tc>
          <w:tcPr>
            <w:tcW w:type="dxa" w:w="264"/>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sz w:val="20"/>
                <w:szCs w:val="20"/>
                <w:lang w:eastAsia="hr-HR"/>
              </w:rPr>
            </w:pPr>
          </w:p>
        </w:tc>
        <w:tc>
          <w:tcPr>
            <w:tcW w:type="dxa" w:w="264"/>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sz w:val="20"/>
                <w:szCs w:val="20"/>
                <w:lang w:eastAsia="hr-HR"/>
              </w:rPr>
            </w:pPr>
          </w:p>
        </w:tc>
        <w:tc>
          <w:tcPr>
            <w:tcW w:type="dxa" w:w="118"/>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sz w:val="20"/>
                <w:szCs w:val="20"/>
                <w:lang w:eastAsia="hr-HR"/>
              </w:rPr>
            </w:pPr>
          </w:p>
        </w:tc>
        <w:tc>
          <w:tcPr>
            <w:tcW w:type="dxa" w:w="3910"/>
            <w:tcBorders>
              <w:top w:val="nil"/>
              <w:left w:val="nil"/>
              <w:bottom w:val="nil"/>
              <w:right w:val="nil"/>
            </w:tcBorders>
            <w:shd w:fill="auto" w:color="auto" w:val="clear"/>
            <w:noWrap/>
            <w:vAlign w:val="bottom"/>
            <w:hideMark/>
          </w:tcPr>
          <w:p w:rsidRDefault="00C80F11" w:rsidP="00C80F11" w:rsidR="00C80F11" w:rsidRPr="00C80F11">
            <w:pPr>
              <w:spacing w:after="0"/>
              <w:jc w:val="right"/>
              <w:rPr>
                <w:rFonts w:cs="Arial" w:eastAsia="Times New Roman" w:hAnsi="Arial" w:ascii="Arial"/>
                <w:sz w:val="20"/>
                <w:szCs w:val="20"/>
                <w:lang w:eastAsia="hr-HR"/>
              </w:rPr>
            </w:pPr>
            <w:r w:rsidRPr="00C80F11">
              <w:rPr>
                <w:rFonts w:cs="Arial" w:eastAsia="Times New Roman" w:hAnsi="Arial" w:ascii="Arial"/>
                <w:sz w:val="20"/>
                <w:szCs w:val="20"/>
                <w:lang w:eastAsia="hr-HR"/>
              </w:rPr>
              <w:t>0,00</w:t>
            </w:r>
          </w:p>
        </w:tc>
      </w:tr>
      <w:tr w:rsidTr="00C80F11" w:rsidR="00C80F11" w:rsidRPr="00C80F11">
        <w:trPr>
          <w:trHeight w:val="255"/>
        </w:trPr>
        <w:tc>
          <w:tcPr>
            <w:tcW w:type="dxa" w:w="1098"/>
            <w:tcBorders>
              <w:top w:val="nil"/>
              <w:left w:val="nil"/>
              <w:bottom w:val="nil"/>
              <w:right w:val="nil"/>
            </w:tcBorders>
            <w:shd w:fill="auto" w:color="auto" w:val="clear"/>
            <w:noWrap/>
            <w:vAlign w:val="bottom"/>
            <w:hideMark/>
          </w:tcPr>
          <w:p w:rsidRDefault="00C80F11" w:rsidP="00C80F11" w:rsidR="00C80F11" w:rsidRPr="00C80F11">
            <w:pPr>
              <w:spacing w:after="0"/>
              <w:jc w:val="center"/>
              <w:rPr>
                <w:rFonts w:cs="Arial" w:eastAsia="Times New Roman" w:hAnsi="Arial" w:ascii="Arial"/>
                <w:sz w:val="20"/>
                <w:szCs w:val="20"/>
                <w:lang w:eastAsia="hr-HR"/>
              </w:rPr>
            </w:pPr>
          </w:p>
        </w:tc>
        <w:tc>
          <w:tcPr>
            <w:tcW w:type="dxa" w:w="3976"/>
            <w:gridSpan w:val="4"/>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sz w:val="20"/>
                <w:szCs w:val="20"/>
                <w:lang w:eastAsia="hr-HR"/>
              </w:rPr>
            </w:pPr>
            <w:r w:rsidRPr="00C80F11">
              <w:rPr>
                <w:rFonts w:cs="Arial" w:eastAsia="Times New Roman" w:hAnsi="Arial" w:ascii="Arial"/>
                <w:sz w:val="20"/>
                <w:szCs w:val="20"/>
                <w:lang w:eastAsia="hr-HR"/>
              </w:rPr>
              <w:t>Ostali troškovi (biljezi, kopiranje i sl.)</w:t>
            </w:r>
          </w:p>
        </w:tc>
        <w:tc>
          <w:tcPr>
            <w:tcW w:type="dxa" w:w="118"/>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sz w:val="20"/>
                <w:szCs w:val="20"/>
                <w:lang w:eastAsia="hr-HR"/>
              </w:rPr>
            </w:pPr>
          </w:p>
        </w:tc>
        <w:tc>
          <w:tcPr>
            <w:tcW w:type="dxa" w:w="3910"/>
            <w:tcBorders>
              <w:top w:val="nil"/>
              <w:left w:val="nil"/>
              <w:bottom w:val="nil"/>
              <w:right w:val="nil"/>
            </w:tcBorders>
            <w:shd w:fill="auto" w:color="auto" w:val="clear"/>
            <w:noWrap/>
            <w:vAlign w:val="bottom"/>
            <w:hideMark/>
          </w:tcPr>
          <w:p w:rsidRDefault="00C80F11" w:rsidP="00C80F11" w:rsidR="00C80F11" w:rsidRPr="00C80F11">
            <w:pPr>
              <w:spacing w:after="0"/>
              <w:jc w:val="right"/>
              <w:rPr>
                <w:rFonts w:cs="Arial" w:eastAsia="Times New Roman" w:hAnsi="Arial" w:ascii="Arial"/>
                <w:sz w:val="20"/>
                <w:szCs w:val="20"/>
                <w:lang w:eastAsia="hr-HR"/>
              </w:rPr>
            </w:pPr>
            <w:r w:rsidRPr="00C80F11">
              <w:rPr>
                <w:rFonts w:cs="Arial" w:eastAsia="Times New Roman" w:hAnsi="Arial" w:ascii="Arial"/>
                <w:sz w:val="20"/>
                <w:szCs w:val="20"/>
                <w:lang w:eastAsia="hr-HR"/>
              </w:rPr>
              <w:t>0,00</w:t>
            </w:r>
          </w:p>
        </w:tc>
      </w:tr>
      <w:tr w:rsidTr="00C80F11" w:rsidR="00C80F11" w:rsidRPr="00C80F11">
        <w:trPr>
          <w:trHeight w:val="255"/>
        </w:trPr>
        <w:tc>
          <w:tcPr>
            <w:tcW w:type="dxa" w:w="1098"/>
            <w:tcBorders>
              <w:top w:val="nil"/>
              <w:left w:val="nil"/>
              <w:bottom w:val="nil"/>
              <w:right w:val="nil"/>
            </w:tcBorders>
            <w:shd w:fill="auto" w:color="auto" w:val="clear"/>
            <w:noWrap/>
            <w:vAlign w:val="bottom"/>
            <w:hideMark/>
          </w:tcPr>
          <w:p w:rsidRDefault="00C80F11" w:rsidP="00C80F11" w:rsidR="00C80F11" w:rsidRPr="00C80F11">
            <w:pPr>
              <w:spacing w:after="0"/>
              <w:jc w:val="center"/>
              <w:rPr>
                <w:rFonts w:cs="Arial" w:eastAsia="Times New Roman" w:hAnsi="Arial" w:ascii="Arial"/>
                <w:sz w:val="20"/>
                <w:szCs w:val="20"/>
                <w:lang w:eastAsia="hr-HR"/>
              </w:rPr>
            </w:pPr>
          </w:p>
        </w:tc>
        <w:tc>
          <w:tcPr>
            <w:tcW w:type="dxa" w:w="3712"/>
            <w:gridSpan w:val="3"/>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sz w:val="20"/>
                <w:szCs w:val="20"/>
                <w:lang w:eastAsia="hr-HR"/>
              </w:rPr>
            </w:pPr>
            <w:r w:rsidRPr="00C80F11">
              <w:rPr>
                <w:rFonts w:cs="Arial" w:eastAsia="Times New Roman" w:hAnsi="Arial" w:ascii="Arial"/>
                <w:sz w:val="20"/>
                <w:szCs w:val="20"/>
                <w:lang w:eastAsia="hr-HR"/>
              </w:rPr>
              <w:t>Troškovi procjene imovine</w:t>
            </w:r>
          </w:p>
        </w:tc>
        <w:tc>
          <w:tcPr>
            <w:tcW w:type="dxa" w:w="264"/>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sz w:val="20"/>
                <w:szCs w:val="20"/>
                <w:lang w:eastAsia="hr-HR"/>
              </w:rPr>
            </w:pPr>
          </w:p>
        </w:tc>
        <w:tc>
          <w:tcPr>
            <w:tcW w:type="dxa" w:w="118"/>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sz w:val="20"/>
                <w:szCs w:val="20"/>
                <w:lang w:eastAsia="hr-HR"/>
              </w:rPr>
            </w:pPr>
          </w:p>
        </w:tc>
        <w:tc>
          <w:tcPr>
            <w:tcW w:type="dxa" w:w="3910"/>
            <w:tcBorders>
              <w:top w:val="nil"/>
              <w:left w:val="nil"/>
              <w:bottom w:val="nil"/>
              <w:right w:val="nil"/>
            </w:tcBorders>
            <w:shd w:fill="auto" w:color="auto" w:val="clear"/>
            <w:noWrap/>
            <w:vAlign w:val="bottom"/>
            <w:hideMark/>
          </w:tcPr>
          <w:p w:rsidRDefault="00C80F11" w:rsidP="00C80F11" w:rsidR="00C80F11" w:rsidRPr="00C80F11">
            <w:pPr>
              <w:spacing w:after="0"/>
              <w:jc w:val="right"/>
              <w:rPr>
                <w:rFonts w:cs="Arial" w:eastAsia="Times New Roman" w:hAnsi="Arial" w:ascii="Arial"/>
                <w:sz w:val="20"/>
                <w:szCs w:val="20"/>
                <w:lang w:eastAsia="hr-HR"/>
              </w:rPr>
            </w:pPr>
            <w:r w:rsidRPr="00C80F11">
              <w:rPr>
                <w:rFonts w:cs="Arial" w:eastAsia="Times New Roman" w:hAnsi="Arial" w:ascii="Arial"/>
                <w:sz w:val="20"/>
                <w:szCs w:val="20"/>
                <w:lang w:eastAsia="hr-HR"/>
              </w:rPr>
              <w:t>0,00</w:t>
            </w:r>
          </w:p>
        </w:tc>
      </w:tr>
      <w:tr w:rsidTr="00C80F11" w:rsidR="00C80F11" w:rsidRPr="00C80F11">
        <w:trPr>
          <w:trHeight w:val="255"/>
        </w:trPr>
        <w:tc>
          <w:tcPr>
            <w:tcW w:type="dxa" w:w="1098"/>
            <w:tcBorders>
              <w:top w:val="nil"/>
              <w:left w:val="nil"/>
              <w:bottom w:val="nil"/>
              <w:right w:val="nil"/>
            </w:tcBorders>
            <w:shd w:fill="auto" w:color="auto" w:val="clear"/>
            <w:noWrap/>
            <w:vAlign w:val="bottom"/>
            <w:hideMark/>
          </w:tcPr>
          <w:p w:rsidRDefault="00C80F11" w:rsidP="00C80F11" w:rsidR="00C80F11" w:rsidRPr="00C80F11">
            <w:pPr>
              <w:spacing w:after="0"/>
              <w:jc w:val="center"/>
              <w:rPr>
                <w:rFonts w:cs="Arial" w:eastAsia="Times New Roman" w:hAnsi="Arial" w:ascii="Arial"/>
                <w:sz w:val="20"/>
                <w:szCs w:val="20"/>
                <w:lang w:eastAsia="hr-HR"/>
              </w:rPr>
            </w:pPr>
          </w:p>
        </w:tc>
        <w:tc>
          <w:tcPr>
            <w:tcW w:type="dxa" w:w="3976"/>
            <w:gridSpan w:val="4"/>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sz w:val="20"/>
                <w:szCs w:val="20"/>
                <w:lang w:eastAsia="hr-HR"/>
              </w:rPr>
            </w:pPr>
            <w:r w:rsidRPr="00C80F11">
              <w:rPr>
                <w:rFonts w:cs="Arial" w:eastAsia="Times New Roman" w:hAnsi="Arial" w:ascii="Arial"/>
                <w:sz w:val="20"/>
                <w:szCs w:val="20"/>
                <w:lang w:eastAsia="hr-HR"/>
              </w:rPr>
              <w:t>Komunalna i vodna naknada, pričuva</w:t>
            </w:r>
          </w:p>
        </w:tc>
        <w:tc>
          <w:tcPr>
            <w:tcW w:type="dxa" w:w="118"/>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sz w:val="20"/>
                <w:szCs w:val="20"/>
                <w:lang w:eastAsia="hr-HR"/>
              </w:rPr>
            </w:pPr>
          </w:p>
        </w:tc>
        <w:tc>
          <w:tcPr>
            <w:tcW w:type="dxa" w:w="3910"/>
            <w:tcBorders>
              <w:top w:val="nil"/>
              <w:left w:val="nil"/>
              <w:bottom w:val="nil"/>
              <w:right w:val="nil"/>
            </w:tcBorders>
            <w:shd w:fill="auto" w:color="auto" w:val="clear"/>
            <w:noWrap/>
            <w:vAlign w:val="bottom"/>
            <w:hideMark/>
          </w:tcPr>
          <w:p w:rsidRDefault="00C80F11" w:rsidP="00C80F11" w:rsidR="00C80F11" w:rsidRPr="00C80F11">
            <w:pPr>
              <w:spacing w:after="0"/>
              <w:jc w:val="right"/>
              <w:rPr>
                <w:rFonts w:cs="Arial" w:eastAsia="Times New Roman" w:hAnsi="Arial" w:ascii="Arial"/>
                <w:sz w:val="20"/>
                <w:szCs w:val="20"/>
                <w:lang w:eastAsia="hr-HR"/>
              </w:rPr>
            </w:pPr>
            <w:r w:rsidRPr="00C80F11">
              <w:rPr>
                <w:rFonts w:cs="Arial" w:eastAsia="Times New Roman" w:hAnsi="Arial" w:ascii="Arial"/>
                <w:sz w:val="20"/>
                <w:szCs w:val="20"/>
                <w:lang w:eastAsia="hr-HR"/>
              </w:rPr>
              <w:t>0,00</w:t>
            </w:r>
          </w:p>
        </w:tc>
      </w:tr>
      <w:tr w:rsidTr="00C80F11" w:rsidR="00C80F11" w:rsidRPr="00C80F11">
        <w:trPr>
          <w:trHeight w:val="255"/>
        </w:trPr>
        <w:tc>
          <w:tcPr>
            <w:tcW w:type="dxa" w:w="1098"/>
            <w:tcBorders>
              <w:top w:val="nil"/>
              <w:left w:val="nil"/>
              <w:bottom w:val="nil"/>
              <w:right w:val="nil"/>
            </w:tcBorders>
            <w:shd w:fill="auto" w:color="auto" w:val="clear"/>
            <w:noWrap/>
            <w:vAlign w:val="bottom"/>
            <w:hideMark/>
          </w:tcPr>
          <w:p w:rsidRDefault="00C80F11" w:rsidP="00C80F11" w:rsidR="00C80F11" w:rsidRPr="00C80F11">
            <w:pPr>
              <w:spacing w:after="0"/>
              <w:jc w:val="center"/>
              <w:rPr>
                <w:rFonts w:cs="Arial" w:eastAsia="Times New Roman" w:hAnsi="Arial" w:ascii="Arial"/>
                <w:sz w:val="20"/>
                <w:szCs w:val="20"/>
                <w:lang w:eastAsia="hr-HR"/>
              </w:rPr>
            </w:pPr>
          </w:p>
        </w:tc>
        <w:tc>
          <w:tcPr>
            <w:tcW w:type="dxa" w:w="3448"/>
            <w:gridSpan w:val="2"/>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sz w:val="20"/>
                <w:szCs w:val="20"/>
                <w:lang w:eastAsia="hr-HR"/>
              </w:rPr>
            </w:pPr>
            <w:r w:rsidRPr="00C80F11">
              <w:rPr>
                <w:rFonts w:cs="Arial" w:eastAsia="Times New Roman" w:hAnsi="Arial" w:ascii="Arial"/>
                <w:sz w:val="20"/>
                <w:szCs w:val="20"/>
                <w:lang w:eastAsia="hr-HR"/>
              </w:rPr>
              <w:t xml:space="preserve">Troškovi inventure </w:t>
            </w:r>
          </w:p>
        </w:tc>
        <w:tc>
          <w:tcPr>
            <w:tcW w:type="dxa" w:w="264"/>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sz w:val="20"/>
                <w:szCs w:val="20"/>
                <w:lang w:eastAsia="hr-HR"/>
              </w:rPr>
            </w:pPr>
          </w:p>
        </w:tc>
        <w:tc>
          <w:tcPr>
            <w:tcW w:type="dxa" w:w="264"/>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sz w:val="20"/>
                <w:szCs w:val="20"/>
                <w:lang w:eastAsia="hr-HR"/>
              </w:rPr>
            </w:pPr>
          </w:p>
        </w:tc>
        <w:tc>
          <w:tcPr>
            <w:tcW w:type="dxa" w:w="118"/>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sz w:val="20"/>
                <w:szCs w:val="20"/>
                <w:lang w:eastAsia="hr-HR"/>
              </w:rPr>
            </w:pPr>
          </w:p>
        </w:tc>
        <w:tc>
          <w:tcPr>
            <w:tcW w:type="dxa" w:w="3910"/>
            <w:tcBorders>
              <w:top w:val="nil"/>
              <w:left w:val="nil"/>
              <w:bottom w:val="nil"/>
              <w:right w:val="nil"/>
            </w:tcBorders>
            <w:shd w:fill="auto" w:color="auto" w:val="clear"/>
            <w:noWrap/>
            <w:vAlign w:val="bottom"/>
            <w:hideMark/>
          </w:tcPr>
          <w:p w:rsidRDefault="00C80F11" w:rsidP="00C80F11" w:rsidR="00C80F11" w:rsidRPr="00C80F11">
            <w:pPr>
              <w:spacing w:after="0"/>
              <w:jc w:val="right"/>
              <w:rPr>
                <w:rFonts w:cs="Arial" w:eastAsia="Times New Roman" w:hAnsi="Arial" w:ascii="Arial"/>
                <w:sz w:val="20"/>
                <w:szCs w:val="20"/>
                <w:lang w:eastAsia="hr-HR"/>
              </w:rPr>
            </w:pPr>
            <w:r w:rsidRPr="00C80F11">
              <w:rPr>
                <w:rFonts w:cs="Arial" w:eastAsia="Times New Roman" w:hAnsi="Arial" w:ascii="Arial"/>
                <w:sz w:val="20"/>
                <w:szCs w:val="20"/>
                <w:lang w:eastAsia="hr-HR"/>
              </w:rPr>
              <w:t>0,00</w:t>
            </w:r>
          </w:p>
        </w:tc>
      </w:tr>
      <w:tr w:rsidTr="00C80F11" w:rsidR="00C80F11" w:rsidRPr="00C80F11">
        <w:trPr>
          <w:trHeight w:val="255"/>
        </w:trPr>
        <w:tc>
          <w:tcPr>
            <w:tcW w:type="dxa" w:w="1098"/>
            <w:tcBorders>
              <w:top w:val="nil"/>
              <w:left w:val="nil"/>
              <w:bottom w:val="nil"/>
              <w:right w:val="nil"/>
            </w:tcBorders>
            <w:shd w:fill="auto" w:color="auto" w:val="clear"/>
            <w:noWrap/>
            <w:vAlign w:val="bottom"/>
            <w:hideMark/>
          </w:tcPr>
          <w:p w:rsidRDefault="00C80F11" w:rsidP="00C80F11" w:rsidR="00C80F11" w:rsidRPr="00C80F11">
            <w:pPr>
              <w:spacing w:after="0"/>
              <w:jc w:val="center"/>
              <w:rPr>
                <w:rFonts w:cs="Arial" w:eastAsia="Times New Roman" w:hAnsi="Arial" w:ascii="Arial"/>
                <w:sz w:val="20"/>
                <w:szCs w:val="20"/>
                <w:lang w:eastAsia="hr-HR"/>
              </w:rPr>
            </w:pPr>
          </w:p>
        </w:tc>
        <w:tc>
          <w:tcPr>
            <w:tcW w:type="dxa" w:w="3184"/>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sz w:val="20"/>
                <w:szCs w:val="20"/>
                <w:lang w:eastAsia="hr-HR"/>
              </w:rPr>
            </w:pPr>
            <w:r w:rsidRPr="00C80F11">
              <w:rPr>
                <w:rFonts w:cs="Arial" w:eastAsia="Times New Roman" w:hAnsi="Arial" w:ascii="Arial"/>
                <w:sz w:val="20"/>
                <w:szCs w:val="20"/>
                <w:lang w:eastAsia="hr-HR"/>
              </w:rPr>
              <w:t>PDV</w:t>
            </w:r>
          </w:p>
        </w:tc>
        <w:tc>
          <w:tcPr>
            <w:tcW w:type="dxa" w:w="264"/>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sz w:val="20"/>
                <w:szCs w:val="20"/>
                <w:lang w:eastAsia="hr-HR"/>
              </w:rPr>
            </w:pPr>
          </w:p>
        </w:tc>
        <w:tc>
          <w:tcPr>
            <w:tcW w:type="dxa" w:w="264"/>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sz w:val="20"/>
                <w:szCs w:val="20"/>
                <w:lang w:eastAsia="hr-HR"/>
              </w:rPr>
            </w:pPr>
          </w:p>
        </w:tc>
        <w:tc>
          <w:tcPr>
            <w:tcW w:type="dxa" w:w="264"/>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sz w:val="20"/>
                <w:szCs w:val="20"/>
                <w:lang w:eastAsia="hr-HR"/>
              </w:rPr>
            </w:pPr>
          </w:p>
        </w:tc>
        <w:tc>
          <w:tcPr>
            <w:tcW w:type="dxa" w:w="118"/>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sz w:val="20"/>
                <w:szCs w:val="20"/>
                <w:lang w:eastAsia="hr-HR"/>
              </w:rPr>
            </w:pPr>
          </w:p>
        </w:tc>
        <w:tc>
          <w:tcPr>
            <w:tcW w:type="dxa" w:w="3910"/>
            <w:tcBorders>
              <w:top w:val="nil"/>
              <w:left w:val="nil"/>
              <w:bottom w:val="nil"/>
              <w:right w:val="nil"/>
            </w:tcBorders>
            <w:shd w:fill="auto" w:color="auto" w:val="clear"/>
            <w:noWrap/>
            <w:vAlign w:val="bottom"/>
            <w:hideMark/>
          </w:tcPr>
          <w:p w:rsidRDefault="00C80F11" w:rsidP="00C80F11" w:rsidR="00C80F11" w:rsidRPr="00C80F11">
            <w:pPr>
              <w:spacing w:after="0"/>
              <w:jc w:val="right"/>
              <w:rPr>
                <w:rFonts w:cs="Arial" w:eastAsia="Times New Roman" w:hAnsi="Arial" w:ascii="Arial"/>
                <w:sz w:val="20"/>
                <w:szCs w:val="20"/>
                <w:lang w:eastAsia="hr-HR"/>
              </w:rPr>
            </w:pPr>
            <w:r w:rsidRPr="00C80F11">
              <w:rPr>
                <w:rFonts w:cs="Arial" w:eastAsia="Times New Roman" w:hAnsi="Arial" w:ascii="Arial"/>
                <w:sz w:val="20"/>
                <w:szCs w:val="20"/>
                <w:lang w:eastAsia="hr-HR"/>
              </w:rPr>
              <w:t>0,00</w:t>
            </w:r>
          </w:p>
        </w:tc>
      </w:tr>
      <w:tr w:rsidTr="00C80F11" w:rsidR="00C80F11" w:rsidRPr="00C80F11">
        <w:trPr>
          <w:trHeight w:val="255"/>
        </w:trPr>
        <w:tc>
          <w:tcPr>
            <w:tcW w:type="dxa" w:w="1098"/>
            <w:tcBorders>
              <w:top w:val="nil"/>
              <w:left w:val="nil"/>
              <w:bottom w:val="nil"/>
              <w:right w:val="nil"/>
            </w:tcBorders>
            <w:shd w:fill="auto" w:color="auto" w:val="clear"/>
            <w:noWrap/>
            <w:vAlign w:val="bottom"/>
            <w:hideMark/>
          </w:tcPr>
          <w:p w:rsidRDefault="00C80F11" w:rsidP="00C80F11" w:rsidR="00C80F11" w:rsidRPr="00C80F11">
            <w:pPr>
              <w:spacing w:after="0"/>
              <w:jc w:val="center"/>
              <w:rPr>
                <w:rFonts w:cs="Arial" w:eastAsia="Times New Roman" w:hAnsi="Arial" w:ascii="Arial"/>
                <w:b/>
                <w:bCs/>
                <w:sz w:val="20"/>
                <w:szCs w:val="20"/>
                <w:lang w:eastAsia="hr-HR"/>
              </w:rPr>
            </w:pPr>
          </w:p>
        </w:tc>
        <w:tc>
          <w:tcPr>
            <w:tcW w:type="dxa" w:w="3976"/>
            <w:gridSpan w:val="4"/>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sz w:val="20"/>
                <w:szCs w:val="20"/>
                <w:lang w:eastAsia="hr-HR"/>
              </w:rPr>
            </w:pPr>
            <w:r w:rsidRPr="00C80F11">
              <w:rPr>
                <w:rFonts w:cs="Arial" w:eastAsia="Times New Roman" w:hAnsi="Arial" w:ascii="Arial"/>
                <w:sz w:val="20"/>
                <w:szCs w:val="20"/>
                <w:lang w:eastAsia="hr-HR"/>
              </w:rPr>
              <w:t>Troškovi  nekretnine(voda, plin el.energija, čuvanje)</w:t>
            </w:r>
          </w:p>
        </w:tc>
        <w:tc>
          <w:tcPr>
            <w:tcW w:type="dxa" w:w="118"/>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sz w:val="20"/>
                <w:szCs w:val="20"/>
                <w:lang w:eastAsia="hr-HR"/>
              </w:rPr>
            </w:pPr>
          </w:p>
        </w:tc>
        <w:tc>
          <w:tcPr>
            <w:tcW w:type="dxa" w:w="3910"/>
            <w:tcBorders>
              <w:top w:val="nil"/>
              <w:left w:val="nil"/>
              <w:bottom w:val="nil"/>
              <w:right w:val="nil"/>
            </w:tcBorders>
            <w:shd w:fill="auto" w:color="auto" w:val="clear"/>
            <w:noWrap/>
            <w:vAlign w:val="bottom"/>
            <w:hideMark/>
          </w:tcPr>
          <w:p w:rsidRDefault="00C80F11" w:rsidP="00C80F11" w:rsidR="00C80F11" w:rsidRPr="00C80F11">
            <w:pPr>
              <w:spacing w:after="0"/>
              <w:jc w:val="right"/>
              <w:rPr>
                <w:rFonts w:cs="Arial" w:eastAsia="Times New Roman" w:hAnsi="Arial" w:ascii="Arial"/>
                <w:sz w:val="20"/>
                <w:szCs w:val="20"/>
                <w:lang w:eastAsia="hr-HR"/>
              </w:rPr>
            </w:pPr>
            <w:r w:rsidRPr="00C80F11">
              <w:rPr>
                <w:rFonts w:cs="Arial" w:eastAsia="Times New Roman" w:hAnsi="Arial" w:ascii="Arial"/>
                <w:sz w:val="20"/>
                <w:szCs w:val="20"/>
                <w:lang w:eastAsia="hr-HR"/>
              </w:rPr>
              <w:t>0,00</w:t>
            </w:r>
          </w:p>
        </w:tc>
      </w:tr>
      <w:tr w:rsidTr="00C80F11" w:rsidR="00C80F11" w:rsidRPr="00C80F11">
        <w:trPr>
          <w:trHeight w:val="255"/>
        </w:trPr>
        <w:tc>
          <w:tcPr>
            <w:tcW w:type="dxa" w:w="1098"/>
            <w:tcBorders>
              <w:top w:val="nil"/>
              <w:left w:val="nil"/>
              <w:bottom w:val="nil"/>
              <w:right w:val="nil"/>
            </w:tcBorders>
            <w:shd w:fill="auto" w:color="auto" w:val="clear"/>
            <w:noWrap/>
            <w:vAlign w:val="bottom"/>
            <w:hideMark/>
          </w:tcPr>
          <w:p w:rsidRDefault="00C80F11" w:rsidP="00C80F11" w:rsidR="00C80F11" w:rsidRPr="00C80F11">
            <w:pPr>
              <w:spacing w:after="0"/>
              <w:jc w:val="center"/>
              <w:rPr>
                <w:rFonts w:cs="Arial" w:eastAsia="Times New Roman" w:hAnsi="Arial" w:ascii="Arial"/>
                <w:sz w:val="20"/>
                <w:szCs w:val="20"/>
                <w:lang w:eastAsia="hr-HR"/>
              </w:rPr>
            </w:pPr>
          </w:p>
        </w:tc>
        <w:tc>
          <w:tcPr>
            <w:tcW w:type="dxa" w:w="3712"/>
            <w:gridSpan w:val="3"/>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sz w:val="20"/>
                <w:szCs w:val="20"/>
                <w:lang w:eastAsia="hr-HR"/>
              </w:rPr>
            </w:pPr>
            <w:r w:rsidRPr="00C80F11">
              <w:rPr>
                <w:rFonts w:cs="Arial" w:eastAsia="Times New Roman" w:hAnsi="Arial" w:ascii="Arial"/>
                <w:sz w:val="20"/>
                <w:szCs w:val="20"/>
                <w:lang w:eastAsia="hr-HR"/>
              </w:rPr>
              <w:t>Troškovi osiguranja imovine</w:t>
            </w:r>
          </w:p>
        </w:tc>
        <w:tc>
          <w:tcPr>
            <w:tcW w:type="dxa" w:w="264"/>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sz w:val="20"/>
                <w:szCs w:val="20"/>
                <w:lang w:eastAsia="hr-HR"/>
              </w:rPr>
            </w:pPr>
          </w:p>
        </w:tc>
        <w:tc>
          <w:tcPr>
            <w:tcW w:type="dxa" w:w="118"/>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sz w:val="20"/>
                <w:szCs w:val="20"/>
                <w:lang w:eastAsia="hr-HR"/>
              </w:rPr>
            </w:pPr>
          </w:p>
        </w:tc>
        <w:tc>
          <w:tcPr>
            <w:tcW w:type="dxa" w:w="3910"/>
            <w:tcBorders>
              <w:top w:val="nil"/>
              <w:left w:val="nil"/>
              <w:bottom w:val="nil"/>
              <w:right w:val="nil"/>
            </w:tcBorders>
            <w:shd w:fill="auto" w:color="auto" w:val="clear"/>
            <w:noWrap/>
            <w:vAlign w:val="bottom"/>
            <w:hideMark/>
          </w:tcPr>
          <w:p w:rsidRDefault="00C80F11" w:rsidP="00C80F11" w:rsidR="00C80F11" w:rsidRPr="00C80F11">
            <w:pPr>
              <w:spacing w:after="0"/>
              <w:jc w:val="right"/>
              <w:rPr>
                <w:rFonts w:cs="Arial" w:eastAsia="Times New Roman" w:hAnsi="Arial" w:ascii="Arial"/>
                <w:sz w:val="20"/>
                <w:szCs w:val="20"/>
                <w:lang w:eastAsia="hr-HR"/>
              </w:rPr>
            </w:pPr>
            <w:r w:rsidRPr="00C80F11">
              <w:rPr>
                <w:rFonts w:cs="Arial" w:eastAsia="Times New Roman" w:hAnsi="Arial" w:ascii="Arial"/>
                <w:sz w:val="20"/>
                <w:szCs w:val="20"/>
                <w:lang w:eastAsia="hr-HR"/>
              </w:rPr>
              <w:t>0,00</w:t>
            </w:r>
          </w:p>
        </w:tc>
      </w:tr>
      <w:tr w:rsidTr="00C80F11" w:rsidR="00C80F11" w:rsidRPr="00C80F11">
        <w:trPr>
          <w:trHeight w:val="255"/>
        </w:trPr>
        <w:tc>
          <w:tcPr>
            <w:tcW w:type="dxa" w:w="1098"/>
            <w:tcBorders>
              <w:top w:val="nil"/>
              <w:left w:val="nil"/>
              <w:bottom w:val="nil"/>
              <w:right w:val="nil"/>
            </w:tcBorders>
            <w:shd w:fill="auto" w:color="auto" w:val="clear"/>
            <w:noWrap/>
            <w:vAlign w:val="bottom"/>
            <w:hideMark/>
          </w:tcPr>
          <w:p w:rsidRDefault="00C80F11" w:rsidP="00C80F11" w:rsidR="00C80F11" w:rsidRPr="00C80F11">
            <w:pPr>
              <w:spacing w:after="0"/>
              <w:jc w:val="center"/>
              <w:rPr>
                <w:rFonts w:cs="Arial" w:eastAsia="Times New Roman" w:hAnsi="Arial" w:ascii="Arial"/>
                <w:b/>
                <w:bCs/>
                <w:sz w:val="20"/>
                <w:szCs w:val="20"/>
                <w:lang w:eastAsia="hr-HR"/>
              </w:rPr>
            </w:pPr>
            <w:r w:rsidRPr="00C80F11">
              <w:rPr>
                <w:rFonts w:cs="Arial" w:eastAsia="Times New Roman" w:hAnsi="Arial" w:ascii="Arial"/>
                <w:b/>
                <w:bCs/>
                <w:sz w:val="20"/>
                <w:szCs w:val="20"/>
                <w:lang w:eastAsia="hr-HR"/>
              </w:rPr>
              <w:t>5.</w:t>
            </w:r>
          </w:p>
        </w:tc>
        <w:tc>
          <w:tcPr>
            <w:tcW w:type="dxa" w:w="3976"/>
            <w:gridSpan w:val="4"/>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b/>
                <w:bCs/>
                <w:sz w:val="20"/>
                <w:szCs w:val="20"/>
                <w:lang w:eastAsia="hr-HR"/>
              </w:rPr>
            </w:pPr>
            <w:r w:rsidRPr="00C80F11">
              <w:rPr>
                <w:rFonts w:cs="Arial" w:eastAsia="Times New Roman" w:hAnsi="Arial" w:ascii="Arial"/>
                <w:b/>
                <w:bCs/>
                <w:sz w:val="20"/>
                <w:szCs w:val="20"/>
                <w:lang w:eastAsia="hr-HR"/>
              </w:rPr>
              <w:t>STANJE NA RAČUNU NA DAN 27.10.2017.GODINE</w:t>
            </w:r>
          </w:p>
        </w:tc>
        <w:tc>
          <w:tcPr>
            <w:tcW w:type="dxa" w:w="118"/>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b/>
                <w:bCs/>
                <w:sz w:val="20"/>
                <w:szCs w:val="20"/>
                <w:lang w:eastAsia="hr-HR"/>
              </w:rPr>
            </w:pPr>
          </w:p>
        </w:tc>
        <w:tc>
          <w:tcPr>
            <w:tcW w:type="dxa" w:w="3910"/>
            <w:tcBorders>
              <w:top w:val="nil"/>
              <w:left w:val="nil"/>
              <w:bottom w:val="nil"/>
              <w:right w:val="nil"/>
            </w:tcBorders>
            <w:shd w:fill="auto" w:color="auto" w:val="clear"/>
            <w:noWrap/>
            <w:vAlign w:val="bottom"/>
            <w:hideMark/>
          </w:tcPr>
          <w:p w:rsidRDefault="00C80F11" w:rsidP="00C80F11" w:rsidR="00C80F11" w:rsidRPr="00C80F11">
            <w:pPr>
              <w:spacing w:after="0"/>
              <w:jc w:val="right"/>
              <w:rPr>
                <w:rFonts w:cs="Arial" w:eastAsia="Times New Roman" w:hAnsi="Arial" w:ascii="Arial"/>
                <w:b/>
                <w:bCs/>
                <w:sz w:val="20"/>
                <w:szCs w:val="20"/>
                <w:lang w:eastAsia="hr-HR"/>
              </w:rPr>
            </w:pPr>
            <w:r w:rsidRPr="00C80F11">
              <w:rPr>
                <w:rFonts w:cs="Arial" w:eastAsia="Times New Roman" w:hAnsi="Arial" w:ascii="Arial"/>
                <w:b/>
                <w:bCs/>
                <w:sz w:val="20"/>
                <w:szCs w:val="20"/>
                <w:lang w:eastAsia="hr-HR"/>
              </w:rPr>
              <w:t>8.132,90</w:t>
            </w:r>
          </w:p>
        </w:tc>
      </w:tr>
      <w:tr w:rsidTr="00C80F11" w:rsidR="00C80F11" w:rsidRPr="00C80F11">
        <w:trPr>
          <w:trHeight w:val="255"/>
        </w:trPr>
        <w:tc>
          <w:tcPr>
            <w:tcW w:type="dxa" w:w="1098"/>
            <w:tcBorders>
              <w:top w:val="nil"/>
              <w:left w:val="nil"/>
              <w:bottom w:val="nil"/>
              <w:right w:val="nil"/>
            </w:tcBorders>
            <w:shd w:fill="auto" w:color="auto" w:val="clear"/>
            <w:noWrap/>
            <w:vAlign w:val="bottom"/>
            <w:hideMark/>
          </w:tcPr>
          <w:p w:rsidRDefault="00C80F11" w:rsidP="00C80F11" w:rsidR="00C80F11" w:rsidRPr="00C80F11">
            <w:pPr>
              <w:spacing w:after="0"/>
              <w:jc w:val="center"/>
              <w:rPr>
                <w:rFonts w:cs="Arial" w:eastAsia="Times New Roman" w:hAnsi="Arial" w:ascii="Arial"/>
                <w:b/>
                <w:bCs/>
                <w:sz w:val="20"/>
                <w:szCs w:val="20"/>
                <w:lang w:eastAsia="hr-HR"/>
              </w:rPr>
            </w:pPr>
          </w:p>
        </w:tc>
        <w:tc>
          <w:tcPr>
            <w:tcW w:type="dxa" w:w="3448"/>
            <w:gridSpan w:val="2"/>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sz w:val="20"/>
                <w:szCs w:val="20"/>
                <w:lang w:eastAsia="hr-HR"/>
              </w:rPr>
            </w:pPr>
            <w:r w:rsidRPr="00C80F11">
              <w:rPr>
                <w:rFonts w:cs="Arial" w:eastAsia="Times New Roman" w:hAnsi="Arial" w:ascii="Arial"/>
                <w:sz w:val="20"/>
                <w:szCs w:val="20"/>
                <w:lang w:eastAsia="hr-HR"/>
              </w:rPr>
              <w:t>žiro račun</w:t>
            </w:r>
          </w:p>
        </w:tc>
        <w:tc>
          <w:tcPr>
            <w:tcW w:type="dxa" w:w="264"/>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sz w:val="20"/>
                <w:szCs w:val="20"/>
                <w:lang w:eastAsia="hr-HR"/>
              </w:rPr>
            </w:pPr>
          </w:p>
        </w:tc>
        <w:tc>
          <w:tcPr>
            <w:tcW w:type="dxa" w:w="264"/>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sz w:val="20"/>
                <w:szCs w:val="20"/>
                <w:lang w:eastAsia="hr-HR"/>
              </w:rPr>
            </w:pPr>
          </w:p>
        </w:tc>
        <w:tc>
          <w:tcPr>
            <w:tcW w:type="dxa" w:w="118"/>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sz w:val="20"/>
                <w:szCs w:val="20"/>
                <w:lang w:eastAsia="hr-HR"/>
              </w:rPr>
            </w:pPr>
          </w:p>
        </w:tc>
        <w:tc>
          <w:tcPr>
            <w:tcW w:type="dxa" w:w="3910"/>
            <w:tcBorders>
              <w:top w:val="nil"/>
              <w:left w:val="nil"/>
              <w:bottom w:val="nil"/>
              <w:right w:val="nil"/>
            </w:tcBorders>
            <w:shd w:fill="auto" w:color="auto" w:val="clear"/>
            <w:noWrap/>
            <w:vAlign w:val="bottom"/>
            <w:hideMark/>
          </w:tcPr>
          <w:p w:rsidRDefault="00C80F11" w:rsidP="00C80F11" w:rsidR="00C80F11" w:rsidRPr="00C80F11">
            <w:pPr>
              <w:spacing w:after="0"/>
              <w:jc w:val="right"/>
              <w:rPr>
                <w:rFonts w:cs="Arial" w:eastAsia="Times New Roman" w:hAnsi="Arial" w:ascii="Arial"/>
                <w:sz w:val="20"/>
                <w:szCs w:val="20"/>
                <w:lang w:eastAsia="hr-HR"/>
              </w:rPr>
            </w:pPr>
            <w:r w:rsidRPr="00C80F11">
              <w:rPr>
                <w:rFonts w:cs="Arial" w:eastAsia="Times New Roman" w:hAnsi="Arial" w:ascii="Arial"/>
                <w:sz w:val="20"/>
                <w:szCs w:val="20"/>
                <w:lang w:eastAsia="hr-HR"/>
              </w:rPr>
              <w:t>7.804,10</w:t>
            </w:r>
          </w:p>
        </w:tc>
      </w:tr>
      <w:tr w:rsidTr="00C80F11" w:rsidR="00C80F11" w:rsidRPr="00C80F11">
        <w:trPr>
          <w:trHeight w:val="255"/>
        </w:trPr>
        <w:tc>
          <w:tcPr>
            <w:tcW w:type="dxa" w:w="1098"/>
            <w:tcBorders>
              <w:top w:val="nil"/>
              <w:left w:val="nil"/>
              <w:bottom w:val="nil"/>
              <w:right w:val="nil"/>
            </w:tcBorders>
            <w:shd w:fill="auto" w:color="auto" w:val="clear"/>
            <w:noWrap/>
            <w:vAlign w:val="bottom"/>
            <w:hideMark/>
          </w:tcPr>
          <w:p w:rsidRDefault="00C80F11" w:rsidP="00C80F11" w:rsidR="00C80F11" w:rsidRPr="00C80F11">
            <w:pPr>
              <w:spacing w:after="0"/>
              <w:jc w:val="center"/>
              <w:rPr>
                <w:rFonts w:cs="Arial" w:eastAsia="Times New Roman" w:hAnsi="Arial" w:ascii="Arial"/>
                <w:b/>
                <w:bCs/>
                <w:sz w:val="20"/>
                <w:szCs w:val="20"/>
                <w:lang w:eastAsia="hr-HR"/>
              </w:rPr>
            </w:pPr>
          </w:p>
        </w:tc>
        <w:tc>
          <w:tcPr>
            <w:tcW w:type="dxa" w:w="3448"/>
            <w:gridSpan w:val="2"/>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sz w:val="20"/>
                <w:szCs w:val="20"/>
                <w:lang w:eastAsia="hr-HR"/>
              </w:rPr>
            </w:pPr>
            <w:r w:rsidRPr="00C80F11">
              <w:rPr>
                <w:rFonts w:cs="Arial" w:eastAsia="Times New Roman" w:hAnsi="Arial" w:ascii="Arial"/>
                <w:sz w:val="20"/>
                <w:szCs w:val="20"/>
                <w:lang w:eastAsia="hr-HR"/>
              </w:rPr>
              <w:t>blagajna</w:t>
            </w:r>
          </w:p>
        </w:tc>
        <w:tc>
          <w:tcPr>
            <w:tcW w:type="dxa" w:w="264"/>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sz w:val="20"/>
                <w:szCs w:val="20"/>
                <w:lang w:eastAsia="hr-HR"/>
              </w:rPr>
            </w:pPr>
          </w:p>
        </w:tc>
        <w:tc>
          <w:tcPr>
            <w:tcW w:type="dxa" w:w="264"/>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sz w:val="20"/>
                <w:szCs w:val="20"/>
                <w:lang w:eastAsia="hr-HR"/>
              </w:rPr>
            </w:pPr>
          </w:p>
        </w:tc>
        <w:tc>
          <w:tcPr>
            <w:tcW w:type="dxa" w:w="118"/>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sz w:val="20"/>
                <w:szCs w:val="20"/>
                <w:lang w:eastAsia="hr-HR"/>
              </w:rPr>
            </w:pPr>
          </w:p>
        </w:tc>
        <w:tc>
          <w:tcPr>
            <w:tcW w:type="dxa" w:w="3910"/>
            <w:tcBorders>
              <w:top w:val="nil"/>
              <w:left w:val="nil"/>
              <w:bottom w:val="nil"/>
              <w:right w:val="nil"/>
            </w:tcBorders>
            <w:shd w:fill="auto" w:color="auto" w:val="clear"/>
            <w:noWrap/>
            <w:vAlign w:val="bottom"/>
            <w:hideMark/>
          </w:tcPr>
          <w:p w:rsidRDefault="00C80F11" w:rsidP="00C80F11" w:rsidR="00C80F11" w:rsidRPr="00C80F11">
            <w:pPr>
              <w:spacing w:after="0"/>
              <w:jc w:val="right"/>
              <w:rPr>
                <w:rFonts w:cs="Arial" w:eastAsia="Times New Roman" w:hAnsi="Arial" w:ascii="Arial"/>
                <w:sz w:val="20"/>
                <w:szCs w:val="20"/>
                <w:lang w:eastAsia="hr-HR"/>
              </w:rPr>
            </w:pPr>
            <w:r w:rsidRPr="00C80F11">
              <w:rPr>
                <w:rFonts w:cs="Arial" w:eastAsia="Times New Roman" w:hAnsi="Arial" w:ascii="Arial"/>
                <w:sz w:val="20"/>
                <w:szCs w:val="20"/>
                <w:lang w:eastAsia="hr-HR"/>
              </w:rPr>
              <w:t>328,80</w:t>
            </w:r>
          </w:p>
        </w:tc>
      </w:tr>
      <w:tr w:rsidTr="00C80F11" w:rsidR="00C80F11" w:rsidRPr="00C80F11">
        <w:trPr>
          <w:trHeight w:val="255"/>
        </w:trPr>
        <w:tc>
          <w:tcPr>
            <w:tcW w:type="dxa" w:w="1098"/>
            <w:tcBorders>
              <w:top w:val="nil"/>
              <w:left w:val="nil"/>
              <w:bottom w:val="nil"/>
              <w:right w:val="nil"/>
            </w:tcBorders>
            <w:shd w:fill="auto" w:color="auto" w:val="clear"/>
            <w:noWrap/>
            <w:vAlign w:val="bottom"/>
            <w:hideMark/>
          </w:tcPr>
          <w:p w:rsidRDefault="00C80F11" w:rsidP="00C80F11" w:rsidR="00C80F11" w:rsidRPr="00C80F11">
            <w:pPr>
              <w:spacing w:after="0"/>
              <w:jc w:val="center"/>
              <w:rPr>
                <w:rFonts w:cs="Arial" w:eastAsia="Times New Roman" w:hAnsi="Arial" w:ascii="Arial"/>
                <w:b/>
                <w:bCs/>
                <w:sz w:val="20"/>
                <w:szCs w:val="20"/>
                <w:lang w:eastAsia="hr-HR"/>
              </w:rPr>
            </w:pPr>
            <w:r w:rsidRPr="00C80F11">
              <w:rPr>
                <w:rFonts w:cs="Arial" w:eastAsia="Times New Roman" w:hAnsi="Arial" w:ascii="Arial"/>
                <w:b/>
                <w:bCs/>
                <w:sz w:val="20"/>
                <w:szCs w:val="20"/>
                <w:lang w:eastAsia="hr-HR"/>
              </w:rPr>
              <w:t>6.</w:t>
            </w:r>
          </w:p>
        </w:tc>
        <w:tc>
          <w:tcPr>
            <w:tcW w:type="dxa" w:w="3712"/>
            <w:gridSpan w:val="3"/>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b/>
                <w:bCs/>
                <w:sz w:val="20"/>
                <w:szCs w:val="20"/>
                <w:lang w:eastAsia="hr-HR"/>
              </w:rPr>
            </w:pPr>
            <w:r w:rsidRPr="00C80F11">
              <w:rPr>
                <w:rFonts w:cs="Arial" w:eastAsia="Times New Roman" w:hAnsi="Arial" w:ascii="Arial"/>
                <w:b/>
                <w:bCs/>
                <w:sz w:val="20"/>
                <w:szCs w:val="20"/>
                <w:lang w:eastAsia="hr-HR"/>
              </w:rPr>
              <w:t>KONTROLNI ZBROJ (4+5)</w:t>
            </w:r>
          </w:p>
        </w:tc>
        <w:tc>
          <w:tcPr>
            <w:tcW w:type="dxa" w:w="264"/>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b/>
                <w:bCs/>
                <w:sz w:val="20"/>
                <w:szCs w:val="20"/>
                <w:lang w:eastAsia="hr-HR"/>
              </w:rPr>
            </w:pPr>
          </w:p>
        </w:tc>
        <w:tc>
          <w:tcPr>
            <w:tcW w:type="dxa" w:w="118"/>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b/>
                <w:bCs/>
                <w:sz w:val="20"/>
                <w:szCs w:val="20"/>
                <w:lang w:eastAsia="hr-HR"/>
              </w:rPr>
            </w:pPr>
          </w:p>
        </w:tc>
        <w:tc>
          <w:tcPr>
            <w:tcW w:type="dxa" w:w="3910"/>
            <w:tcBorders>
              <w:top w:val="nil"/>
              <w:left w:val="nil"/>
              <w:bottom w:val="nil"/>
              <w:right w:val="nil"/>
            </w:tcBorders>
            <w:shd w:fill="auto" w:color="auto" w:val="clear"/>
            <w:noWrap/>
            <w:vAlign w:val="bottom"/>
            <w:hideMark/>
          </w:tcPr>
          <w:p w:rsidRDefault="00C80F11" w:rsidP="00C80F11" w:rsidR="00C80F11" w:rsidRPr="00C80F11">
            <w:pPr>
              <w:spacing w:after="0"/>
              <w:jc w:val="right"/>
              <w:rPr>
                <w:rFonts w:cs="Arial" w:eastAsia="Times New Roman" w:hAnsi="Arial" w:ascii="Arial"/>
                <w:b/>
                <w:bCs/>
                <w:sz w:val="20"/>
                <w:szCs w:val="20"/>
                <w:lang w:eastAsia="hr-HR"/>
              </w:rPr>
            </w:pPr>
            <w:r w:rsidRPr="00C80F11">
              <w:rPr>
                <w:rFonts w:cs="Arial" w:eastAsia="Times New Roman" w:hAnsi="Arial" w:ascii="Arial"/>
                <w:b/>
                <w:bCs/>
                <w:sz w:val="20"/>
                <w:szCs w:val="20"/>
                <w:lang w:eastAsia="hr-HR"/>
              </w:rPr>
              <w:t>8.203,80</w:t>
            </w:r>
          </w:p>
        </w:tc>
      </w:tr>
      <w:tr w:rsidTr="00C80F11" w:rsidR="00C80F11" w:rsidRPr="00C80F11">
        <w:trPr>
          <w:trHeight w:val="255"/>
        </w:trPr>
        <w:tc>
          <w:tcPr>
            <w:tcW w:type="dxa" w:w="1098"/>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sz w:val="20"/>
                <w:szCs w:val="20"/>
                <w:lang w:eastAsia="hr-HR"/>
              </w:rPr>
            </w:pPr>
          </w:p>
        </w:tc>
        <w:tc>
          <w:tcPr>
            <w:tcW w:type="dxa" w:w="3184"/>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b/>
                <w:bCs/>
                <w:sz w:val="20"/>
                <w:szCs w:val="20"/>
                <w:lang w:eastAsia="hr-HR"/>
              </w:rPr>
            </w:pPr>
          </w:p>
        </w:tc>
        <w:tc>
          <w:tcPr>
            <w:tcW w:type="dxa" w:w="264"/>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b/>
                <w:bCs/>
                <w:sz w:val="20"/>
                <w:szCs w:val="20"/>
                <w:lang w:eastAsia="hr-HR"/>
              </w:rPr>
            </w:pPr>
          </w:p>
        </w:tc>
        <w:tc>
          <w:tcPr>
            <w:tcW w:type="dxa" w:w="264"/>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b/>
                <w:bCs/>
                <w:sz w:val="20"/>
                <w:szCs w:val="20"/>
                <w:lang w:eastAsia="hr-HR"/>
              </w:rPr>
            </w:pPr>
          </w:p>
        </w:tc>
        <w:tc>
          <w:tcPr>
            <w:tcW w:type="dxa" w:w="264"/>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b/>
                <w:bCs/>
                <w:sz w:val="20"/>
                <w:szCs w:val="20"/>
                <w:lang w:eastAsia="hr-HR"/>
              </w:rPr>
            </w:pPr>
          </w:p>
        </w:tc>
        <w:tc>
          <w:tcPr>
            <w:tcW w:type="dxa" w:w="118"/>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b/>
                <w:bCs/>
                <w:sz w:val="20"/>
                <w:szCs w:val="20"/>
                <w:lang w:eastAsia="hr-HR"/>
              </w:rPr>
            </w:pPr>
          </w:p>
        </w:tc>
        <w:tc>
          <w:tcPr>
            <w:tcW w:type="dxa" w:w="3910"/>
            <w:tcBorders>
              <w:top w:val="nil"/>
              <w:left w:val="nil"/>
              <w:bottom w:val="nil"/>
              <w:right w:val="nil"/>
            </w:tcBorders>
            <w:shd w:fill="auto" w:color="auto" w:val="clear"/>
            <w:noWrap/>
            <w:vAlign w:val="bottom"/>
            <w:hideMark/>
          </w:tcPr>
          <w:p w:rsidRDefault="00C80F11" w:rsidP="00C80F11" w:rsidR="00C80F11" w:rsidRPr="00C80F11">
            <w:pPr>
              <w:spacing w:after="0"/>
              <w:rPr>
                <w:rFonts w:cs="Arial" w:eastAsia="Times New Roman" w:hAnsi="Arial" w:ascii="Arial"/>
                <w:b/>
                <w:bCs/>
                <w:sz w:val="20"/>
                <w:szCs w:val="20"/>
                <w:lang w:eastAsia="hr-HR"/>
              </w:rPr>
            </w:pPr>
          </w:p>
        </w:tc>
      </w:tr>
    </w:tbl>
    <w:p w:rsidRDefault="00A9668C" w:rsidP="00A9668C" w:rsidR="00A9668C">
      <w:pPr>
        <w:spacing w:after="0"/>
        <w:jc w:val="both"/>
        <w:rPr>
          <w:rFonts w:hAnsi="Bookman Old Style" w:ascii="Bookman Old Style"/>
          <w:b/>
          <w:sz w:val="24"/>
          <w:szCs w:val="24"/>
          <w:lang w:val="pl-PL"/>
        </w:rPr>
      </w:pPr>
    </w:p>
    <w:p w:rsidRDefault="00A9668C" w:rsidP="00A9668C" w:rsidR="00A9668C">
      <w:pPr>
        <w:spacing w:after="0"/>
        <w:jc w:val="both"/>
        <w:rPr>
          <w:rFonts w:hAnsi="Bookman Old Style" w:ascii="Bookman Old Style"/>
          <w:b/>
          <w:sz w:val="24"/>
          <w:szCs w:val="24"/>
          <w:lang w:val="pl-PL"/>
        </w:rPr>
      </w:pPr>
    </w:p>
    <w:p w:rsidRDefault="00A9668C" w:rsidP="00A9668C" w:rsidR="00A9668C">
      <w:pPr>
        <w:spacing w:after="0"/>
        <w:jc w:val="both"/>
        <w:rPr>
          <w:rFonts w:hAnsi="Bookman Old Style" w:ascii="Bookman Old Style"/>
          <w:b/>
          <w:sz w:val="24"/>
          <w:szCs w:val="24"/>
          <w:lang w:val="pl-PL"/>
        </w:rPr>
      </w:pPr>
    </w:p>
    <w:p w:rsidRDefault="00A9668C" w:rsidP="00A9668C" w:rsidR="00A9668C" w:rsidRPr="00A26156">
      <w:pPr>
        <w:spacing w:after="0"/>
        <w:jc w:val="both"/>
        <w:rPr>
          <w:rFonts w:hAnsi="Bookman Old Style" w:ascii="Bookman Old Style"/>
          <w:b/>
          <w:sz w:val="24"/>
          <w:szCs w:val="24"/>
          <w:lang w:val="pl-PL"/>
        </w:rPr>
      </w:pPr>
      <w:r w:rsidRPr="00A26156">
        <w:rPr>
          <w:rFonts w:hAnsi="Bookman Old Style" w:ascii="Bookman Old Style"/>
          <w:b/>
          <w:sz w:val="24"/>
          <w:szCs w:val="24"/>
          <w:lang w:val="pl-PL"/>
        </w:rPr>
        <w:t>III. RADNJE  KOJE ĆE SE PODUZETI U NAREDNOM RAZDOBLJU</w:t>
      </w:r>
    </w:p>
    <w:p w:rsidRDefault="00A9668C" w:rsidP="00A9668C" w:rsidR="00A9668C">
      <w:pPr>
        <w:spacing w:after="0"/>
        <w:jc w:val="both"/>
        <w:rPr>
          <w:rFonts w:hAnsi="Bookman Old Style" w:ascii="Bookman Old Style"/>
          <w:sz w:val="24"/>
          <w:szCs w:val="24"/>
          <w:lang w:val="pl-PL"/>
        </w:rPr>
      </w:pPr>
    </w:p>
    <w:p w:rsidRDefault="00A9668C" w:rsidP="00A9668C" w:rsidR="00A9668C">
      <w:pPr>
        <w:spacing w:after="0"/>
        <w:jc w:val="both"/>
        <w:rPr>
          <w:rFonts w:hAnsi="Bookman Old Style" w:ascii="Bookman Old Style"/>
          <w:sz w:val="24"/>
          <w:szCs w:val="24"/>
          <w:lang w:val="pl-PL"/>
        </w:rPr>
      </w:pPr>
    </w:p>
    <w:p w:rsidRDefault="00A9668C" w:rsidP="00A9668C" w:rsidR="00A9668C">
      <w:pPr>
        <w:rPr>
          <w:rFonts w:hAnsi="Bookman Old Style" w:ascii="Bookman Old Style"/>
          <w:sz w:val="24"/>
          <w:szCs w:val="24"/>
          <w:lang w:val="pl-PL"/>
        </w:rPr>
      </w:pPr>
      <w:r>
        <w:rPr>
          <w:rFonts w:hAnsi="Bookman Old Style" w:ascii="Bookman Old Style"/>
          <w:sz w:val="24"/>
          <w:szCs w:val="24"/>
          <w:lang w:val="pl-PL"/>
        </w:rPr>
        <w:t>Nastaviti će se aktivnosti na procijeni imovine stečajnog dužnika, te će se pokrenuti prodaja</w:t>
      </w:r>
      <w:r w:rsidR="00AC4A57">
        <w:rPr>
          <w:rFonts w:hAnsi="Bookman Old Style" w:ascii="Bookman Old Style"/>
          <w:sz w:val="24"/>
          <w:szCs w:val="24"/>
          <w:lang w:val="pl-PL"/>
        </w:rPr>
        <w:t xml:space="preserve"> iste</w:t>
      </w:r>
      <w:r>
        <w:rPr>
          <w:rFonts w:hAnsi="Bookman Old Style" w:ascii="Bookman Old Style"/>
          <w:sz w:val="24"/>
          <w:szCs w:val="24"/>
          <w:lang w:val="pl-PL"/>
        </w:rPr>
        <w:t>.</w:t>
      </w:r>
    </w:p>
    <w:p w:rsidRDefault="00A9668C" w:rsidP="00A9668C" w:rsidR="00A9668C">
      <w:pPr>
        <w:rPr>
          <w:rFonts w:hAnsi="Bookman Old Style" w:ascii="Bookman Old Style"/>
          <w:sz w:val="24"/>
          <w:szCs w:val="24"/>
          <w:lang w:val="pl-PL"/>
        </w:rPr>
      </w:pPr>
    </w:p>
    <w:p w:rsidRDefault="00A9668C" w:rsidP="00A9668C" w:rsidR="00A9668C" w:rsidRPr="0093029A">
      <w:pPr>
        <w:rPr>
          <w:rFonts w:hAnsi="Bookman Old Style" w:ascii="Bookman Old Style"/>
          <w:sz w:val="24"/>
          <w:szCs w:val="24"/>
          <w:lang w:val="pl-PL"/>
        </w:rPr>
      </w:pPr>
    </w:p>
    <w:p w:rsidRDefault="00C80F11" w:rsidP="00A9668C" w:rsidR="00C80F11">
      <w:pPr>
        <w:rPr>
          <w:rFonts w:hAnsi="Bookman Old Style" w:ascii="Bookman Old Style"/>
          <w:sz w:val="24"/>
          <w:szCs w:val="24"/>
          <w:lang w:val="pl-PL"/>
        </w:rPr>
      </w:pPr>
    </w:p>
    <w:p w:rsidRDefault="00C80F11" w:rsidP="00A9668C" w:rsidR="00C80F11">
      <w:pPr>
        <w:rPr>
          <w:rFonts w:hAnsi="Bookman Old Style" w:ascii="Bookman Old Style"/>
          <w:sz w:val="24"/>
          <w:szCs w:val="24"/>
          <w:lang w:val="pl-PL"/>
        </w:rPr>
      </w:pPr>
    </w:p>
    <w:p w:rsidRDefault="00A9668C" w:rsidP="00A9668C" w:rsidR="00A9668C" w:rsidRPr="0093029A">
      <w:pPr>
        <w:rPr>
          <w:rFonts w:hAnsi="Bookman Old Style" w:ascii="Bookman Old Style"/>
          <w:sz w:val="24"/>
          <w:szCs w:val="24"/>
          <w:lang w:val="pl-PL"/>
        </w:rPr>
      </w:pPr>
      <w:r w:rsidRPr="0093029A">
        <w:rPr>
          <w:rFonts w:hAnsi="Bookman Old Style" w:ascii="Bookman Old Style"/>
          <w:sz w:val="24"/>
          <w:szCs w:val="24"/>
          <w:lang w:val="pl-PL"/>
        </w:rPr>
        <w:t xml:space="preserve">Mjesto i datum </w:t>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t>Stečajni upravitelj</w:t>
      </w:r>
    </w:p>
    <w:p w:rsidRDefault="00A9668C" w:rsidP="00A9668C" w:rsidR="00A9668C" w:rsidRPr="00413091">
      <w:pPr>
        <w:rPr>
          <w:rFonts w:hAnsi="Bookman Old Style" w:ascii="Bookman Old Style"/>
          <w:lang w:val="pl-PL"/>
        </w:rPr>
      </w:pPr>
      <w:r w:rsidRPr="0093029A">
        <w:rPr>
          <w:rFonts w:hAnsi="Bookman Old Style" w:ascii="Bookman Old Style"/>
          <w:sz w:val="24"/>
          <w:szCs w:val="24"/>
          <w:lang w:val="pl-PL"/>
        </w:rPr>
        <w:t xml:space="preserve">Zagreb, </w:t>
      </w:r>
      <w:r>
        <w:rPr>
          <w:rFonts w:hAnsi="Bookman Old Style" w:ascii="Bookman Old Style"/>
          <w:sz w:val="24"/>
          <w:szCs w:val="24"/>
          <w:lang w:val="pl-PL"/>
        </w:rPr>
        <w:t>27</w:t>
      </w:r>
      <w:r w:rsidR="00AC4A57">
        <w:rPr>
          <w:rFonts w:hAnsi="Bookman Old Style" w:ascii="Bookman Old Style"/>
          <w:sz w:val="24"/>
          <w:szCs w:val="24"/>
          <w:lang w:val="pl-PL"/>
        </w:rPr>
        <w:t>.10</w:t>
      </w:r>
      <w:r>
        <w:rPr>
          <w:rFonts w:hAnsi="Bookman Old Style" w:ascii="Bookman Old Style"/>
          <w:sz w:val="24"/>
          <w:szCs w:val="24"/>
          <w:lang w:val="pl-PL"/>
        </w:rPr>
        <w:t>.2017</w:t>
      </w:r>
      <w:r w:rsidRPr="0093029A">
        <w:rPr>
          <w:rFonts w:hAnsi="Bookman Old Style" w:ascii="Bookman Old Style"/>
          <w:sz w:val="24"/>
          <w:szCs w:val="24"/>
          <w:lang w:val="pl-PL"/>
        </w:rPr>
        <w:t xml:space="preserve">.                             </w:t>
      </w:r>
      <w:r>
        <w:rPr>
          <w:rFonts w:hAnsi="Bookman Old Style" w:ascii="Bookman Old Style"/>
          <w:sz w:val="24"/>
          <w:szCs w:val="24"/>
          <w:lang w:val="pl-PL"/>
        </w:rPr>
        <w:t xml:space="preserve">              </w:t>
      </w:r>
      <w:r w:rsidRPr="0093029A">
        <w:rPr>
          <w:rFonts w:hAnsi="Bookman Old Style" w:ascii="Bookman Old Style"/>
          <w:sz w:val="24"/>
          <w:szCs w:val="24"/>
          <w:lang w:val="pl-PL"/>
        </w:rPr>
        <w:t xml:space="preserve">  Davorka Huljev</w:t>
      </w:r>
    </w:p>
    <w:p w:rsidRDefault="000048F2" w:rsidR="000048F2"/>
    <w:sectPr w:rsidSect="002D3076" w:rsidR="000048F2">
      <w:pgSz w:h="16838" w:w="11906"/>
      <w:pgMar w:gutter="0" w:footer="708" w:header="708" w:left="1418"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0AB4362"/>
    <w:multiLevelType w:val="hybridMultilevel"/>
    <w:tmpl w:val="0DE8F71E"/>
    <w:lvl w:tplc="BEDEDAB0" w:ilvl="0">
      <w:start w:val="3"/>
      <w:numFmt w:val="bullet"/>
      <w:lvlText w:val="-"/>
      <w:lvlJc w:val="left"/>
      <w:pPr>
        <w:ind w:hanging="360" w:left="720"/>
      </w:pPr>
      <w:rPr>
        <w:rFonts w:cs="Times New Roman" w:eastAsia="Times New Roman" w:hAnsi="Bookman Old Style" w:ascii="Bookman Old Style"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3A024B5"/>
    <w:multiLevelType w:val="hybridMultilevel"/>
    <w:tmpl w:val="15E679D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4FF72E8"/>
    <w:multiLevelType w:val="multilevel"/>
    <w:tmpl w:val="EEAE4D12"/>
    <w:lvl w:ilvl="0">
      <w:start w:val="1"/>
      <w:numFmt w:val="decimal"/>
      <w:lvlText w:val="%1."/>
      <w:lvlJc w:val="left"/>
      <w:pPr>
        <w:ind w:hanging="450" w:left="450"/>
      </w:pPr>
      <w:rPr>
        <w:rFonts w:hint="default"/>
      </w:rPr>
    </w:lvl>
    <w:lvl w:ilvl="1">
      <w:start w:val="1"/>
      <w:numFmt w:val="decimal"/>
      <w:lvlText w:val="%1.%2."/>
      <w:lvlJc w:val="left"/>
      <w:pPr>
        <w:ind w:hanging="720" w:left="72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1080" w:left="1080"/>
      </w:pPr>
      <w:rPr>
        <w:rFonts w:hint="default"/>
      </w:rPr>
    </w:lvl>
    <w:lvl w:ilvl="4">
      <w:start w:val="1"/>
      <w:numFmt w:val="decimal"/>
      <w:lvlText w:val="%1.%2.%3.%4.%5."/>
      <w:lvlJc w:val="left"/>
      <w:pPr>
        <w:ind w:hanging="1440" w:left="1440"/>
      </w:pPr>
      <w:rPr>
        <w:rFonts w:hint="default"/>
      </w:rPr>
    </w:lvl>
    <w:lvl w:ilvl="5">
      <w:start w:val="1"/>
      <w:numFmt w:val="decimal"/>
      <w:lvlText w:val="%1.%2.%3.%4.%5.%6."/>
      <w:lvlJc w:val="left"/>
      <w:pPr>
        <w:ind w:hanging="1440" w:left="1440"/>
      </w:pPr>
      <w:rPr>
        <w:rFonts w:hint="default"/>
      </w:rPr>
    </w:lvl>
    <w:lvl w:ilvl="6">
      <w:start w:val="1"/>
      <w:numFmt w:val="decimal"/>
      <w:lvlText w:val="%1.%2.%3.%4.%5.%6.%7."/>
      <w:lvlJc w:val="left"/>
      <w:pPr>
        <w:ind w:hanging="1800" w:left="1800"/>
      </w:pPr>
      <w:rPr>
        <w:rFonts w:hint="default"/>
      </w:rPr>
    </w:lvl>
    <w:lvl w:ilvl="7">
      <w:start w:val="1"/>
      <w:numFmt w:val="decimal"/>
      <w:lvlText w:val="%1.%2.%3.%4.%5.%6.%7.%8."/>
      <w:lvlJc w:val="left"/>
      <w:pPr>
        <w:ind w:hanging="1800" w:left="1800"/>
      </w:pPr>
      <w:rPr>
        <w:rFonts w:hint="default"/>
      </w:rPr>
    </w:lvl>
    <w:lvl w:ilvl="8">
      <w:start w:val="1"/>
      <w:numFmt w:val="decimal"/>
      <w:lvlText w:val="%1.%2.%3.%4.%5.%6.%7.%8.%9."/>
      <w:lvlJc w:val="left"/>
      <w:pPr>
        <w:ind w:hanging="2160" w:left="2160"/>
      </w:pPr>
      <w:rPr>
        <w:rFonts w:hint="default"/>
      </w:rPr>
    </w:lvl>
  </w:abstractNum>
  <w:abstractNum w:abstractNumId="3">
    <w:nsid w:val="76D933CE"/>
    <w:multiLevelType w:val="hybridMultilevel"/>
    <w:tmpl w:val="D910F05E"/>
    <w:lvl w:tplc="01509216" w:ilvl="0">
      <w:start w:val="3"/>
      <w:numFmt w:val="bullet"/>
      <w:lvlText w:val="-"/>
      <w:lvlJc w:val="left"/>
      <w:pPr>
        <w:ind w:hanging="360" w:left="720"/>
      </w:pPr>
      <w:rPr>
        <w:rFonts w:cs="Times New Roman" w:eastAsia="Times New Roman" w:hAnsi="Bookman Old Style" w:ascii="Bookman Old Style"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9668C"/>
    <w:rsid w:val="000048F2"/>
    <w:rsid w:val="000A1F99"/>
    <w:rsid w:val="002D3076"/>
    <w:rsid w:val="008A51B9"/>
    <w:rsid w:val="009F02F3"/>
    <w:rsid w:val="00A9668C"/>
    <w:rsid w:val="00AC4A57"/>
    <w:rsid w:val="00C80F11"/>
    <w:rsid w:val="00DF54F9"/>
    <w:rsid w:val="00E02400"/>
    <w:rsid w:val="00E54CC2"/>
    <w:rsid w:val="00ED714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9668C"/>
    <w:pPr>
      <w:spacing w:lineRule="auto" w:line="240" w:after="8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A9668C"/>
    <w:pPr>
      <w:spacing w:after="0"/>
      <w:jc w:val="both"/>
    </w:pPr>
    <w:rPr>
      <w:rFonts w:eastAsia="Times New Roman" w:hAnsi="Bookman Old Style" w:ascii="Bookman Old Style"/>
      <w:sz w:val="24"/>
      <w:szCs w:val="20"/>
      <w:lang w:eastAsia="hr-HR"/>
    </w:rPr>
  </w:style>
  <w:style w:customStyle="true" w:styleId="TijelotekstaChar" w:type="character">
    <w:name w:val="Tijelo teksta Char"/>
    <w:basedOn w:val="Zadanifontodlomka"/>
    <w:link w:val="Tijeloteksta"/>
    <w:rsid w:val="00A9668C"/>
    <w:rPr>
      <w:rFonts w:cs="Times New Roman" w:eastAsia="Times New Roman" w:hAnsi="Bookman Old Style" w:ascii="Bookman Old Style"/>
      <w:sz w:val="24"/>
      <w:szCs w:val="20"/>
      <w:lang w:eastAsia="hr-HR"/>
    </w:rPr>
  </w:style>
  <w:style w:styleId="Odlomakpopisa" w:type="paragraph">
    <w:name w:val="List Paragraph"/>
    <w:basedOn w:val="Normal"/>
    <w:uiPriority w:val="34"/>
    <w:qFormat/>
    <w:rsid w:val="00A9668C"/>
    <w:pPr>
      <w:ind w:left="720"/>
      <w:contextualSpacing/>
    </w:pPr>
  </w:style>
  <w:style w:styleId="Zaglavlje" w:type="paragraph">
    <w:name w:val="header"/>
    <w:basedOn w:val="Normal"/>
    <w:link w:val="ZaglavljeChar"/>
    <w:uiPriority w:val="99"/>
    <w:rsid w:val="00A9668C"/>
    <w:pPr>
      <w:tabs>
        <w:tab w:pos="4153" w:val="center"/>
        <w:tab w:pos="8306" w:val="right"/>
      </w:tabs>
      <w:spacing w:after="0"/>
    </w:pPr>
    <w:rPr>
      <w:rFonts w:eastAsia="Times New Roman" w:hAnsi="Times New Roman" w:ascii="Times New Roman"/>
      <w:sz w:val="24"/>
      <w:szCs w:val="20"/>
      <w:lang w:eastAsia="hr-HR" w:val="en-US"/>
    </w:rPr>
  </w:style>
  <w:style w:customStyle="true" w:styleId="ZaglavljeChar" w:type="character">
    <w:name w:val="Zaglavlje Char"/>
    <w:basedOn w:val="Zadanifontodlomka"/>
    <w:link w:val="Zaglavlje"/>
    <w:uiPriority w:val="99"/>
    <w:rsid w:val="00A9668C"/>
    <w:rPr>
      <w:rFonts w:cs="Times New Roman" w:eastAsia="Times New Roman" w:hAnsi="Times New Roman" w:ascii="Times New Roman"/>
      <w:sz w:val="24"/>
      <w:szCs w:val="20"/>
      <w:lang w:eastAsia="hr-HR" w:val="en-US"/>
    </w:rPr>
  </w:style>
  <w:style w:styleId="Tekstrezerviranogmjesta" w:type="character">
    <w:name w:val="Placeholder Text"/>
    <w:basedOn w:val="Zadanifontodlomka"/>
    <w:uiPriority w:val="99"/>
    <w:semiHidden/>
    <w:rsid w:val="00E02400"/>
    <w:rPr>
      <w:color w:val="808080"/>
      <w:bdr w:space="0" w:sz="0" w:color="auto" w:val="none"/>
      <w:shd w:fill="auto" w:color="auto" w:val="clear"/>
    </w:rPr>
  </w:style>
  <w:style w:customStyle="true" w:styleId="eSPISCCParagraphDefaultFont" w:type="character">
    <w:name w:val="eSPIS_CC_Paragraph Default Font"/>
    <w:basedOn w:val="Zadanifontodlomka"/>
    <w:rsid w:val="00E0240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02400"/>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E02400"/>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E02400"/>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9668C"/>
    <w:pPr>
      <w:spacing w:after="80" w:line="240"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A9668C"/>
    <w:pPr>
      <w:spacing w:after="0"/>
      <w:jc w:val="both"/>
    </w:pPr>
    <w:rPr>
      <w:rFonts w:ascii="Bookman Old Style" w:eastAsia="Times New Roman" w:hAnsi="Bookman Old Style"/>
      <w:sz w:val="24"/>
      <w:szCs w:val="20"/>
      <w:lang w:eastAsia="hr-HR"/>
    </w:rPr>
  </w:style>
  <w:style w:customStyle="1" w:styleId="TijelotekstaChar" w:type="character">
    <w:name w:val="Tijelo teksta Char"/>
    <w:basedOn w:val="Zadanifontodlomka"/>
    <w:link w:val="Tijeloteksta"/>
    <w:rsid w:val="00A9668C"/>
    <w:rPr>
      <w:rFonts w:ascii="Bookman Old Style" w:cs="Times New Roman" w:eastAsia="Times New Roman" w:hAnsi="Bookman Old Style"/>
      <w:sz w:val="24"/>
      <w:szCs w:val="20"/>
      <w:lang w:eastAsia="hr-HR"/>
    </w:rPr>
  </w:style>
  <w:style w:styleId="Odlomakpopisa" w:type="paragraph">
    <w:name w:val="List Paragraph"/>
    <w:basedOn w:val="Normal"/>
    <w:uiPriority w:val="34"/>
    <w:qFormat/>
    <w:rsid w:val="00A9668C"/>
    <w:pPr>
      <w:ind w:left="720"/>
      <w:contextualSpacing/>
    </w:pPr>
  </w:style>
  <w:style w:styleId="Zaglavlje" w:type="paragraph">
    <w:name w:val="header"/>
    <w:basedOn w:val="Normal"/>
    <w:link w:val="ZaglavljeChar"/>
    <w:uiPriority w:val="99"/>
    <w:rsid w:val="00A9668C"/>
    <w:pPr>
      <w:tabs>
        <w:tab w:pos="4153" w:val="center"/>
        <w:tab w:pos="8306" w:val="right"/>
      </w:tabs>
      <w:spacing w:after="0"/>
    </w:pPr>
    <w:rPr>
      <w:rFonts w:ascii="Times New Roman" w:eastAsia="Times New Roman" w:hAnsi="Times New Roman"/>
      <w:sz w:val="24"/>
      <w:szCs w:val="20"/>
      <w:lang w:eastAsia="hr-HR" w:val="en-US"/>
    </w:rPr>
  </w:style>
  <w:style w:customStyle="1" w:styleId="ZaglavljeChar" w:type="character">
    <w:name w:val="Zaglavlje Char"/>
    <w:basedOn w:val="Zadanifontodlomka"/>
    <w:link w:val="Zaglavlje"/>
    <w:uiPriority w:val="99"/>
    <w:rsid w:val="00A9668C"/>
    <w:rPr>
      <w:rFonts w:ascii="Times New Roman" w:cs="Times New Roman" w:eastAsia="Times New Roman" w:hAnsi="Times New Roman"/>
      <w:sz w:val="24"/>
      <w:szCs w:val="20"/>
      <w:lang w:eastAsia="hr-HR" w:val="en-US"/>
    </w:rPr>
  </w:style>
  <w:style w:styleId="Tekstrezerviranogmjesta" w:type="character">
    <w:name w:val="Placeholder Text"/>
    <w:basedOn w:val="Zadanifontodlomka"/>
    <w:uiPriority w:val="99"/>
    <w:semiHidden/>
    <w:rsid w:val="00E02400"/>
    <w:rPr>
      <w:color w:val="808080"/>
      <w:bdr w:color="auto" w:space="0" w:sz="0" w:val="none"/>
      <w:shd w:color="auto" w:fill="auto" w:val="clear"/>
    </w:rPr>
  </w:style>
  <w:style w:customStyle="1" w:styleId="eSPISCCParagraphDefaultFont" w:type="character">
    <w:name w:val="eSPIS_CC_Paragraph Default Font"/>
    <w:basedOn w:val="Zadanifontodlomka"/>
    <w:rsid w:val="00E0240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02400"/>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E02400"/>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E02400"/>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58939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St-6047/2016-43</izvorni_sadrzaj>
    <derivirana_varijabla naziv="DomainObject.Oznaka_1">St-6047/2016-43</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10</izvorni_sadrzaj>
    <derivirana_varijabla naziv="DomainObject.BrojStranica_1">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6047</izvorni_sadrzaj>
    <derivirana_varijabla naziv="DomainObject.Predmet.Broj_1">6047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rujna 2016.</izvorni_sadrzaj>
    <derivirana_varijabla naziv="DomainObject.Predmet.DatumOsnivanja_1">20.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St-6047/2016</izvorni_sadrzaj>
    <derivirana_varijabla naziv="DomainObject.Predmet.OznakaBroj_1">St-6047/2016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SG SJEVER 1978 d.o.o.</izvorni_sadrzaj>
    <derivirana_varijabla naziv="DomainObject.Predmet.ProtustrankaFormated_1">  SG SJEVER 1978 d.o.o.</derivirana_varijabla>
  </DomainObject.Predmet.ProtustrankaFormated>
  <DomainObject.Predmet.ProtustrankaFormatedOIB>
    <izvorni_sadrzaj>  SG SJEVER 1978 d.o.o., OIB 78737820823</izvorni_sadrzaj>
    <derivirana_varijabla naziv="DomainObject.Predmet.ProtustrankaFormatedOIB_1">  SG SJEVER 1978 d.o.o., OIB 78737820823</derivirana_varijabla>
  </DomainObject.Predmet.ProtustrankaFormatedOIB>
  <DomainObject.Predmet.ProtustrankaFormatedWithAdress>
    <izvorni_sadrzaj> SG SJEVER 1978 d.o.o., Ilica 109, 10000 Zagreb</izvorni_sadrzaj>
    <derivirana_varijabla naziv="DomainObject.Predmet.ProtustrankaFormatedWithAdress_1"> SG SJEVER 1978 d.o.o., Ilica 109, 10000 Zagreb</derivirana_varijabla>
  </DomainObject.Predmet.ProtustrankaFormatedWithAdress>
  <DomainObject.Predmet.ProtustrankaFormatedWithAdressOIB>
    <izvorni_sadrzaj> SG SJEVER 1978 d.o.o., OIB 78737820823, Ilica 109, 10000 Zagreb</izvorni_sadrzaj>
    <derivirana_varijabla naziv="DomainObject.Predmet.ProtustrankaFormatedWithAdressOIB_1"> SG SJEVER 1978 d.o.o., OIB 78737820823, Ilica 109, 10000 Zagreb</derivirana_varijabla>
  </DomainObject.Predmet.ProtustrankaFormatedWithAdressOIB>
  <DomainObject.Predmet.ProtustrankaWithAdress>
    <izvorni_sadrzaj>SG SJEVER 1978 d.o.o. Ilica 109, 10000 Zagreb</izvorni_sadrzaj>
    <derivirana_varijabla naziv="DomainObject.Predmet.ProtustrankaWithAdress_1">SG SJEVER 1978 d.o.o. Ilica 109, 10000 Zagreb</derivirana_varijabla>
  </DomainObject.Predmet.ProtustrankaWithAdress>
  <DomainObject.Predmet.ProtustrankaWithAdressOIB>
    <izvorni_sadrzaj>SG SJEVER 1978 d.o.o., OIB 78737820823, Ilica 109, 10000 Zagreb</izvorni_sadrzaj>
    <derivirana_varijabla naziv="DomainObject.Predmet.ProtustrankaWithAdressOIB_1">SG SJEVER 1978 d.o.o., OIB 78737820823, Ilica 109, 10000 Zagreb</derivirana_varijabla>
  </DomainObject.Predmet.ProtustrankaWithAdressOIB>
  <DomainObject.Predmet.ProtustrankaNazivFormated>
    <izvorni_sadrzaj>SG SJEVER 1978 d.o.o.</izvorni_sadrzaj>
    <derivirana_varijabla naziv="DomainObject.Predmet.ProtustrankaNazivFormated_1">SG SJEVER 1978 d.o.o.</derivirana_varijabla>
  </DomainObject.Predmet.ProtustrankaNazivFormated>
  <DomainObject.Predmet.ProtustrankaNazivFormatedOIB>
    <izvorni_sadrzaj>SG SJEVER 1978 d.o.o., OIB 78737820823</izvorni_sadrzaj>
    <derivirana_varijabla naziv="DomainObject.Predmet.ProtustrankaNazivFormatedOIB_1">SG SJEVER 1978 d.o.o., OIB 78737820823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BUTERIN&amp;POSAVEC odvjetničko društvo, društvo s ograničenom odgovornošću; SG Konzalt jednostavno društvo s ograničenom odgovornošću za usluge</izvorni_sadrzaj>
    <derivirana_varijabla naziv="DomainObject.Predmet.StrankaFormated_1">  FINA Regionalni centar Zagreb; BUTERIN&amp;POSAVEC odvjetničko društvo, društvo s ograničenom odgovornošću; SG Konzalt jednostavno društvo s ograničenom odgovornošću za usluge</derivirana_varijabla>
  </DomainObject.Predmet.StrankaFormated>
  <DomainObject.Predmet.StrankaFormatedOIB>
    <izvorni_sadrzaj>  FINA Regionalni centar Zagreb, OIB 85821130368; BUTERIN&amp;POSAVEC odvjetničko društvo, društvo s ograničenom odgovornošću, OIB 88443826619; SG Konzalt jednostavno društvo s ograničenom odgovornošću za usluge, OIB 12372925940</izvorni_sadrzaj>
    <derivirana_varijabla naziv="DomainObject.Predmet.StrankaFormatedOIB_1">  FINA Regionalni centar Zagreb, OIB 85821130368; BUTERIN&amp;POSAVEC odvjetničko društvo, društvo s ograničenom odgovornošću, OIB 88443826619; SG Konzalt jednostavno društvo s ograničenom odgovornošću za usluge, OIB 12372925940</derivirana_varijabla>
  </DomainObject.Predmet.StrankaFormatedOIB>
  <DomainObject.Predmet.StrankaFormatedWithAdress>
    <izvorni_sadrzaj> FINA Regionalni centar Zagreb, Trg svibanjskih žrtava 1995. 1, 10000 Zagreb; BUTERIN&amp;POSAVEC odvjetničko društvo, društvo s ograničenom odgovornošću, Draškovićeva 82, 10000 Zagreb; SG Konzalt jednostavno društvo s ograničenom odgovornošću za usluge, Ilica 109, 10000 Zagreb</izvorni_sadrzaj>
    <derivirana_varijabla naziv="DomainObject.Predmet.StrankaFormatedWithAdress_1"> FINA Regionalni centar Zagreb, Trg svibanjskih žrtava 1995. 1, 10000 Zagreb; BUTERIN&amp;POSAVEC odvjetničko društvo, društvo s ograničenom odgovornošću, Draškovićeva 82, 10000 Zagreb; SG Konzalt jednostavno društvo s ograničenom odgovornošću za usluge, Ilica 109, 10000 Zagreb</derivirana_varijabla>
  </DomainObject.Predmet.StrankaFormatedWithAdress>
  <DomainObject.Predmet.StrankaFormatedWithAdressOIB>
    <izvorni_sadrzaj> FINA Regionalni centar Zagreb, OIB 85821130368, Trg svibanjskih žrtava 1995. 1, 10000 Zagreb; BUTERIN&amp;POSAVEC odvjetničko društvo, društvo s ograničenom odgovornošću, OIB 88443826619, Draškovićeva 82, 10000 Zagreb; SG Konzalt jednostavno društvo s ograničenom odgovornošću za usluge, OIB 12372925940, Ilica 109, 10000 Zagreb</izvorni_sadrzaj>
    <derivirana_varijabla naziv="DomainObject.Predmet.StrankaFormatedWithAdressOIB_1"> FINA Regionalni centar Zagreb, OIB 85821130368, Trg svibanjskih žrtava 1995. 1, 10000 Zagreb; BUTERIN&amp;POSAVEC odvjetničko društvo, društvo s ograničenom odgovornošću, OIB 88443826619, Draškovićeva 82, 10000 Zagreb; SG Konzalt jednostavno društvo s ograničenom odgovornošću za usluge, OIB 12372925940, Ilica 109, 10000 Zagreb</derivirana_varijabla>
  </DomainObject.Predmet.StrankaFormatedWithAdressOIB>
  <DomainObject.Predmet.StrankaWithAdress>
    <izvorni_sadrzaj>FINA Regionalni centar Zagreb Trg svibanjskih žrtava 1995. 1,10000 Zagreb,BUTERIN&amp;POSAVEC odvjetničko društvo, društvo s ograničenom odgovornošću Draškovićeva 82,10000 Zagreb,SG Konzalt jednostavno društvo s ograničenom odgovornošću za usluge Ilica 109,10000 Zagreb</izvorni_sadrzaj>
    <derivirana_varijabla naziv="DomainObject.Predmet.StrankaWithAdress_1">FINA Regionalni centar Zagreb Trg svibanjskih žrtava 1995. 1,10000 Zagreb,BUTERIN&amp;POSAVEC odvjetničko društvo, društvo s ograničenom odgovornošću Draškovićeva 82,10000 Zagreb,SG Konzalt jednostavno društvo s ograničenom odgovornošću za usluge Ilica 109,10000 Zagreb</derivirana_varijabla>
  </DomainObject.Predmet.StrankaWithAdress>
  <DomainObject.Predmet.StrankaWithAdressOIB>
    <izvorni_sadrzaj>FINA Regionalni centar Zagreb, OIB 85821130368, Trg svibanjskih žrtava 1995. 1,10000 Zagreb,BUTERIN&amp;POSAVEC odvjetničko društvo, društvo s ograničenom odgovornošću, OIB 88443826619, Draškovićeva 82,10000 Zagreb,SG Konzalt jednostavno društvo s ograničenom odgovornošću za usluge, OIB 12372925940, Ilica 109,10000 Zagreb</izvorni_sadrzaj>
    <derivirana_varijabla naziv="DomainObject.Predmet.StrankaWithAdressOIB_1">FINA Regionalni centar Zagreb, OIB 85821130368, Trg svibanjskih žrtava 1995. 1,10000 Zagreb,BUTERIN&amp;POSAVEC odvjetničko društvo, društvo s ograničenom odgovornošću, OIB 88443826619, Draškovićeva 82,10000 Zagreb,SG Konzalt jednostavno društvo s ograničenom odgovornošću za usluge, OIB 12372925940, Ilica 109,10000 Zagreb</derivirana_varijabla>
  </DomainObject.Predmet.StrankaWithAdressOIB>
  <DomainObject.Predmet.StrankaNazivFormated>
    <izvorni_sadrzaj>FINA Regionalni centar Zagreb,BUTERIN&amp;POSAVEC odvjetničko društvo, društvo s ograničenom odgovornošću,SG Konzalt jednostavno društvo s ograničenom odgovornošću za usluge</izvorni_sadrzaj>
    <derivirana_varijabla naziv="DomainObject.Predmet.StrankaNazivFormated_1">FINA Regionalni centar Zagreb,BUTERIN&amp;POSAVEC odvjetničko društvo, društvo s ograničenom odgovornošću,SG Konzalt jednostavno društvo s ograničenom odgovornošću za usluge</derivirana_varijabla>
  </DomainObject.Predmet.StrankaNazivFormated>
  <DomainObject.Predmet.StrankaNazivFormatedOIB>
    <izvorni_sadrzaj>FINA Regionalni centar Zagreb, OIB 85821130368,BUTERIN&amp;POSAVEC odvjetničko društvo, društvo s ograničenom odgovornošću, OIB 88443826619,SG Konzalt jednostavno društvo s ograničenom odgovornošću za usluge, OIB 12372925940</izvorni_sadrzaj>
    <derivirana_varijabla naziv="DomainObject.Predmet.StrankaNazivFormatedOIB_1">FINA Regionalni centar Zagreb, OIB 85821130368,BUTERIN&amp;POSAVEC odvjetničko društvo, društvo s ograničenom odgovornošću, OIB 88443826619,SG Konzalt jednostavno društvo s ograničenom odgovornošću za usluge, OIB 12372925940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BUTERIN&amp;POSAVEC odvjetničko društvo, društvo s ograničenom odgovornošću</item>
      <item>SG Konzalt jednostavno društvo s ograničenom odgovornošću za usluge</item>
    </izvorni_sadrzaj>
    <derivirana_varijabla naziv="DomainObject.Predmet.StrankaListFormated_1">
      <item>FINA Regionalni centar Zagreb</item>
      <item>BUTERIN&amp;POSAVEC odvjetničko društvo, društvo s ograničenom odgovornošću</item>
      <item>SG Konzalt jednostavno društvo s ograničenom odgovornošću za usluge</item>
    </derivirana_varijabla>
  </DomainObject.Predmet.StrankaListFormated>
  <DomainObject.Predmet.StrankaListFormatedOIB>
    <izvorni_sadrzaj>
      <item>FINA Regionalni centar Zagreb, OIB 85821130368</item>
      <item>BUTERIN&amp;POSAVEC odvjetničko društvo, društvo s ograničenom odgovornošću, OIB 88443826619</item>
      <item>SG Konzalt jednostavno društvo s ograničenom odgovornošću za usluge, OIB 12372925940</item>
    </izvorni_sadrzaj>
    <derivirana_varijabla naziv="DomainObject.Predmet.StrankaListFormatedOIB_1">
      <item>FINA Regionalni centar Zagreb, OIB 85821130368</item>
      <item>BUTERIN&amp;POSAVEC odvjetničko društvo, društvo s ograničenom odgovornošću, OIB 88443826619</item>
      <item>SG Konzalt jednostavno društvo s ograničenom odgovornošću za usluge, OIB 12372925940</item>
    </derivirana_varijabla>
  </DomainObject.Predmet.StrankaListFormatedOIB>
  <DomainObject.Predmet.StrankaListFormatedWithAdress>
    <izvorni_sadrzaj>
      <item>FINA Regionalni centar Zagreb, Trg svibanjskih žrtava 1995. 1, 10000 Zagreb</item>
      <item>BUTERIN&amp;POSAVEC odvjetničko društvo, društvo s ograničenom odgovornošću, Draškovićeva 82, 10000 Zagreb</item>
      <item>SG Konzalt jednostavno društvo s ograničenom odgovornošću za usluge, Ilica 109, 10000 Zagreb</item>
    </izvorni_sadrzaj>
    <derivirana_varijabla naziv="DomainObject.Predmet.StrankaListFormatedWithAdress_1">
      <item>FINA Regionalni centar Zagreb, Trg svibanjskih žrtava 1995. 1, 10000 Zagreb</item>
      <item>BUTERIN&amp;POSAVEC odvjetničko društvo, društvo s ograničenom odgovornošću, Draškovićeva 82, 10000 Zagreb</item>
      <item>SG Konzalt jednostavno društvo s ograničenom odgovornošću za usluge, Ilica 109, 10000 Zagreb</item>
    </derivirana_varijabla>
  </DomainObject.Predmet.StrankaListFormatedWithAdress>
  <DomainObject.Predmet.StrankaListFormatedWithAdressOIB>
    <izvorni_sadrzaj>
      <item>FINA Regionalni centar Zagreb, OIB 85821130368, Trg svibanjskih žrtava 1995. 1, 10000 Zagreb</item>
      <item>BUTERIN&amp;POSAVEC odvjetničko društvo, društvo s ograničenom odgovornošću, OIB 88443826619, Draškovićeva 82, 10000 Zagreb</item>
      <item>SG Konzalt jednostavno društvo s ograničenom odgovornošću za usluge, OIB 12372925940, Ilica 109, 10000 Zagreb</item>
    </izvorni_sadrzaj>
    <derivirana_varijabla naziv="DomainObject.Predmet.StrankaListFormatedWithAdressOIB_1">
      <item>FINA Regionalni centar Zagreb, OIB 85821130368, Trg svibanjskih žrtava 1995. 1, 10000 Zagreb</item>
      <item>BUTERIN&amp;POSAVEC odvjetničko društvo, društvo s ograničenom odgovornošću, OIB 88443826619, Draškovićeva 82, 10000 Zagreb</item>
      <item>SG Konzalt jednostavno društvo s ograničenom odgovornošću za usluge, OIB 12372925940, Ilica 109, 10000 Zagreb</item>
    </derivirana_varijabla>
  </DomainObject.Predmet.StrankaListFormatedWithAdressOIB>
  <DomainObject.Predmet.StrankaListNazivFormated>
    <izvorni_sadrzaj>
      <item>FINA Regionalni centar Zagreb</item>
      <item>BUTERIN&amp;POSAVEC odvjetničko društvo, društvo s ograničenom odgovornošću</item>
      <item>SG Konzalt jednostavno društvo s ograničenom odgovornošću za usluge</item>
    </izvorni_sadrzaj>
    <derivirana_varijabla naziv="DomainObject.Predmet.StrankaListNazivFormated_1">
      <item>FINA Regionalni centar Zagreb</item>
      <item>BUTERIN&amp;POSAVEC odvjetničko društvo, društvo s ograničenom odgovornošću</item>
      <item>SG Konzalt jednostavno društvo s ograničenom odgovornošću za usluge</item>
    </derivirana_varijabla>
  </DomainObject.Predmet.StrankaListNazivFormated>
  <DomainObject.Predmet.StrankaListNazivFormatedOIB>
    <izvorni_sadrzaj>
      <item>FINA Regionalni centar Zagreb, OIB 85821130368</item>
      <item>BUTERIN&amp;POSAVEC odvjetničko društvo, društvo s ograničenom odgovornošću, OIB 88443826619</item>
      <item>SG Konzalt jednostavno društvo s ograničenom odgovornošću za usluge, OIB 12372925940</item>
    </izvorni_sadrzaj>
    <derivirana_varijabla naziv="DomainObject.Predmet.StrankaListNazivFormatedOIB_1">
      <item>FINA Regionalni centar Zagreb, OIB 85821130368</item>
      <item>BUTERIN&amp;POSAVEC odvjetničko društvo, društvo s ograničenom odgovornošću, OIB 88443826619</item>
      <item>SG Konzalt jednostavno društvo s ograničenom odgovornošću za usluge, OIB 12372925940</item>
    </derivirana_varijabla>
  </DomainObject.Predmet.StrankaListNazivFormatedOIB>
  <DomainObject.Predmet.ProtuStrankaListFormated>
    <izvorni_sadrzaj>
      <item>SG SJEVER 1978 d.o.o.</item>
    </izvorni_sadrzaj>
    <derivirana_varijabla naziv="DomainObject.Predmet.ProtuStrankaListFormated_1">
      <item>SG SJEVER 1978 d.o.o.</item>
    </derivirana_varijabla>
  </DomainObject.Predmet.ProtuStrankaListFormated>
  <DomainObject.Predmet.ProtuStrankaListFormatedOIB>
    <izvorni_sadrzaj>
      <item>SG SJEVER 1978 d.o.o., OIB 78737820823</item>
    </izvorni_sadrzaj>
    <derivirana_varijabla naziv="DomainObject.Predmet.ProtuStrankaListFormatedOIB_1">
      <item>SG SJEVER 1978 d.o.o., OIB 78737820823</item>
    </derivirana_varijabla>
  </DomainObject.Predmet.ProtuStrankaListFormatedOIB>
  <DomainObject.Predmet.ProtuStrankaListFormatedWithAdress>
    <izvorni_sadrzaj>
      <item>SG SJEVER 1978 d.o.o., Ilica 109, 10000 Zagreb</item>
    </izvorni_sadrzaj>
    <derivirana_varijabla naziv="DomainObject.Predmet.ProtuStrankaListFormatedWithAdress_1">
      <item>SG SJEVER 1978 d.o.o., Ilica 109, 10000 Zagreb</item>
    </derivirana_varijabla>
  </DomainObject.Predmet.ProtuStrankaListFormatedWithAdress>
  <DomainObject.Predmet.ProtuStrankaListFormatedWithAdressOIB>
    <izvorni_sadrzaj>
      <item>SG SJEVER 1978 d.o.o., OIB 78737820823, Ilica 109, 10000 Zagreb</item>
    </izvorni_sadrzaj>
    <derivirana_varijabla naziv="DomainObject.Predmet.ProtuStrankaListFormatedWithAdressOIB_1">
      <item>SG SJEVER 1978 d.o.o., OIB 78737820823, Ilica 109, 10000 Zagreb</item>
    </derivirana_varijabla>
  </DomainObject.Predmet.ProtuStrankaListFormatedWithAdressOIB>
  <DomainObject.Predmet.ProtuStrankaListNazivFormated>
    <izvorni_sadrzaj>
      <item>SG SJEVER 1978 d.o.o.</item>
    </izvorni_sadrzaj>
    <derivirana_varijabla naziv="DomainObject.Predmet.ProtuStrankaListNazivFormated_1">
      <item>SG SJEVER 1978 d.o.o.</item>
    </derivirana_varijabla>
  </DomainObject.Predmet.ProtuStrankaListNazivFormated>
  <DomainObject.Predmet.ProtuStrankaListNazivFormatedOIB>
    <izvorni_sadrzaj>
      <item>SG SJEVER 1978 d.o.o., OIB 78737820823</item>
    </izvorni_sadrzaj>
    <derivirana_varijabla naziv="DomainObject.Predmet.ProtuStrankaListNazivFormatedOIB_1">
      <item>SG SJEVER 1978 d.o.o., OIB 78737820823</item>
    </derivirana_varijabla>
  </DomainObject.Predmet.ProtuStrankaListNazivFormatedOIB>
  <DomainObject.Predmet.OstaliListFormated>
    <izvorni_sadrzaj>
      <item>Zvonimir Škegro</item>
      <item>DAVORKA HULJEV</item>
    </izvorni_sadrzaj>
    <derivirana_varijabla naziv="DomainObject.Predmet.OstaliListFormated_1">
      <item>Zvonimir Škegro</item>
      <item>DAVORKA HULJEV</item>
    </derivirana_varijabla>
  </DomainObject.Predmet.OstaliListFormated>
  <DomainObject.Predmet.OstaliListFormatedOIB>
    <izvorni_sadrzaj>
      <item>Zvonimir Škegro, OIB 67061107234</item>
      <item>DAVORKA HULJEV, OIB 34743014377</item>
    </izvorni_sadrzaj>
    <derivirana_varijabla naziv="DomainObject.Predmet.OstaliListFormatedOIB_1">
      <item>Zvonimir Škegro, OIB 67061107234</item>
      <item>DAVORKA HULJEV, OIB 34743014377</item>
    </derivirana_varijabla>
  </DomainObject.Predmet.OstaliListFormatedOIB>
  <DomainObject.Predmet.OstaliListFormatedWithAdress>
    <izvorni_sadrzaj>
      <item>Zvonimir Škegro, Ul. grada Mainza 14, 10000 Zagreb</item>
      <item>DAVORKA HULJEV, Miramarska 13D, 10000 Zagreb</item>
    </izvorni_sadrzaj>
    <derivirana_varijabla naziv="DomainObject.Predmet.OstaliListFormatedWithAdress_1">
      <item>Zvonimir Škegro, Ul. grada Mainza 14, 10000 Zagreb</item>
      <item>DAVORKA HULJEV, Miramarska 13D, 10000 Zagreb</item>
    </derivirana_varijabla>
  </DomainObject.Predmet.OstaliListFormatedWithAdress>
  <DomainObject.Predmet.OstaliListFormatedWithAdressOIB>
    <izvorni_sadrzaj>
      <item>Zvonimir Škegro, OIB 67061107234, Ul. grada Mainza 14, 10000 Zagreb</item>
      <item>DAVORKA HULJEV, OIB 34743014377, Miramarska 13D, 10000 Zagreb</item>
    </izvorni_sadrzaj>
    <derivirana_varijabla naziv="DomainObject.Predmet.OstaliListFormatedWithAdressOIB_1">
      <item>Zvonimir Škegro, OIB 67061107234, Ul. grada Mainza 14, 10000 Zagreb</item>
      <item>DAVORKA HULJEV, OIB 34743014377, Miramarska 13D, 10000 Zagreb</item>
    </derivirana_varijabla>
  </DomainObject.Predmet.OstaliListFormatedWithAdressOIB>
  <DomainObject.Predmet.OstaliListNazivFormated>
    <izvorni_sadrzaj>
      <item>Zvonimir Škegro</item>
      <item>DAVORKA HULJEV</item>
    </izvorni_sadrzaj>
    <derivirana_varijabla naziv="DomainObject.Predmet.OstaliListNazivFormated_1">
      <item>Zvonimir Škegro</item>
      <item>DAVORKA HULJEV</item>
    </derivirana_varijabla>
  </DomainObject.Predmet.OstaliListNazivFormated>
  <DomainObject.Predmet.OstaliListNazivFormatedOIB>
    <izvorni_sadrzaj>
      <item>Zvonimir Škegro, OIB 67061107234</item>
      <item>DAVORKA HULJEV, OIB 34743014377</item>
    </izvorni_sadrzaj>
    <derivirana_varijabla naziv="DomainObject.Predmet.OstaliListNazivFormatedOIB_1">
      <item>Zvonimir Škegro, OIB 67061107234</item>
      <item>DAVORKA HULJEV, OIB 34743014377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2017.</izvorni_sadrzaj>
    <derivirana_varijabla naziv="DomainObject.Datum_1">30.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SG SJEVER 1978 d.o.o.</izvorni_sadrzaj>
    <derivirana_varijabla naziv="DomainObject.Predmet.ProtustrankaIDrugi_1">SG SJEVER 1978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SG SJEVER 1978 d.o.o., OIB 78737820823, Ilica 109, 10000 Zagreb</izvorni_sadrzaj>
    <derivirana_varijabla naziv="DomainObject.Predmet.ProtustrankaIDrugiAdressOIB_1">SG SJEVER 1978 d.o.o., OIB 78737820823, Ilica 109,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SG SJEVER 1978 d.o.o.</item>
      <item>FINA Regionalni centar Zagreb</item>
      <item>Zvonimir Škegro</item>
      <item>BUTERIN&amp;POSAVEC odvjetničko društvo, društvo s ograničenom odgovornošću</item>
      <item>DAVORKA HULJEV</item>
      <item>SG Konzalt jednostavno društvo s ograničenom odgovornošću za usluge</item>
    </izvorni_sadrzaj>
    <derivirana_varijabla naziv="DomainObject.Predmet.SudioniciListNaziv_1">
      <item>SG SJEVER 1978 d.o.o.</item>
      <item>FINA Regionalni centar Zagreb</item>
      <item>Zvonimir Škegro</item>
      <item>BUTERIN&amp;POSAVEC odvjetničko društvo, društvo s ograničenom odgovornošću</item>
      <item>DAVORKA HULJEV</item>
      <item>SG Konzalt jednostavno društvo s ograničenom odgovornošću za usluge</item>
    </derivirana_varijabla>
  </DomainObject.Predmet.SudioniciListNaziv>
  <DomainObject.Predmet.SudioniciListAdressOIB>
    <izvorni_sadrzaj>
      <item>SG SJEVER 1978 d.o.o., OIB 78737820823, Ilica 109,10000 Zagreb</item>
      <item>FINA Regionalni centar Zagreb, OIB 85821130368, Trg svibanjskih žrtava 1995. 1,10000 Zagreb</item>
      <item>Zvonimir Škegro, OIB 67061107234, Ul. grada Mainza 14,10000 Zagreb</item>
      <item>BUTERIN&amp;POSAVEC odvjetničko društvo, društvo s ograničenom odgovornošću, OIB 88443826619, Draškovićeva 82,10000 Zagreb</item>
      <item>DAVORKA HULJEV, OIB 34743014377, Miramarska 13D,10000 Zagreb</item>
      <item>SG Konzalt jednostavno društvo s ograničenom odgovornošću za usluge, OIB 12372925940, Ilica 109,10000 Zagreb</item>
    </izvorni_sadrzaj>
    <derivirana_varijabla naziv="DomainObject.Predmet.SudioniciListAdressOIB_1">
      <item>SG SJEVER 1978 d.o.o., OIB 78737820823, Ilica 109,10000 Zagreb</item>
      <item>FINA Regionalni centar Zagreb, OIB 85821130368, Trg svibanjskih žrtava 1995. 1,10000 Zagreb</item>
      <item>Zvonimir Škegro, OIB 67061107234, Ul. grada Mainza 14,10000 Zagreb</item>
      <item>BUTERIN&amp;POSAVEC odvjetničko društvo, društvo s ograničenom odgovornošću, OIB 88443826619, Draškovićeva 82,10000 Zagreb</item>
      <item>DAVORKA HULJEV, OIB 34743014377, Miramarska 13D,10000 Zagreb</item>
      <item>SG Konzalt jednostavno društvo s ograničenom odgovornošću za usluge, OIB 12372925940, Ilica 109,10000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78737820823</item>
      <item>, OIB 85821130368</item>
      <item>, OIB 67061107234</item>
      <item>, OIB 88443826619</item>
      <item>, OIB 34743014377</item>
      <item>, OIB 12372925940</item>
    </izvorni_sadrzaj>
    <derivirana_varijabla naziv="DomainObject.Predmet.SudioniciListNazivOIB_1">
      <item>, OIB 78737820823</item>
      <item>, OIB 85821130368</item>
      <item>, OIB 67061107234</item>
      <item>, OIB 88443826619</item>
      <item>, OIB 34743014377</item>
      <item>, OIB 12372925940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10</properties:Pages>
  <properties:Words>3012</properties:Words>
  <properties:Characters>17894</properties:Characters>
  <properties:Lines>581</properties:Lines>
  <properties:Paragraphs>141</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20998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2017-10-30T07:26:00Z</dcterms:created>
  <dc:creator>natalija</dc:creator>
  <cp:lastModifiedBy>Ivana Stampf</cp:lastModifiedBy>
  <cp:lastPrinted>2017-10-26T14:16:00Z</cp:lastPrinted>
  <dcterms:modified xmlns:xsi="http://www.w3.org/2001/XMLSchema-instance" xsi:type="dcterms:W3CDTF">2017-10-30T07:27:00Z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St-6047/2016-43 / Podnesak - Izvješće stečajnog upravitelja</vt:lpwstr>
  </prop:property>
  <prop:property name="CC_coloring" pid="4" fmtid="{D5CDD505-2E9C-101B-9397-08002B2CF9AE}">
    <vt:bool>false</vt:bool>
  </prop:property>
  <prop:property name="BrojStranica" pid="5" fmtid="{D5CDD505-2E9C-101B-9397-08002B2CF9AE}">
    <vt:i4>10</vt:i4>
  </prop:property>
</prop:Properties>
</file>